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5B3038D7" w:rsidR="00127F4A" w:rsidRDefault="00A902FB" w:rsidP="00E83BBF">
      <w:pPr>
        <w:tabs>
          <w:tab w:val="left" w:pos="90"/>
        </w:tabs>
        <w:jc w:val="center"/>
        <w:rPr>
          <w:b/>
          <w:sz w:val="24"/>
          <w:szCs w:val="24"/>
          <w:lang w:val="en-GB"/>
        </w:rPr>
      </w:pPr>
      <w:r>
        <w:rPr>
          <w:b/>
          <w:sz w:val="24"/>
          <w:szCs w:val="24"/>
          <w:lang w:val="en-GB"/>
        </w:rPr>
        <w:t>3</w:t>
      </w:r>
      <w:r w:rsidRPr="00A902FB">
        <w:rPr>
          <w:b/>
          <w:sz w:val="24"/>
          <w:szCs w:val="24"/>
          <w:vertAlign w:val="superscript"/>
          <w:lang w:val="en-GB"/>
        </w:rPr>
        <w:t>rd</w:t>
      </w:r>
      <w:r>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sidR="0014249C">
        <w:rPr>
          <w:b/>
          <w:sz w:val="24"/>
          <w:szCs w:val="24"/>
          <w:lang w:val="en-GB"/>
        </w:rPr>
        <w:t>2</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4B1D3DD5"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A902FB">
        <w:rPr>
          <w:sz w:val="22"/>
          <w:szCs w:val="22"/>
          <w:lang w:val="en-GB"/>
        </w:rPr>
        <w:t>third</w:t>
      </w:r>
      <w:r w:rsidRPr="0014436A">
        <w:rPr>
          <w:sz w:val="22"/>
          <w:szCs w:val="22"/>
          <w:lang w:val="en-GB"/>
        </w:rPr>
        <w:t xml:space="preserve"> qu</w:t>
      </w:r>
      <w:r w:rsidR="003648D1">
        <w:rPr>
          <w:sz w:val="22"/>
          <w:szCs w:val="22"/>
          <w:lang w:val="en-GB"/>
        </w:rPr>
        <w:t>a</w:t>
      </w:r>
      <w:r w:rsidR="001471F5">
        <w:rPr>
          <w:sz w:val="22"/>
          <w:szCs w:val="22"/>
          <w:lang w:val="en-GB"/>
        </w:rPr>
        <w:t>rter of 202</w:t>
      </w:r>
      <w:r w:rsidR="0014249C">
        <w:rPr>
          <w:sz w:val="22"/>
          <w:szCs w:val="22"/>
          <w:lang w:val="en-GB"/>
        </w:rPr>
        <w:t>2</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69FC8E51"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A902FB">
        <w:rPr>
          <w:b/>
          <w:sz w:val="22"/>
          <w:szCs w:val="22"/>
          <w:lang w:val="en-GB"/>
        </w:rPr>
        <w:t>October</w:t>
      </w:r>
      <w:r w:rsidR="00E83BBF">
        <w:rPr>
          <w:b/>
          <w:sz w:val="22"/>
          <w:szCs w:val="22"/>
          <w:lang w:val="en-GB"/>
        </w:rPr>
        <w:t xml:space="preserve"> </w:t>
      </w:r>
      <w:r w:rsidR="00B56771">
        <w:rPr>
          <w:b/>
          <w:sz w:val="22"/>
          <w:szCs w:val="22"/>
          <w:lang w:val="en-GB"/>
        </w:rPr>
        <w:t xml:space="preserve">2021 </w:t>
      </w:r>
      <w:r w:rsidR="00E83BBF">
        <w:rPr>
          <w:b/>
          <w:sz w:val="22"/>
          <w:szCs w:val="22"/>
          <w:lang w:val="en-GB"/>
        </w:rPr>
        <w:t xml:space="preserve">to </w:t>
      </w:r>
      <w:r w:rsidR="00A902FB">
        <w:rPr>
          <w:b/>
          <w:sz w:val="22"/>
          <w:szCs w:val="22"/>
          <w:lang w:val="en-GB"/>
        </w:rPr>
        <w:t>September</w:t>
      </w:r>
      <w:r w:rsidR="00B56771">
        <w:rPr>
          <w:b/>
          <w:sz w:val="22"/>
          <w:szCs w:val="22"/>
          <w:lang w:val="en-GB"/>
        </w:rPr>
        <w:t xml:space="preserve"> 2022</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16D6AEFF"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052440">
        <w:rPr>
          <w:spacing w:val="-1"/>
          <w:sz w:val="22"/>
        </w:rPr>
        <w:t>1</w:t>
      </w:r>
      <w:r w:rsidR="00A902FB">
        <w:rPr>
          <w:spacing w:val="-1"/>
          <w:sz w:val="22"/>
        </w:rPr>
        <w:t>18.6</w:t>
      </w:r>
      <w:r>
        <w:rPr>
          <w:spacing w:val="41"/>
          <w:sz w:val="22"/>
        </w:rPr>
        <w:t xml:space="preserve"> </w:t>
      </w:r>
      <w:r>
        <w:rPr>
          <w:sz w:val="22"/>
        </w:rPr>
        <w:t>in</w:t>
      </w:r>
      <w:r>
        <w:rPr>
          <w:spacing w:val="19"/>
          <w:sz w:val="22"/>
        </w:rPr>
        <w:t xml:space="preserve"> </w:t>
      </w:r>
      <w:r w:rsidR="00A902FB">
        <w:rPr>
          <w:spacing w:val="19"/>
          <w:sz w:val="22"/>
        </w:rPr>
        <w:t xml:space="preserve">October </w:t>
      </w:r>
      <w:r w:rsidR="00052440">
        <w:rPr>
          <w:spacing w:val="19"/>
          <w:sz w:val="22"/>
        </w:rPr>
        <w:t>2021</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sidR="00A902FB">
        <w:rPr>
          <w:sz w:val="22"/>
        </w:rPr>
        <w:t xml:space="preserve"> up to August 2022 reaching 132.0. The index contracted by 0.1% in September 2022 to reach 131.9.</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7010F1ED" w:rsidR="005475F4" w:rsidRPr="005475F4" w:rsidRDefault="00A902FB" w:rsidP="005475F4">
      <w:pPr>
        <w:pStyle w:val="BodyTextIndent"/>
        <w:ind w:right="119" w:firstLine="0"/>
        <w:jc w:val="center"/>
        <w:rPr>
          <w:b/>
          <w:sz w:val="22"/>
          <w:szCs w:val="22"/>
          <w:lang w:val="en-GB"/>
        </w:rPr>
      </w:pPr>
      <w:r>
        <w:rPr>
          <w:b/>
          <w:sz w:val="22"/>
          <w:szCs w:val="22"/>
          <w:lang w:val="en-GB"/>
        </w:rPr>
        <w:t>October</w:t>
      </w:r>
      <w:r w:rsidR="0014249C">
        <w:rPr>
          <w:b/>
          <w:sz w:val="22"/>
          <w:szCs w:val="22"/>
          <w:lang w:val="en-GB"/>
        </w:rPr>
        <w:t xml:space="preserve"> 2021</w:t>
      </w:r>
      <w:r w:rsidR="005475F4" w:rsidRPr="005475F4">
        <w:rPr>
          <w:b/>
          <w:sz w:val="22"/>
          <w:szCs w:val="22"/>
          <w:lang w:val="en-GB"/>
        </w:rPr>
        <w:t xml:space="preserve"> to </w:t>
      </w:r>
      <w:r>
        <w:rPr>
          <w:b/>
          <w:sz w:val="22"/>
          <w:szCs w:val="22"/>
          <w:lang w:val="en-GB"/>
        </w:rPr>
        <w:t>September</w:t>
      </w:r>
      <w:r w:rsidR="00DD4F01">
        <w:rPr>
          <w:b/>
          <w:sz w:val="22"/>
          <w:szCs w:val="22"/>
          <w:lang w:val="en-GB"/>
        </w:rPr>
        <w:t xml:space="preserve"> 202</w:t>
      </w:r>
      <w:r w:rsidR="0014249C">
        <w:rPr>
          <w:b/>
          <w:sz w:val="22"/>
          <w:szCs w:val="22"/>
          <w:lang w:val="en-GB"/>
        </w:rPr>
        <w:t>2</w:t>
      </w:r>
    </w:p>
    <w:p w14:paraId="2A802728" w14:textId="77777777" w:rsidR="00C4278E" w:rsidRDefault="00C4278E" w:rsidP="00127F4A">
      <w:pPr>
        <w:pStyle w:val="BodyTextIndent"/>
        <w:ind w:right="119" w:firstLine="0"/>
        <w:rPr>
          <w:b/>
          <w:sz w:val="22"/>
          <w:szCs w:val="22"/>
          <w:lang w:val="en-GB"/>
        </w:rPr>
      </w:pPr>
    </w:p>
    <w:p w14:paraId="116AF43D" w14:textId="5E8AA122" w:rsidR="000F1B35" w:rsidRDefault="00A902FB" w:rsidP="00127F4A">
      <w:pPr>
        <w:pStyle w:val="BodyTextIndent"/>
        <w:ind w:right="119" w:firstLine="0"/>
        <w:rPr>
          <w:b/>
          <w:sz w:val="22"/>
          <w:szCs w:val="22"/>
          <w:lang w:val="en-GB"/>
        </w:rPr>
      </w:pPr>
      <w:r w:rsidRPr="00A902FB">
        <w:rPr>
          <w:noProof/>
        </w:rPr>
        <w:drawing>
          <wp:inline distT="0" distB="0" distL="0" distR="0" wp14:anchorId="4953A88E" wp14:editId="570B58B4">
            <wp:extent cx="2997835" cy="204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204343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1C08A1F4"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A902FB">
        <w:rPr>
          <w:b/>
          <w:sz w:val="22"/>
          <w:szCs w:val="22"/>
          <w:lang w:val="en-GB"/>
        </w:rPr>
        <w:t>July</w:t>
      </w:r>
      <w:r w:rsidR="00BE78DE">
        <w:rPr>
          <w:b/>
          <w:sz w:val="22"/>
          <w:szCs w:val="22"/>
          <w:lang w:val="en-GB"/>
        </w:rPr>
        <w:t xml:space="preserve"> </w:t>
      </w:r>
      <w:r w:rsidR="00355092">
        <w:rPr>
          <w:b/>
          <w:sz w:val="22"/>
          <w:szCs w:val="22"/>
          <w:lang w:val="en-GB"/>
        </w:rPr>
        <w:t xml:space="preserve">to </w:t>
      </w:r>
      <w:r w:rsidR="00A902FB">
        <w:rPr>
          <w:b/>
          <w:sz w:val="22"/>
          <w:szCs w:val="22"/>
          <w:lang w:val="en-GB"/>
        </w:rPr>
        <w:t>September</w:t>
      </w:r>
      <w:r w:rsidR="004975C0">
        <w:rPr>
          <w:b/>
          <w:sz w:val="22"/>
          <w:szCs w:val="22"/>
          <w:lang w:val="en-GB"/>
        </w:rPr>
        <w:t xml:space="preserve"> 2022</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2F5EE88D"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30.5</w:t>
      </w:r>
      <w:r w:rsidR="00F552C0">
        <w:rPr>
          <w:sz w:val="22"/>
          <w:szCs w:val="22"/>
          <w:lang w:val="en-GB"/>
        </w:rPr>
        <w:t xml:space="preserve"> </w:t>
      </w:r>
      <w:r w:rsidR="0002143B">
        <w:rPr>
          <w:sz w:val="22"/>
          <w:szCs w:val="22"/>
          <w:lang w:val="en-GB"/>
        </w:rPr>
        <w:t>at the end of</w:t>
      </w:r>
      <w:r w:rsidR="00A902FB">
        <w:rPr>
          <w:sz w:val="22"/>
          <w:szCs w:val="22"/>
          <w:lang w:val="en-GB"/>
        </w:rPr>
        <w:t xml:space="preserve"> June</w:t>
      </w:r>
      <w:r w:rsidR="004975C0">
        <w:rPr>
          <w:sz w:val="22"/>
          <w:szCs w:val="22"/>
          <w:lang w:val="en-GB"/>
        </w:rPr>
        <w:t xml:space="preserve"> </w:t>
      </w:r>
      <w:r w:rsidR="0002143B">
        <w:rPr>
          <w:sz w:val="22"/>
          <w:szCs w:val="22"/>
          <w:lang w:val="en-GB"/>
        </w:rPr>
        <w:t>202</w:t>
      </w:r>
      <w:r w:rsidR="009649A5">
        <w:rPr>
          <w:sz w:val="22"/>
          <w:szCs w:val="22"/>
          <w:lang w:val="en-GB"/>
        </w:rPr>
        <w:t>2</w:t>
      </w:r>
      <w:r w:rsidR="0025678B">
        <w:rPr>
          <w:sz w:val="22"/>
          <w:szCs w:val="22"/>
          <w:lang w:val="en-GB"/>
        </w:rPr>
        <w:t xml:space="preserve">, </w:t>
      </w:r>
      <w:r w:rsidR="00FB5C1D">
        <w:rPr>
          <w:sz w:val="22"/>
          <w:szCs w:val="22"/>
          <w:lang w:val="en-GB"/>
        </w:rPr>
        <w:t>increa</w:t>
      </w:r>
      <w:r w:rsidR="000850B3">
        <w:rPr>
          <w:sz w:val="22"/>
          <w:szCs w:val="22"/>
          <w:lang w:val="en-GB"/>
        </w:rPr>
        <w:t xml:space="preserve">sed by </w:t>
      </w:r>
      <w:r w:rsidR="009649A5">
        <w:rPr>
          <w:sz w:val="22"/>
          <w:szCs w:val="22"/>
          <w:lang w:val="en-GB"/>
        </w:rPr>
        <w:t>0.</w:t>
      </w:r>
      <w:r w:rsidR="005B053C">
        <w:rPr>
          <w:sz w:val="22"/>
          <w:szCs w:val="22"/>
          <w:lang w:val="en-GB"/>
        </w:rPr>
        <w:t>4</w:t>
      </w:r>
      <w:r w:rsidR="006B33D4">
        <w:rPr>
          <w:sz w:val="22"/>
          <w:szCs w:val="22"/>
          <w:lang w:val="en-GB"/>
        </w:rPr>
        <w:t xml:space="preserve">% </w:t>
      </w:r>
      <w:r w:rsidR="000850B3">
        <w:rPr>
          <w:sz w:val="22"/>
          <w:szCs w:val="22"/>
          <w:lang w:val="en-GB"/>
        </w:rPr>
        <w:t xml:space="preserve">to reach </w:t>
      </w:r>
      <w:r w:rsidR="004975C0">
        <w:rPr>
          <w:sz w:val="22"/>
          <w:szCs w:val="22"/>
          <w:lang w:val="en-GB"/>
        </w:rPr>
        <w:t>1</w:t>
      </w:r>
      <w:r w:rsidR="005B053C">
        <w:rPr>
          <w:sz w:val="22"/>
          <w:szCs w:val="22"/>
          <w:lang w:val="en-GB"/>
        </w:rPr>
        <w:t>31.0</w:t>
      </w:r>
      <w:r w:rsidR="0002143B">
        <w:rPr>
          <w:sz w:val="22"/>
          <w:szCs w:val="22"/>
          <w:lang w:val="en-GB"/>
        </w:rPr>
        <w:t xml:space="preserve"> </w:t>
      </w:r>
      <w:r w:rsidR="006B33D4">
        <w:rPr>
          <w:sz w:val="22"/>
          <w:szCs w:val="22"/>
          <w:lang w:val="en-GB"/>
        </w:rPr>
        <w:t xml:space="preserve">in </w:t>
      </w:r>
      <w:r w:rsidR="004975C0">
        <w:rPr>
          <w:sz w:val="22"/>
          <w:szCs w:val="22"/>
          <w:lang w:val="en-GB"/>
        </w:rPr>
        <w:t>J</w:t>
      </w:r>
      <w:r w:rsidR="005B053C">
        <w:rPr>
          <w:sz w:val="22"/>
          <w:szCs w:val="22"/>
          <w:lang w:val="en-GB"/>
        </w:rPr>
        <w:t xml:space="preserve">uly </w:t>
      </w:r>
      <w:r w:rsidR="004975C0">
        <w:rPr>
          <w:sz w:val="22"/>
          <w:szCs w:val="22"/>
          <w:lang w:val="en-GB"/>
        </w:rPr>
        <w:t>2022</w:t>
      </w:r>
      <w:r w:rsidR="0002143B">
        <w:rPr>
          <w:sz w:val="22"/>
          <w:szCs w:val="22"/>
          <w:lang w:val="en-GB"/>
        </w:rPr>
        <w:t>. The increase is</w:t>
      </w:r>
      <w:r w:rsidR="006B33D4">
        <w:rPr>
          <w:sz w:val="22"/>
          <w:szCs w:val="22"/>
          <w:lang w:val="en-GB"/>
        </w:rPr>
        <w:t xml:space="preserve"> mainly due to</w:t>
      </w:r>
      <w:r w:rsidR="009649A5">
        <w:rPr>
          <w:sz w:val="22"/>
          <w:szCs w:val="22"/>
          <w:lang w:val="en-GB"/>
        </w:rPr>
        <w:t xml:space="preserve"> </w:t>
      </w:r>
      <w:r w:rsidR="005550D2">
        <w:rPr>
          <w:sz w:val="22"/>
          <w:szCs w:val="22"/>
          <w:lang w:val="en-GB"/>
        </w:rPr>
        <w:t xml:space="preserve">higher rates for the hire of plant (1.6%) and transport (9.4%), coupled with increases in </w:t>
      </w:r>
      <w:r w:rsidR="009C0E92">
        <w:rPr>
          <w:sz w:val="22"/>
          <w:szCs w:val="22"/>
          <w:lang w:val="en-GB"/>
        </w:rPr>
        <w:t xml:space="preserve">the </w:t>
      </w:r>
      <w:r w:rsidR="005550D2">
        <w:rPr>
          <w:sz w:val="22"/>
          <w:szCs w:val="22"/>
          <w:lang w:val="en-GB"/>
        </w:rPr>
        <w:t xml:space="preserve">prices of materials (0.1%). The increase in materials is mainly due to higher prices of </w:t>
      </w:r>
      <w:r w:rsidR="00EC503A">
        <w:rPr>
          <w:sz w:val="22"/>
          <w:szCs w:val="22"/>
          <w:lang w:val="en-GB"/>
        </w:rPr>
        <w:t>cement (0.2%),</w:t>
      </w:r>
      <w:r w:rsidR="005550D2">
        <w:rPr>
          <w:sz w:val="22"/>
          <w:szCs w:val="22"/>
          <w:lang w:val="en-GB"/>
        </w:rPr>
        <w:t xml:space="preserve"> </w:t>
      </w:r>
      <w:r w:rsidR="00967834">
        <w:rPr>
          <w:sz w:val="22"/>
          <w:szCs w:val="22"/>
          <w:lang w:val="en-GB"/>
        </w:rPr>
        <w:t>aggregate (0.7%),</w:t>
      </w:r>
      <w:r w:rsidR="00967834">
        <w:rPr>
          <w:sz w:val="22"/>
          <w:szCs w:val="22"/>
          <w:lang w:val="en-GB"/>
        </w:rPr>
        <w:t xml:space="preserve"> </w:t>
      </w:r>
      <w:r w:rsidR="005550D2">
        <w:rPr>
          <w:sz w:val="22"/>
          <w:szCs w:val="22"/>
          <w:lang w:val="en-GB"/>
        </w:rPr>
        <w:t>timbe</w:t>
      </w:r>
      <w:r w:rsidR="009C0E92">
        <w:rPr>
          <w:sz w:val="22"/>
          <w:szCs w:val="22"/>
          <w:lang w:val="en-GB"/>
        </w:rPr>
        <w:t>r</w:t>
      </w:r>
      <w:r w:rsidR="005550D2">
        <w:rPr>
          <w:sz w:val="22"/>
          <w:szCs w:val="22"/>
          <w:lang w:val="en-GB"/>
        </w:rPr>
        <w:t xml:space="preserve"> joinery (0.6%) and plumbing (1.6%), partly offset by a decrease in the prices of steel </w:t>
      </w:r>
      <w:proofErr w:type="gramStart"/>
      <w:r w:rsidR="005550D2">
        <w:rPr>
          <w:sz w:val="22"/>
          <w:szCs w:val="22"/>
          <w:lang w:val="en-GB"/>
        </w:rPr>
        <w:t xml:space="preserve">bars </w:t>
      </w:r>
      <w:r w:rsidR="000B0C33">
        <w:rPr>
          <w:sz w:val="22"/>
          <w:szCs w:val="22"/>
          <w:lang w:val="en-GB"/>
        </w:rPr>
        <w:t xml:space="preserve"> </w:t>
      </w:r>
      <w:r w:rsidR="005550D2">
        <w:rPr>
          <w:sz w:val="22"/>
          <w:szCs w:val="22"/>
          <w:lang w:val="en-GB"/>
        </w:rPr>
        <w:t>(</w:t>
      </w:r>
      <w:proofErr w:type="gramEnd"/>
      <w:r w:rsidR="005550D2">
        <w:rPr>
          <w:sz w:val="22"/>
          <w:szCs w:val="22"/>
          <w:lang w:val="en-GB"/>
        </w:rPr>
        <w:t>-0.9%)</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0A2120CC" w:rsidR="001C6491" w:rsidRDefault="0025678B" w:rsidP="00127F4A">
      <w:pPr>
        <w:pStyle w:val="BodyTextIndent"/>
        <w:ind w:right="5" w:firstLine="0"/>
        <w:rPr>
          <w:sz w:val="22"/>
          <w:szCs w:val="22"/>
          <w:lang w:val="en-GB"/>
        </w:rPr>
      </w:pPr>
      <w:r>
        <w:rPr>
          <w:sz w:val="22"/>
          <w:szCs w:val="22"/>
          <w:lang w:val="en-GB"/>
        </w:rPr>
        <w:t xml:space="preserve">The index </w:t>
      </w:r>
      <w:r w:rsidR="00477ADE">
        <w:rPr>
          <w:sz w:val="22"/>
          <w:szCs w:val="22"/>
          <w:lang w:val="en-GB"/>
        </w:rPr>
        <w:t xml:space="preserve">further increased by </w:t>
      </w:r>
      <w:r w:rsidR="00BD1B1E">
        <w:rPr>
          <w:sz w:val="22"/>
          <w:szCs w:val="22"/>
          <w:lang w:val="en-GB"/>
        </w:rPr>
        <w:t>0.8</w:t>
      </w:r>
      <w:r w:rsidR="00DB7830">
        <w:rPr>
          <w:sz w:val="22"/>
          <w:szCs w:val="22"/>
          <w:lang w:val="en-GB"/>
        </w:rPr>
        <w:t>% in</w:t>
      </w:r>
      <w:r w:rsidR="00BD1B1E">
        <w:rPr>
          <w:sz w:val="22"/>
          <w:szCs w:val="22"/>
          <w:lang w:val="en-GB"/>
        </w:rPr>
        <w:t xml:space="preserve"> August</w:t>
      </w:r>
      <w:r w:rsidR="002926F6">
        <w:rPr>
          <w:sz w:val="22"/>
          <w:szCs w:val="22"/>
          <w:lang w:val="en-GB"/>
        </w:rPr>
        <w:t xml:space="preserve"> 2022</w:t>
      </w:r>
      <w:r w:rsidR="00477ADE">
        <w:rPr>
          <w:sz w:val="22"/>
          <w:szCs w:val="22"/>
          <w:lang w:val="en-GB"/>
        </w:rPr>
        <w:t xml:space="preserve"> reaching </w:t>
      </w:r>
      <w:r w:rsidR="002926F6">
        <w:rPr>
          <w:sz w:val="22"/>
          <w:szCs w:val="22"/>
          <w:lang w:val="en-GB"/>
        </w:rPr>
        <w:t>1</w:t>
      </w:r>
      <w:r w:rsidR="00B01D9B">
        <w:rPr>
          <w:sz w:val="22"/>
          <w:szCs w:val="22"/>
          <w:lang w:val="en-GB"/>
        </w:rPr>
        <w:t>3</w:t>
      </w:r>
      <w:r w:rsidR="00BD1B1E">
        <w:rPr>
          <w:sz w:val="22"/>
          <w:szCs w:val="22"/>
          <w:lang w:val="en-GB"/>
        </w:rPr>
        <w:t>2.0</w:t>
      </w:r>
      <w:r w:rsidR="00477ADE">
        <w:rPr>
          <w:sz w:val="22"/>
          <w:szCs w:val="22"/>
          <w:lang w:val="en-GB"/>
        </w:rPr>
        <w:t xml:space="preserve">. The </w:t>
      </w:r>
      <w:r w:rsidR="00BD1B1E">
        <w:rPr>
          <w:sz w:val="22"/>
          <w:szCs w:val="22"/>
          <w:lang w:val="en-GB"/>
        </w:rPr>
        <w:t>0.8</w:t>
      </w:r>
      <w:r w:rsidR="00CA0C84">
        <w:rPr>
          <w:sz w:val="22"/>
          <w:szCs w:val="22"/>
          <w:lang w:val="en-GB"/>
        </w:rPr>
        <w:t>% increase i</w:t>
      </w:r>
      <w:r w:rsidR="00733A14">
        <w:rPr>
          <w:sz w:val="22"/>
          <w:szCs w:val="22"/>
          <w:lang w:val="en-GB"/>
        </w:rPr>
        <w:t>s</w:t>
      </w:r>
      <w:r w:rsidR="00B731EA">
        <w:rPr>
          <w:sz w:val="22"/>
          <w:szCs w:val="22"/>
          <w:lang w:val="en-GB"/>
        </w:rPr>
        <w:t xml:space="preserve"> </w:t>
      </w:r>
      <w:r w:rsidR="00DB7830">
        <w:rPr>
          <w:sz w:val="22"/>
          <w:szCs w:val="22"/>
          <w:lang w:val="en-GB"/>
        </w:rPr>
        <w:t xml:space="preserve">due to </w:t>
      </w:r>
      <w:r w:rsidR="00BD1B1E">
        <w:rPr>
          <w:sz w:val="22"/>
          <w:szCs w:val="22"/>
          <w:lang w:val="en-GB"/>
        </w:rPr>
        <w:t xml:space="preserve">increases in the prices of materials, </w:t>
      </w:r>
      <w:r w:rsidR="00733A14">
        <w:rPr>
          <w:sz w:val="22"/>
          <w:szCs w:val="22"/>
          <w:lang w:val="en-GB"/>
        </w:rPr>
        <w:t>mainly</w:t>
      </w:r>
      <w:r w:rsidR="00BD1B1E">
        <w:rPr>
          <w:sz w:val="22"/>
          <w:szCs w:val="22"/>
          <w:lang w:val="en-GB"/>
        </w:rPr>
        <w:t xml:space="preserve"> </w:t>
      </w:r>
      <w:r w:rsidR="00733A14">
        <w:rPr>
          <w:sz w:val="22"/>
          <w:szCs w:val="22"/>
          <w:lang w:val="en-GB"/>
        </w:rPr>
        <w:t xml:space="preserve">cement (0.2%), </w:t>
      </w:r>
      <w:r w:rsidR="002926F6">
        <w:rPr>
          <w:sz w:val="22"/>
          <w:szCs w:val="22"/>
          <w:lang w:val="en-GB"/>
        </w:rPr>
        <w:t xml:space="preserve">premixed </w:t>
      </w:r>
      <w:r w:rsidR="00206C0B">
        <w:rPr>
          <w:sz w:val="22"/>
          <w:szCs w:val="22"/>
          <w:lang w:val="en-GB"/>
        </w:rPr>
        <w:t>concrete</w:t>
      </w:r>
      <w:r w:rsidR="002926F6">
        <w:rPr>
          <w:sz w:val="22"/>
          <w:szCs w:val="22"/>
          <w:lang w:val="en-GB"/>
        </w:rPr>
        <w:t xml:space="preserve"> (</w:t>
      </w:r>
      <w:r w:rsidR="00206C0B">
        <w:rPr>
          <w:sz w:val="22"/>
          <w:szCs w:val="22"/>
          <w:lang w:val="en-GB"/>
        </w:rPr>
        <w:t>2.2</w:t>
      </w:r>
      <w:r w:rsidR="002926F6">
        <w:rPr>
          <w:sz w:val="22"/>
          <w:szCs w:val="22"/>
          <w:lang w:val="en-GB"/>
        </w:rPr>
        <w:t xml:space="preserve">%), </w:t>
      </w:r>
      <w:r w:rsidR="00B01D9B">
        <w:rPr>
          <w:sz w:val="22"/>
          <w:szCs w:val="22"/>
          <w:lang w:val="en-GB"/>
        </w:rPr>
        <w:t>timber carpentry (</w:t>
      </w:r>
      <w:r w:rsidR="00206C0B">
        <w:rPr>
          <w:sz w:val="22"/>
          <w:szCs w:val="22"/>
          <w:lang w:val="en-GB"/>
        </w:rPr>
        <w:t>1.3</w:t>
      </w:r>
      <w:r w:rsidR="00B01D9B">
        <w:rPr>
          <w:sz w:val="22"/>
          <w:szCs w:val="22"/>
          <w:lang w:val="en-GB"/>
        </w:rPr>
        <w:t xml:space="preserve">%), </w:t>
      </w:r>
      <w:r w:rsidR="00206C0B">
        <w:rPr>
          <w:sz w:val="22"/>
          <w:szCs w:val="22"/>
          <w:lang w:val="en-GB"/>
        </w:rPr>
        <w:t xml:space="preserve">timber joinery (0.8%), </w:t>
      </w:r>
      <w:r w:rsidR="004C1464">
        <w:rPr>
          <w:sz w:val="22"/>
          <w:szCs w:val="22"/>
          <w:lang w:val="en-GB"/>
        </w:rPr>
        <w:t>tiles and granite (</w:t>
      </w:r>
      <w:r w:rsidR="00206C0B">
        <w:rPr>
          <w:sz w:val="22"/>
          <w:szCs w:val="22"/>
          <w:lang w:val="en-GB"/>
        </w:rPr>
        <w:t>3.1</w:t>
      </w:r>
      <w:r w:rsidR="00477ADE">
        <w:rPr>
          <w:sz w:val="22"/>
          <w:szCs w:val="22"/>
          <w:lang w:val="en-GB"/>
        </w:rPr>
        <w:t>%)</w:t>
      </w:r>
      <w:r w:rsidR="00EA093E">
        <w:rPr>
          <w:sz w:val="22"/>
          <w:szCs w:val="22"/>
          <w:lang w:val="en-GB"/>
        </w:rPr>
        <w:t xml:space="preserve">, </w:t>
      </w:r>
      <w:r w:rsidR="00C70B3A">
        <w:rPr>
          <w:sz w:val="22"/>
          <w:szCs w:val="22"/>
          <w:lang w:val="en-GB"/>
        </w:rPr>
        <w:t>paint (</w:t>
      </w:r>
      <w:r w:rsidR="00206C0B">
        <w:rPr>
          <w:sz w:val="22"/>
          <w:szCs w:val="22"/>
          <w:lang w:val="en-GB"/>
        </w:rPr>
        <w:t>5.5</w:t>
      </w:r>
      <w:r w:rsidR="00C70B3A">
        <w:rPr>
          <w:sz w:val="22"/>
          <w:szCs w:val="22"/>
          <w:lang w:val="en-GB"/>
        </w:rPr>
        <w:t xml:space="preserve">%), </w:t>
      </w:r>
      <w:r w:rsidR="00206C0B">
        <w:rPr>
          <w:sz w:val="22"/>
          <w:szCs w:val="22"/>
          <w:lang w:val="en-GB"/>
        </w:rPr>
        <w:t xml:space="preserve">laminated flooring </w:t>
      </w:r>
      <w:r w:rsidR="00EA093E">
        <w:rPr>
          <w:sz w:val="22"/>
          <w:szCs w:val="22"/>
          <w:lang w:val="en-GB"/>
        </w:rPr>
        <w:t>(</w:t>
      </w:r>
      <w:r w:rsidR="00206C0B">
        <w:rPr>
          <w:sz w:val="22"/>
          <w:szCs w:val="22"/>
          <w:lang w:val="en-GB"/>
        </w:rPr>
        <w:t>11.6</w:t>
      </w:r>
      <w:r w:rsidR="00EA093E">
        <w:rPr>
          <w:sz w:val="22"/>
          <w:szCs w:val="22"/>
          <w:lang w:val="en-GB"/>
        </w:rPr>
        <w:t xml:space="preserve">%) </w:t>
      </w:r>
      <w:r w:rsidR="002926F6">
        <w:rPr>
          <w:sz w:val="22"/>
          <w:szCs w:val="22"/>
          <w:lang w:val="en-GB"/>
        </w:rPr>
        <w:t xml:space="preserve">and </w:t>
      </w:r>
      <w:r w:rsidR="00206C0B">
        <w:rPr>
          <w:sz w:val="22"/>
          <w:szCs w:val="22"/>
          <w:lang w:val="en-GB"/>
        </w:rPr>
        <w:t>plumbing (0.7%), partly offset by a decrease in the prices of steel bars (-1.6%).</w:t>
      </w:r>
    </w:p>
    <w:p w14:paraId="20E9B803" w14:textId="77777777" w:rsidR="001C6491" w:rsidRDefault="001C6491" w:rsidP="002347E6">
      <w:pPr>
        <w:pStyle w:val="BodyTextIndent"/>
        <w:spacing w:line="120" w:lineRule="auto"/>
        <w:ind w:right="6" w:firstLine="0"/>
        <w:rPr>
          <w:sz w:val="22"/>
          <w:szCs w:val="22"/>
          <w:lang w:val="en-GB"/>
        </w:rPr>
      </w:pPr>
    </w:p>
    <w:p w14:paraId="41450A1B" w14:textId="2C5ED337" w:rsidR="005D51B8" w:rsidRDefault="00CC6252" w:rsidP="005D51B8">
      <w:pPr>
        <w:pStyle w:val="BodyTextIndent"/>
        <w:ind w:right="5" w:firstLine="0"/>
        <w:rPr>
          <w:sz w:val="22"/>
          <w:szCs w:val="22"/>
          <w:lang w:val="en-GB"/>
        </w:rPr>
      </w:pPr>
      <w:r>
        <w:rPr>
          <w:sz w:val="22"/>
          <w:szCs w:val="22"/>
          <w:lang w:val="en-GB"/>
        </w:rPr>
        <w:t xml:space="preserve">In </w:t>
      </w:r>
      <w:r w:rsidR="00181F2F">
        <w:rPr>
          <w:sz w:val="22"/>
          <w:szCs w:val="22"/>
          <w:lang w:val="en-GB"/>
        </w:rPr>
        <w:t>September</w:t>
      </w:r>
      <w:r w:rsidR="00567A3A">
        <w:rPr>
          <w:sz w:val="22"/>
          <w:szCs w:val="22"/>
          <w:lang w:val="en-GB"/>
        </w:rPr>
        <w:t xml:space="preserve"> 2022</w:t>
      </w:r>
      <w:r w:rsidR="00AD2041">
        <w:rPr>
          <w:sz w:val="22"/>
          <w:szCs w:val="22"/>
          <w:lang w:val="en-GB"/>
        </w:rPr>
        <w:t xml:space="preserve">, </w:t>
      </w:r>
      <w:r w:rsidR="00000482">
        <w:rPr>
          <w:sz w:val="22"/>
          <w:szCs w:val="22"/>
          <w:lang w:val="en-GB"/>
        </w:rPr>
        <w:t xml:space="preserve">the index </w:t>
      </w:r>
      <w:r w:rsidR="00181F2F">
        <w:rPr>
          <w:sz w:val="22"/>
          <w:szCs w:val="22"/>
          <w:lang w:val="en-GB"/>
        </w:rPr>
        <w:t>contracted</w:t>
      </w:r>
      <w:r w:rsidR="000E5FF0">
        <w:rPr>
          <w:sz w:val="22"/>
          <w:szCs w:val="22"/>
          <w:lang w:val="en-GB"/>
        </w:rPr>
        <w:t xml:space="preserve"> by </w:t>
      </w:r>
      <w:r w:rsidR="003459EA">
        <w:rPr>
          <w:sz w:val="22"/>
          <w:szCs w:val="22"/>
          <w:lang w:val="en-GB"/>
        </w:rPr>
        <w:t>0.</w:t>
      </w:r>
      <w:r w:rsidR="00181F2F">
        <w:rPr>
          <w:sz w:val="22"/>
          <w:szCs w:val="22"/>
          <w:lang w:val="en-GB"/>
        </w:rPr>
        <w:t>1</w:t>
      </w:r>
      <w:r w:rsidR="009969AC">
        <w:rPr>
          <w:sz w:val="22"/>
          <w:szCs w:val="22"/>
          <w:lang w:val="en-GB"/>
        </w:rPr>
        <w:t xml:space="preserve">% to reach </w:t>
      </w:r>
      <w:r w:rsidR="00E0595C">
        <w:rPr>
          <w:sz w:val="22"/>
          <w:szCs w:val="22"/>
          <w:lang w:val="en-GB"/>
        </w:rPr>
        <w:t>1</w:t>
      </w:r>
      <w:r w:rsidR="003459EA">
        <w:rPr>
          <w:sz w:val="22"/>
          <w:szCs w:val="22"/>
          <w:lang w:val="en-GB"/>
        </w:rPr>
        <w:t>3</w:t>
      </w:r>
      <w:r w:rsidR="00181F2F">
        <w:rPr>
          <w:sz w:val="22"/>
          <w:szCs w:val="22"/>
          <w:lang w:val="en-GB"/>
        </w:rPr>
        <w:t>1.9</w:t>
      </w:r>
      <w:r w:rsidR="0048738B">
        <w:rPr>
          <w:sz w:val="22"/>
          <w:szCs w:val="22"/>
          <w:lang w:val="en-GB"/>
        </w:rPr>
        <w:t>,</w:t>
      </w:r>
      <w:r w:rsidR="009969AC">
        <w:rPr>
          <w:sz w:val="22"/>
          <w:szCs w:val="22"/>
          <w:lang w:val="en-GB"/>
        </w:rPr>
        <w:t xml:space="preserve"> as a result of </w:t>
      </w:r>
      <w:r w:rsidR="00181F2F">
        <w:rPr>
          <w:sz w:val="22"/>
          <w:szCs w:val="22"/>
          <w:lang w:val="en-GB"/>
        </w:rPr>
        <w:t>decreases in the prices of materials (-0.1%), partly offset by higher rates for the hire of plant (0.7%). The 0.1% decrease in the materials sub-index is mainly due to lower prices of steel bars (</w:t>
      </w:r>
      <w:r w:rsidR="00EB4E25">
        <w:rPr>
          <w:sz w:val="22"/>
          <w:szCs w:val="22"/>
          <w:lang w:val="en-GB"/>
        </w:rPr>
        <w:t>-2.2%</w:t>
      </w:r>
      <w:r w:rsidR="00181F2F">
        <w:rPr>
          <w:sz w:val="22"/>
          <w:szCs w:val="22"/>
          <w:lang w:val="en-GB"/>
        </w:rPr>
        <w:t>)</w:t>
      </w:r>
      <w:r w:rsidR="007D20CC">
        <w:rPr>
          <w:sz w:val="22"/>
          <w:szCs w:val="22"/>
          <w:lang w:val="en-GB"/>
        </w:rPr>
        <w:t xml:space="preserve"> and timber carpentry (</w:t>
      </w:r>
      <w:r w:rsidR="00EB4E25">
        <w:rPr>
          <w:sz w:val="22"/>
          <w:szCs w:val="22"/>
          <w:lang w:val="en-GB"/>
        </w:rPr>
        <w:t>-1.2%</w:t>
      </w:r>
      <w:r w:rsidR="007D20CC">
        <w:rPr>
          <w:sz w:val="22"/>
          <w:szCs w:val="22"/>
          <w:lang w:val="en-GB"/>
        </w:rPr>
        <w:t xml:space="preserve">), </w:t>
      </w:r>
      <w:r w:rsidR="005D26DD">
        <w:rPr>
          <w:sz w:val="22"/>
          <w:szCs w:val="22"/>
          <w:lang w:val="en-GB"/>
        </w:rPr>
        <w:t xml:space="preserve">partly offset by </w:t>
      </w:r>
      <w:r w:rsidR="007D20CC">
        <w:rPr>
          <w:sz w:val="22"/>
          <w:szCs w:val="22"/>
          <w:lang w:val="en-GB"/>
        </w:rPr>
        <w:t>an increase in the prices of premixed mortar (</w:t>
      </w:r>
      <w:r w:rsidR="00EB4E25">
        <w:rPr>
          <w:sz w:val="22"/>
          <w:szCs w:val="22"/>
          <w:lang w:val="en-GB"/>
        </w:rPr>
        <w:t>1.7%</w:t>
      </w:r>
      <w:r w:rsidR="007D20CC">
        <w:rPr>
          <w:sz w:val="22"/>
          <w:szCs w:val="22"/>
          <w:lang w:val="en-GB"/>
        </w:rPr>
        <w:t>)</w:t>
      </w:r>
      <w:r w:rsidR="005D26DD">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7F333F81" w:rsidR="00330D21" w:rsidRDefault="00A813A4" w:rsidP="00583968">
      <w:pPr>
        <w:pStyle w:val="BodyTextIndent"/>
        <w:ind w:right="115" w:firstLine="0"/>
        <w:rPr>
          <w:sz w:val="22"/>
          <w:szCs w:val="22"/>
          <w:lang w:val="en-GB"/>
        </w:rPr>
      </w:pPr>
      <w:r w:rsidRPr="00A813A4">
        <w:rPr>
          <w:noProof/>
        </w:rPr>
        <w:drawing>
          <wp:inline distT="0" distB="0" distL="0" distR="0" wp14:anchorId="6C71F50A" wp14:editId="7293251A">
            <wp:extent cx="2997835" cy="1889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1889760"/>
                    </a:xfrm>
                    <a:prstGeom prst="rect">
                      <a:avLst/>
                    </a:prstGeom>
                    <a:noFill/>
                    <a:ln>
                      <a:noFill/>
                    </a:ln>
                  </pic:spPr>
                </pic:pic>
              </a:graphicData>
            </a:graphic>
          </wp:inline>
        </w:drawing>
      </w:r>
    </w:p>
    <w:p w14:paraId="2815D476" w14:textId="10BCECFF"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increased by 1</w:t>
      </w:r>
      <w:r w:rsidR="00B54FF5">
        <w:rPr>
          <w:sz w:val="22"/>
          <w:szCs w:val="22"/>
          <w:lang w:val="en-GB"/>
        </w:rPr>
        <w:t>4</w:t>
      </w:r>
      <w:r w:rsidR="009C0E92">
        <w:rPr>
          <w:sz w:val="22"/>
          <w:szCs w:val="22"/>
          <w:lang w:val="en-GB"/>
        </w:rPr>
        <w:t>.</w:t>
      </w:r>
      <w:r w:rsidR="00B54FF5">
        <w:rPr>
          <w:sz w:val="22"/>
          <w:szCs w:val="22"/>
          <w:lang w:val="en-GB"/>
        </w:rPr>
        <w:t>4</w:t>
      </w:r>
      <w:r>
        <w:rPr>
          <w:sz w:val="22"/>
          <w:szCs w:val="22"/>
          <w:lang w:val="en-GB"/>
        </w:rPr>
        <w:t xml:space="preserve">% in </w:t>
      </w:r>
      <w:r w:rsidR="00B54FF5">
        <w:rPr>
          <w:sz w:val="22"/>
          <w:szCs w:val="22"/>
          <w:lang w:val="en-GB"/>
        </w:rPr>
        <w:t>July 2022</w:t>
      </w:r>
      <w:r w:rsidR="00403657">
        <w:rPr>
          <w:sz w:val="22"/>
          <w:szCs w:val="22"/>
          <w:lang w:val="en-GB"/>
        </w:rPr>
        <w:t>, 1</w:t>
      </w:r>
      <w:r w:rsidR="00B54FF5">
        <w:rPr>
          <w:sz w:val="22"/>
          <w:szCs w:val="22"/>
          <w:lang w:val="en-GB"/>
        </w:rPr>
        <w:t>4.5</w:t>
      </w:r>
      <w:r w:rsidR="00403657">
        <w:rPr>
          <w:sz w:val="22"/>
          <w:szCs w:val="22"/>
          <w:lang w:val="en-GB"/>
        </w:rPr>
        <w:t>% in</w:t>
      </w:r>
      <w:r w:rsidR="00B54FF5">
        <w:rPr>
          <w:sz w:val="22"/>
          <w:szCs w:val="22"/>
          <w:lang w:val="en-GB"/>
        </w:rPr>
        <w:t xml:space="preserve"> August</w:t>
      </w:r>
      <w:r w:rsidR="00FE7767">
        <w:rPr>
          <w:sz w:val="22"/>
          <w:szCs w:val="22"/>
          <w:lang w:val="en-GB"/>
        </w:rPr>
        <w:t xml:space="preserve"> </w:t>
      </w:r>
      <w:r w:rsidR="00403657">
        <w:rPr>
          <w:sz w:val="22"/>
          <w:szCs w:val="22"/>
          <w:lang w:val="en-GB"/>
        </w:rPr>
        <w:t>2022 and 1</w:t>
      </w:r>
      <w:r w:rsidR="00B54FF5">
        <w:rPr>
          <w:sz w:val="22"/>
          <w:szCs w:val="22"/>
          <w:lang w:val="en-GB"/>
        </w:rPr>
        <w:t>2.7</w:t>
      </w:r>
      <w:r w:rsidR="00403657">
        <w:rPr>
          <w:sz w:val="22"/>
          <w:szCs w:val="22"/>
          <w:lang w:val="en-GB"/>
        </w:rPr>
        <w:t xml:space="preserve">% in </w:t>
      </w:r>
      <w:r w:rsidR="00B54FF5">
        <w:rPr>
          <w:sz w:val="22"/>
          <w:szCs w:val="22"/>
          <w:lang w:val="en-GB"/>
        </w:rPr>
        <w:t>September</w:t>
      </w:r>
      <w:r w:rsidR="00403657">
        <w:rPr>
          <w:sz w:val="22"/>
          <w:szCs w:val="22"/>
          <w:lang w:val="en-GB"/>
        </w:rPr>
        <w:t xml:space="preserve"> 2022</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1E34C4BD" w:rsidR="0023169B" w:rsidRDefault="00A813A4" w:rsidP="00127F4A">
      <w:pPr>
        <w:jc w:val="both"/>
        <w:rPr>
          <w:b/>
          <w:sz w:val="22"/>
          <w:szCs w:val="22"/>
          <w:lang w:val="en-GB"/>
        </w:rPr>
      </w:pPr>
      <w:r w:rsidRPr="00A813A4">
        <w:rPr>
          <w:noProof/>
        </w:rPr>
        <w:drawing>
          <wp:inline distT="0" distB="0" distL="0" distR="0" wp14:anchorId="0685D4C8" wp14:editId="451CE79E">
            <wp:extent cx="2997835" cy="21094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109470"/>
                    </a:xfrm>
                    <a:prstGeom prst="rect">
                      <a:avLst/>
                    </a:prstGeom>
                    <a:noFill/>
                    <a:ln>
                      <a:noFill/>
                    </a:ln>
                  </pic:spPr>
                </pic:pic>
              </a:graphicData>
            </a:graphic>
          </wp:inline>
        </w:drawing>
      </w:r>
    </w:p>
    <w:p w14:paraId="246A3122" w14:textId="77777777"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18631F91" w14:textId="73C062A9" w:rsidR="00BD5EF9" w:rsidRPr="008F6137" w:rsidRDefault="00BD5EF9" w:rsidP="00BD5EF9">
      <w:pPr>
        <w:pStyle w:val="BodyTextIndent"/>
        <w:ind w:right="115" w:firstLine="0"/>
        <w:rPr>
          <w:sz w:val="22"/>
          <w:szCs w:val="22"/>
        </w:rPr>
      </w:pPr>
      <w:r w:rsidRPr="008F6137">
        <w:rPr>
          <w:sz w:val="22"/>
          <w:szCs w:val="22"/>
        </w:rPr>
        <w:t>The “</w:t>
      </w:r>
      <w:proofErr w:type="spellStart"/>
      <w:r w:rsidRPr="008F6137">
        <w:rPr>
          <w:sz w:val="22"/>
          <w:szCs w:val="22"/>
        </w:rPr>
        <w:t>La</w:t>
      </w:r>
      <w:r>
        <w:rPr>
          <w:sz w:val="22"/>
          <w:szCs w:val="22"/>
        </w:rPr>
        <w:t>bour</w:t>
      </w:r>
      <w:proofErr w:type="spellEnd"/>
      <w:r>
        <w:rPr>
          <w:sz w:val="22"/>
          <w:szCs w:val="22"/>
        </w:rPr>
        <w:t xml:space="preserve">” sub-index </w:t>
      </w:r>
      <w:r w:rsidRPr="008F6137">
        <w:rPr>
          <w:sz w:val="22"/>
          <w:szCs w:val="22"/>
        </w:rPr>
        <w:t xml:space="preserve">remained unchanged during the </w:t>
      </w:r>
      <w:r w:rsidR="00C116C8">
        <w:rPr>
          <w:sz w:val="22"/>
          <w:szCs w:val="22"/>
        </w:rPr>
        <w:t>third</w:t>
      </w:r>
      <w:r w:rsidR="0006238E">
        <w:rPr>
          <w:sz w:val="22"/>
          <w:szCs w:val="22"/>
        </w:rPr>
        <w:t xml:space="preserve"> quarter of 2022</w:t>
      </w:r>
      <w:r w:rsidRPr="008F6137">
        <w:rPr>
          <w:sz w:val="22"/>
          <w:szCs w:val="22"/>
        </w:rPr>
        <w:t>.</w:t>
      </w:r>
    </w:p>
    <w:p w14:paraId="313BD1F0" w14:textId="77777777" w:rsidR="00127F4A" w:rsidRDefault="00127F4A" w:rsidP="000A520A">
      <w:pPr>
        <w:pStyle w:val="BodyTextIndent"/>
        <w:spacing w:line="120" w:lineRule="auto"/>
        <w:ind w:firstLine="0"/>
        <w:rPr>
          <w:sz w:val="22"/>
          <w:lang w:val="en-GB"/>
        </w:rPr>
      </w:pPr>
    </w:p>
    <w:p w14:paraId="37F4E65E" w14:textId="204FD63B" w:rsidR="00DC01D2" w:rsidRDefault="00831EDB" w:rsidP="00127F4A">
      <w:pPr>
        <w:pStyle w:val="BodyTextIndent"/>
        <w:ind w:right="115" w:firstLine="0"/>
        <w:rPr>
          <w:sz w:val="22"/>
          <w:lang w:val="en-GB"/>
        </w:rPr>
      </w:pPr>
      <w:r>
        <w:rPr>
          <w:sz w:val="22"/>
          <w:lang w:val="en-GB"/>
        </w:rPr>
        <w:t xml:space="preserve">The “Hire of plant” sub-index </w:t>
      </w:r>
      <w:r w:rsidR="00C116C8">
        <w:rPr>
          <w:sz w:val="22"/>
          <w:lang w:val="en-GB"/>
        </w:rPr>
        <w:t>increased by 1.6% in July 2022. The sub-index remained at the same level in August 2022 and then increased by 0.7% in September 2022.</w:t>
      </w:r>
    </w:p>
    <w:p w14:paraId="7B16C415" w14:textId="77777777" w:rsidR="00831EDB" w:rsidRDefault="00831EDB" w:rsidP="00E56361">
      <w:pPr>
        <w:pStyle w:val="BodyTextIndent"/>
        <w:ind w:right="5" w:firstLine="0"/>
        <w:rPr>
          <w:sz w:val="22"/>
          <w:lang w:val="en-GB"/>
        </w:rPr>
      </w:pPr>
    </w:p>
    <w:p w14:paraId="336D5543" w14:textId="5F404F71" w:rsidR="00436863"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6863A2">
        <w:rPr>
          <w:sz w:val="22"/>
          <w:szCs w:val="22"/>
        </w:rPr>
        <w:t xml:space="preserve">increased by </w:t>
      </w:r>
      <w:r w:rsidR="00C116C8">
        <w:rPr>
          <w:sz w:val="22"/>
          <w:szCs w:val="22"/>
        </w:rPr>
        <w:t>0.1</w:t>
      </w:r>
      <w:r w:rsidR="005C44E3" w:rsidRPr="008F6137">
        <w:rPr>
          <w:sz w:val="22"/>
          <w:szCs w:val="22"/>
        </w:rPr>
        <w:t xml:space="preserve">% in </w:t>
      </w:r>
      <w:r w:rsidR="00C116C8">
        <w:rPr>
          <w:sz w:val="22"/>
          <w:szCs w:val="22"/>
        </w:rPr>
        <w:t>July 2022</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increases in the prices</w:t>
      </w:r>
      <w:r w:rsidR="00D209A5">
        <w:rPr>
          <w:sz w:val="22"/>
          <w:szCs w:val="22"/>
          <w:lang w:val="en-GB"/>
        </w:rPr>
        <w:t xml:space="preserve"> </w:t>
      </w:r>
      <w:r w:rsidR="00DC01D2">
        <w:rPr>
          <w:sz w:val="22"/>
          <w:szCs w:val="22"/>
          <w:lang w:val="en-GB"/>
        </w:rPr>
        <w:t xml:space="preserve">of </w:t>
      </w:r>
      <w:r w:rsidR="00733A14">
        <w:rPr>
          <w:sz w:val="22"/>
          <w:szCs w:val="22"/>
          <w:lang w:val="en-GB"/>
        </w:rPr>
        <w:t xml:space="preserve">cement (0.2%), </w:t>
      </w:r>
      <w:r w:rsidR="00C116C8">
        <w:rPr>
          <w:sz w:val="22"/>
          <w:szCs w:val="22"/>
          <w:lang w:val="en-GB"/>
        </w:rPr>
        <w:t>aggregate (0.7%), timbe</w:t>
      </w:r>
      <w:r w:rsidR="009C0E92">
        <w:rPr>
          <w:sz w:val="22"/>
          <w:szCs w:val="22"/>
          <w:lang w:val="en-GB"/>
        </w:rPr>
        <w:t>r</w:t>
      </w:r>
      <w:r w:rsidR="00C116C8">
        <w:rPr>
          <w:sz w:val="22"/>
          <w:szCs w:val="22"/>
          <w:lang w:val="en-GB"/>
        </w:rPr>
        <w:t xml:space="preserve"> joinery (0.6%) and plumbing (1.6%), partly offset by a decrease in the prices of steel bars (-0.9%)</w:t>
      </w:r>
      <w:r w:rsidR="00DC01D2">
        <w:rPr>
          <w:sz w:val="22"/>
          <w:szCs w:val="22"/>
          <w:lang w:val="en-GB"/>
        </w:rPr>
        <w:t>.</w:t>
      </w:r>
      <w:r w:rsidR="00E95630">
        <w:rPr>
          <w:sz w:val="22"/>
          <w:szCs w:val="22"/>
          <w:lang w:val="en-GB"/>
        </w:rPr>
        <w:t xml:space="preserve"> In</w:t>
      </w:r>
      <w:r w:rsidR="00C116C8">
        <w:rPr>
          <w:sz w:val="22"/>
          <w:szCs w:val="22"/>
          <w:lang w:val="en-GB"/>
        </w:rPr>
        <w:t xml:space="preserve"> August</w:t>
      </w:r>
      <w:r w:rsidR="00DC01D2">
        <w:rPr>
          <w:sz w:val="22"/>
          <w:szCs w:val="22"/>
          <w:lang w:val="en-GB"/>
        </w:rPr>
        <w:t xml:space="preserve"> </w:t>
      </w:r>
      <w:r w:rsidR="00392AF6">
        <w:rPr>
          <w:sz w:val="22"/>
          <w:szCs w:val="22"/>
          <w:lang w:val="en-GB"/>
        </w:rPr>
        <w:t>2022</w:t>
      </w:r>
      <w:r w:rsidR="0092643F">
        <w:rPr>
          <w:sz w:val="22"/>
          <w:szCs w:val="22"/>
          <w:lang w:val="en-GB"/>
        </w:rPr>
        <w:t xml:space="preserve">, the </w:t>
      </w:r>
      <w:r w:rsidR="001223E2">
        <w:rPr>
          <w:sz w:val="22"/>
          <w:szCs w:val="22"/>
          <w:lang w:val="en-GB"/>
        </w:rPr>
        <w:t xml:space="preserve">materials </w:t>
      </w:r>
      <w:r w:rsidR="0092643F">
        <w:rPr>
          <w:sz w:val="22"/>
          <w:szCs w:val="22"/>
          <w:lang w:val="en-GB"/>
        </w:rPr>
        <w:t xml:space="preserve">sub-index increased by </w:t>
      </w:r>
      <w:r w:rsidR="00C116C8">
        <w:rPr>
          <w:sz w:val="22"/>
          <w:szCs w:val="22"/>
          <w:lang w:val="en-GB"/>
        </w:rPr>
        <w:t>1.0</w:t>
      </w:r>
      <w:r w:rsidR="003E6269">
        <w:rPr>
          <w:sz w:val="22"/>
          <w:szCs w:val="22"/>
          <w:lang w:val="en-GB"/>
        </w:rPr>
        <w:t xml:space="preserve">% mainly due to increases in the prices of </w:t>
      </w:r>
      <w:r w:rsidR="00733A14">
        <w:rPr>
          <w:sz w:val="22"/>
          <w:szCs w:val="22"/>
          <w:lang w:val="en-GB"/>
        </w:rPr>
        <w:t xml:space="preserve">cement (0.2%), </w:t>
      </w:r>
      <w:r w:rsidR="00C116C8">
        <w:rPr>
          <w:sz w:val="22"/>
          <w:szCs w:val="22"/>
          <w:lang w:val="en-GB"/>
        </w:rPr>
        <w:t xml:space="preserve">premixed concrete (2.2%), timber carpentry (1.3%), timber joinery (0.8%), tiles and granite (3.1%), paint (5.5%), laminated flooring (11.6%) and plumbing (0.7%), partly offset by a decrease in the prices of steel </w:t>
      </w:r>
      <w:proofErr w:type="gramStart"/>
      <w:r w:rsidR="00C116C8">
        <w:rPr>
          <w:sz w:val="22"/>
          <w:szCs w:val="22"/>
          <w:lang w:val="en-GB"/>
        </w:rPr>
        <w:t>bars</w:t>
      </w:r>
      <w:r w:rsidR="008E1683">
        <w:rPr>
          <w:sz w:val="22"/>
          <w:szCs w:val="22"/>
          <w:lang w:val="en-GB"/>
        </w:rPr>
        <w:t xml:space="preserve"> </w:t>
      </w:r>
      <w:r w:rsidR="00C116C8">
        <w:rPr>
          <w:sz w:val="22"/>
          <w:szCs w:val="22"/>
          <w:lang w:val="en-GB"/>
        </w:rPr>
        <w:t xml:space="preserve"> (</w:t>
      </w:r>
      <w:proofErr w:type="gramEnd"/>
      <w:r w:rsidR="00C116C8">
        <w:rPr>
          <w:sz w:val="22"/>
          <w:szCs w:val="22"/>
          <w:lang w:val="en-GB"/>
        </w:rPr>
        <w:t>-1.6%)</w:t>
      </w:r>
      <w:r w:rsidR="00DC01D2">
        <w:rPr>
          <w:sz w:val="22"/>
          <w:szCs w:val="22"/>
          <w:lang w:val="en-GB"/>
        </w:rPr>
        <w:t xml:space="preserve">. </w:t>
      </w:r>
      <w:r w:rsidR="003E6269">
        <w:rPr>
          <w:sz w:val="22"/>
          <w:szCs w:val="22"/>
          <w:lang w:val="en-GB"/>
        </w:rPr>
        <w:t>The su</w:t>
      </w:r>
      <w:r w:rsidR="0092643F">
        <w:rPr>
          <w:sz w:val="22"/>
          <w:szCs w:val="22"/>
          <w:lang w:val="en-GB"/>
        </w:rPr>
        <w:t xml:space="preserve">b-index </w:t>
      </w:r>
      <w:r w:rsidR="00C116C8">
        <w:rPr>
          <w:sz w:val="22"/>
          <w:szCs w:val="22"/>
          <w:lang w:val="en-GB"/>
        </w:rPr>
        <w:t>went down by 0.1% in September</w:t>
      </w:r>
      <w:r w:rsidR="00B12310">
        <w:rPr>
          <w:sz w:val="22"/>
          <w:szCs w:val="22"/>
          <w:lang w:val="en-GB"/>
        </w:rPr>
        <w:t xml:space="preserve"> 2022</w:t>
      </w:r>
      <w:r w:rsidR="003E6269">
        <w:rPr>
          <w:sz w:val="22"/>
          <w:szCs w:val="22"/>
          <w:lang w:val="en-GB"/>
        </w:rPr>
        <w:t xml:space="preserve">, as a result </w:t>
      </w:r>
      <w:r w:rsidR="00C116C8">
        <w:rPr>
          <w:sz w:val="22"/>
          <w:szCs w:val="22"/>
          <w:lang w:val="en-GB"/>
        </w:rPr>
        <w:t>of decreases in the prices of steel bars (-2.2%) and timber carpentry (-1.2%), partly offset by an increase in the prices of premixed mortar (1.7%)</w:t>
      </w:r>
      <w:r w:rsidR="004A7A77">
        <w:rPr>
          <w:sz w:val="22"/>
          <w:szCs w:val="22"/>
          <w:lang w:val="en-GB"/>
        </w:rPr>
        <w:t>.</w:t>
      </w:r>
    </w:p>
    <w:p w14:paraId="2D31D1BF" w14:textId="6B486241" w:rsidR="004A7A77" w:rsidRDefault="004A7A77" w:rsidP="003E6269">
      <w:pPr>
        <w:pStyle w:val="BodyTextIndent"/>
        <w:ind w:right="5" w:firstLine="0"/>
        <w:rPr>
          <w:sz w:val="22"/>
          <w:szCs w:val="22"/>
          <w:lang w:val="en-GB"/>
        </w:rPr>
      </w:pPr>
    </w:p>
    <w:p w14:paraId="52EE3798" w14:textId="0C73B8D8" w:rsidR="004A7A77" w:rsidRDefault="004A7A77" w:rsidP="003E6269">
      <w:pPr>
        <w:pStyle w:val="BodyTextIndent"/>
        <w:ind w:right="5" w:firstLine="0"/>
        <w:rPr>
          <w:sz w:val="22"/>
          <w:szCs w:val="22"/>
          <w:lang w:val="en-GB"/>
        </w:rPr>
      </w:pPr>
      <w:r>
        <w:rPr>
          <w:sz w:val="22"/>
          <w:szCs w:val="22"/>
          <w:lang w:val="en-GB"/>
        </w:rPr>
        <w:t xml:space="preserve">The “Transport” sub-index </w:t>
      </w:r>
      <w:r w:rsidR="000860D7">
        <w:rPr>
          <w:sz w:val="22"/>
          <w:szCs w:val="22"/>
          <w:lang w:val="en-GB"/>
        </w:rPr>
        <w:t xml:space="preserve">increased by 9.4% in July 2022 and </w:t>
      </w:r>
      <w:r>
        <w:rPr>
          <w:sz w:val="22"/>
          <w:szCs w:val="22"/>
          <w:lang w:val="en-GB"/>
        </w:rPr>
        <w:t xml:space="preserve">remained unchanged </w:t>
      </w:r>
      <w:r w:rsidR="009C0E92">
        <w:rPr>
          <w:sz w:val="22"/>
          <w:szCs w:val="22"/>
          <w:lang w:val="en-GB"/>
        </w:rPr>
        <w:t xml:space="preserve">in </w:t>
      </w:r>
      <w:r w:rsidR="000860D7">
        <w:rPr>
          <w:sz w:val="22"/>
          <w:szCs w:val="22"/>
          <w:lang w:val="en-GB"/>
        </w:rPr>
        <w:t xml:space="preserve">August and September </w:t>
      </w:r>
      <w:r>
        <w:rPr>
          <w:sz w:val="22"/>
          <w:szCs w:val="22"/>
          <w:lang w:val="en-GB"/>
        </w:rPr>
        <w:t>2022.</w:t>
      </w:r>
    </w:p>
    <w:p w14:paraId="046CBA18" w14:textId="77777777" w:rsidR="009657FC" w:rsidRPr="008F6137" w:rsidRDefault="009657FC" w:rsidP="000A520A">
      <w:pPr>
        <w:pStyle w:val="BodyTextIndent"/>
        <w:spacing w:line="120" w:lineRule="auto"/>
        <w:ind w:right="113" w:firstLine="0"/>
        <w:rPr>
          <w:sz w:val="22"/>
          <w:szCs w:val="22"/>
          <w:lang w:val="en-GB"/>
        </w:rPr>
      </w:pPr>
    </w:p>
    <w:p w14:paraId="5A2BDA86" w14:textId="7F747B00"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0860D7">
        <w:rPr>
          <w:sz w:val="22"/>
          <w:szCs w:val="22"/>
          <w:lang w:val="en-GB"/>
        </w:rPr>
        <w:t>October</w:t>
      </w:r>
      <w:r w:rsidR="00810D8E">
        <w:rPr>
          <w:sz w:val="22"/>
          <w:szCs w:val="22"/>
          <w:lang w:val="en-GB"/>
        </w:rPr>
        <w:t xml:space="preserve"> 2021</w:t>
      </w:r>
      <w:r w:rsidR="00AD4D57">
        <w:rPr>
          <w:sz w:val="22"/>
          <w:szCs w:val="22"/>
          <w:lang w:val="en-GB"/>
        </w:rPr>
        <w:t xml:space="preserve"> to </w:t>
      </w:r>
      <w:r w:rsidR="000860D7">
        <w:rPr>
          <w:sz w:val="22"/>
          <w:szCs w:val="22"/>
          <w:lang w:val="en-GB"/>
        </w:rPr>
        <w:t>September</w:t>
      </w:r>
      <w:r w:rsidR="00B12310">
        <w:rPr>
          <w:sz w:val="22"/>
          <w:szCs w:val="22"/>
          <w:lang w:val="en-GB"/>
        </w:rPr>
        <w:t xml:space="preserve"> 2022</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6FFA5F37" w:rsidR="00633831" w:rsidRDefault="00FC20C4" w:rsidP="005B1687">
      <w:pPr>
        <w:jc w:val="both"/>
        <w:rPr>
          <w:sz w:val="22"/>
          <w:szCs w:val="22"/>
        </w:rPr>
      </w:pPr>
      <w:r>
        <w:rPr>
          <w:sz w:val="22"/>
          <w:szCs w:val="22"/>
        </w:rPr>
        <w:t xml:space="preserve">In </w:t>
      </w:r>
      <w:r w:rsidR="00B42D9F">
        <w:rPr>
          <w:sz w:val="22"/>
          <w:szCs w:val="22"/>
        </w:rPr>
        <w:t>July</w:t>
      </w:r>
      <w:r w:rsidR="00B51E39">
        <w:rPr>
          <w:sz w:val="22"/>
          <w:szCs w:val="22"/>
        </w:rPr>
        <w:t xml:space="preserve"> 2022</w:t>
      </w:r>
      <w:r w:rsidR="00B23935">
        <w:rPr>
          <w:sz w:val="22"/>
          <w:szCs w:val="22"/>
        </w:rPr>
        <w:t xml:space="preserve">, </w:t>
      </w:r>
      <w:r w:rsidR="009E1559">
        <w:rPr>
          <w:sz w:val="22"/>
          <w:szCs w:val="22"/>
        </w:rPr>
        <w:t>the grey building sub-ind</w:t>
      </w:r>
      <w:r w:rsidR="005B1687">
        <w:rPr>
          <w:sz w:val="22"/>
          <w:szCs w:val="22"/>
        </w:rPr>
        <w:t xml:space="preserve">ex registered an increase of </w:t>
      </w:r>
      <w:r w:rsidR="00B42D9F">
        <w:rPr>
          <w:sz w:val="22"/>
          <w:szCs w:val="22"/>
        </w:rPr>
        <w:t>0.4</w:t>
      </w:r>
      <w:r w:rsidR="009E1559">
        <w:rPr>
          <w:sz w:val="22"/>
          <w:szCs w:val="22"/>
        </w:rPr>
        <w:t>% to reac</w:t>
      </w:r>
      <w:r w:rsidR="005B1687">
        <w:rPr>
          <w:sz w:val="22"/>
          <w:szCs w:val="22"/>
        </w:rPr>
        <w:t>h 1</w:t>
      </w:r>
      <w:r w:rsidR="00B42D9F">
        <w:rPr>
          <w:sz w:val="22"/>
          <w:szCs w:val="22"/>
        </w:rPr>
        <w:t>30.3</w:t>
      </w:r>
      <w:r w:rsidR="005B1687">
        <w:rPr>
          <w:sz w:val="22"/>
          <w:szCs w:val="22"/>
        </w:rPr>
        <w:t xml:space="preserve"> from 1</w:t>
      </w:r>
      <w:r w:rsidR="00B51E39">
        <w:rPr>
          <w:sz w:val="22"/>
          <w:szCs w:val="22"/>
        </w:rPr>
        <w:t>2</w:t>
      </w:r>
      <w:r w:rsidR="00B42D9F">
        <w:rPr>
          <w:sz w:val="22"/>
          <w:szCs w:val="22"/>
        </w:rPr>
        <w:t>9.8</w:t>
      </w:r>
      <w:r w:rsidR="00BC7D77">
        <w:rPr>
          <w:sz w:val="22"/>
          <w:szCs w:val="22"/>
        </w:rPr>
        <w:t xml:space="preserve"> in </w:t>
      </w:r>
      <w:r w:rsidR="00B42D9F">
        <w:rPr>
          <w:sz w:val="22"/>
          <w:szCs w:val="22"/>
        </w:rPr>
        <w:t>June</w:t>
      </w:r>
      <w:r w:rsidR="0069328E">
        <w:rPr>
          <w:sz w:val="22"/>
          <w:szCs w:val="22"/>
        </w:rPr>
        <w:t xml:space="preserve"> </w:t>
      </w:r>
      <w:r w:rsidR="00934082">
        <w:rPr>
          <w:sz w:val="22"/>
          <w:szCs w:val="22"/>
        </w:rPr>
        <w:t>202</w:t>
      </w:r>
      <w:r w:rsidR="0069328E">
        <w:rPr>
          <w:sz w:val="22"/>
          <w:szCs w:val="22"/>
        </w:rPr>
        <w:t>2</w:t>
      </w:r>
      <w:r w:rsidR="009E1559">
        <w:rPr>
          <w:sz w:val="22"/>
          <w:szCs w:val="22"/>
        </w:rPr>
        <w:t xml:space="preserve">. </w:t>
      </w:r>
      <w:r w:rsidR="00633831">
        <w:rPr>
          <w:sz w:val="22"/>
          <w:szCs w:val="22"/>
        </w:rPr>
        <w:t xml:space="preserve">This increase was mainly due </w:t>
      </w:r>
      <w:r w:rsidR="0074387C">
        <w:rPr>
          <w:sz w:val="22"/>
          <w:szCs w:val="22"/>
        </w:rPr>
        <w:t xml:space="preserve">to </w:t>
      </w:r>
      <w:r w:rsidR="00B42D9F">
        <w:rPr>
          <w:sz w:val="22"/>
          <w:szCs w:val="22"/>
        </w:rPr>
        <w:t>higher transportation cost (9.4%), coupled with an increase</w:t>
      </w:r>
      <w:r w:rsidR="0069328E">
        <w:rPr>
          <w:sz w:val="22"/>
          <w:szCs w:val="22"/>
        </w:rPr>
        <w:t xml:space="preserve"> in the prices of </w:t>
      </w:r>
      <w:r w:rsidR="00B251FD">
        <w:rPr>
          <w:sz w:val="22"/>
          <w:szCs w:val="22"/>
        </w:rPr>
        <w:t xml:space="preserve">cement (0.2%), </w:t>
      </w:r>
      <w:r w:rsidR="00B42D9F">
        <w:rPr>
          <w:sz w:val="22"/>
          <w:szCs w:val="22"/>
          <w:lang w:val="en-GB"/>
        </w:rPr>
        <w:t>aggregate (0.7%), partly offset by a decrease in the prices of steel bars</w:t>
      </w:r>
      <w:proofErr w:type="gramStart"/>
      <w:r w:rsidR="008E1683">
        <w:rPr>
          <w:sz w:val="22"/>
          <w:szCs w:val="22"/>
          <w:lang w:val="en-GB"/>
        </w:rPr>
        <w:t xml:space="preserve">  </w:t>
      </w:r>
      <w:r w:rsidR="00B42D9F">
        <w:rPr>
          <w:sz w:val="22"/>
          <w:szCs w:val="22"/>
          <w:lang w:val="en-GB"/>
        </w:rPr>
        <w:t xml:space="preserve"> (</w:t>
      </w:r>
      <w:proofErr w:type="gramEnd"/>
      <w:r w:rsidR="00B42D9F">
        <w:rPr>
          <w:sz w:val="22"/>
          <w:szCs w:val="22"/>
          <w:lang w:val="en-GB"/>
        </w:rPr>
        <w:t>-0.9%)</w:t>
      </w:r>
      <w:r w:rsidR="0069328E">
        <w:rPr>
          <w:sz w:val="22"/>
          <w:szCs w:val="22"/>
          <w:lang w:val="en-GB"/>
        </w:rPr>
        <w:t>.</w:t>
      </w:r>
    </w:p>
    <w:p w14:paraId="2766DA0C" w14:textId="5DDE1BA3" w:rsidR="008A18D7" w:rsidRDefault="008A18D7" w:rsidP="008A18D7">
      <w:pPr>
        <w:jc w:val="both"/>
        <w:rPr>
          <w:sz w:val="22"/>
          <w:szCs w:val="22"/>
        </w:rPr>
      </w:pPr>
    </w:p>
    <w:p w14:paraId="2FC7B608" w14:textId="47C47F04"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B42D9F">
        <w:rPr>
          <w:sz w:val="22"/>
          <w:szCs w:val="22"/>
        </w:rPr>
        <w:t xml:space="preserve">“Earthworks” (1.7%), </w:t>
      </w:r>
      <w:r w:rsidR="00394A4A">
        <w:rPr>
          <w:sz w:val="22"/>
          <w:szCs w:val="22"/>
        </w:rPr>
        <w:t>“Concrete works” (</w:t>
      </w:r>
      <w:r w:rsidR="00B42D9F">
        <w:rPr>
          <w:sz w:val="22"/>
          <w:szCs w:val="22"/>
        </w:rPr>
        <w:t>0.3</w:t>
      </w:r>
      <w:r w:rsidR="00394A4A">
        <w:rPr>
          <w:sz w:val="22"/>
          <w:szCs w:val="22"/>
        </w:rPr>
        <w:t xml:space="preserve">%), </w:t>
      </w:r>
      <w:r w:rsidR="00707C52">
        <w:rPr>
          <w:sz w:val="22"/>
          <w:szCs w:val="22"/>
        </w:rPr>
        <w:t>“Reinforcement” (</w:t>
      </w:r>
      <w:r w:rsidR="00B42D9F">
        <w:rPr>
          <w:sz w:val="22"/>
          <w:szCs w:val="22"/>
        </w:rPr>
        <w:t>-0.9</w:t>
      </w:r>
      <w:r w:rsidR="00707C52">
        <w:rPr>
          <w:sz w:val="22"/>
          <w:szCs w:val="22"/>
        </w:rPr>
        <w:t>%)</w:t>
      </w:r>
      <w:r w:rsidR="00B42D9F">
        <w:rPr>
          <w:sz w:val="22"/>
          <w:szCs w:val="22"/>
        </w:rPr>
        <w:t>, “Formwork” (0.8%), “Blockwork” (0.9%), “Screeding to floors and roofs” (0.8%),</w:t>
      </w:r>
      <w:r w:rsidR="00394A4A">
        <w:rPr>
          <w:sz w:val="22"/>
          <w:szCs w:val="22"/>
        </w:rPr>
        <w:t xml:space="preserve"> </w:t>
      </w:r>
      <w:r w:rsidR="007C41BA">
        <w:rPr>
          <w:sz w:val="22"/>
          <w:szCs w:val="22"/>
        </w:rPr>
        <w:t>“Plumbing and drainage” (</w:t>
      </w:r>
      <w:r w:rsidR="00B42D9F">
        <w:rPr>
          <w:sz w:val="22"/>
          <w:szCs w:val="22"/>
        </w:rPr>
        <w:t>1.6</w:t>
      </w:r>
      <w:r w:rsidR="007C41BA">
        <w:rPr>
          <w:sz w:val="22"/>
          <w:szCs w:val="22"/>
        </w:rPr>
        <w:t>%)</w:t>
      </w:r>
      <w:r w:rsidR="00B42D9F">
        <w:rPr>
          <w:sz w:val="22"/>
          <w:szCs w:val="22"/>
        </w:rPr>
        <w:t xml:space="preserve"> and “Site overhead costs” (</w:t>
      </w:r>
      <w:r w:rsidR="00F0555C">
        <w:rPr>
          <w:sz w:val="22"/>
          <w:szCs w:val="22"/>
        </w:rPr>
        <w:t>0.8%</w:t>
      </w:r>
      <w:r w:rsidR="00B42D9F">
        <w:rPr>
          <w:sz w:val="22"/>
          <w:szCs w:val="22"/>
        </w:rPr>
        <w:t>)</w:t>
      </w:r>
      <w:r w:rsidR="007C41BA">
        <w:rPr>
          <w:sz w:val="22"/>
          <w:szCs w:val="22"/>
        </w:rPr>
        <w:t>.</w:t>
      </w:r>
    </w:p>
    <w:p w14:paraId="12EF3736" w14:textId="77777777" w:rsidR="00B071E9" w:rsidRDefault="00B071E9" w:rsidP="007316E4">
      <w:pPr>
        <w:spacing w:line="120" w:lineRule="auto"/>
        <w:jc w:val="both"/>
        <w:rPr>
          <w:sz w:val="22"/>
          <w:szCs w:val="22"/>
        </w:rPr>
      </w:pPr>
    </w:p>
    <w:p w14:paraId="6A25A5F1" w14:textId="3CA24A59" w:rsidR="00636091" w:rsidRDefault="0076143E" w:rsidP="00636091">
      <w:pPr>
        <w:pStyle w:val="BodyTextIndent"/>
        <w:ind w:right="5" w:firstLine="0"/>
        <w:rPr>
          <w:sz w:val="22"/>
          <w:szCs w:val="22"/>
          <w:lang w:val="en-GB"/>
        </w:rPr>
      </w:pPr>
      <w:r>
        <w:rPr>
          <w:sz w:val="22"/>
          <w:szCs w:val="22"/>
        </w:rPr>
        <w:t xml:space="preserve">The grey building sub-index </w:t>
      </w:r>
      <w:r w:rsidR="00BA52BD">
        <w:rPr>
          <w:sz w:val="22"/>
          <w:szCs w:val="22"/>
        </w:rPr>
        <w:t xml:space="preserve">further increased by </w:t>
      </w:r>
      <w:r w:rsidR="00B02611">
        <w:rPr>
          <w:sz w:val="22"/>
          <w:szCs w:val="22"/>
        </w:rPr>
        <w:t>0.3</w:t>
      </w:r>
      <w:r w:rsidR="0019477D">
        <w:rPr>
          <w:sz w:val="22"/>
          <w:szCs w:val="22"/>
        </w:rPr>
        <w:t xml:space="preserve">% in </w:t>
      </w:r>
      <w:r w:rsidR="00B02611">
        <w:rPr>
          <w:sz w:val="22"/>
          <w:szCs w:val="22"/>
        </w:rPr>
        <w:t>August</w:t>
      </w:r>
      <w:r w:rsidR="000D23EC">
        <w:rPr>
          <w:sz w:val="22"/>
          <w:szCs w:val="22"/>
        </w:rPr>
        <w:t xml:space="preserve"> </w:t>
      </w:r>
      <w:r w:rsidR="00AF1E19">
        <w:rPr>
          <w:sz w:val="22"/>
          <w:szCs w:val="22"/>
        </w:rPr>
        <w:t>2022</w:t>
      </w:r>
      <w:r w:rsidR="00BA52BD">
        <w:rPr>
          <w:sz w:val="22"/>
          <w:szCs w:val="22"/>
        </w:rPr>
        <w:t xml:space="preserve"> to reach 1</w:t>
      </w:r>
      <w:r w:rsidR="00B02611">
        <w:rPr>
          <w:sz w:val="22"/>
          <w:szCs w:val="22"/>
        </w:rPr>
        <w:t>30.7</w:t>
      </w:r>
      <w:r w:rsidR="0019477D">
        <w:rPr>
          <w:sz w:val="22"/>
          <w:szCs w:val="22"/>
        </w:rPr>
        <w:t xml:space="preserve">. </w:t>
      </w:r>
      <w:r w:rsidR="00BA52BD">
        <w:rPr>
          <w:sz w:val="22"/>
          <w:szCs w:val="22"/>
        </w:rPr>
        <w:t xml:space="preserve">The </w:t>
      </w:r>
      <w:r w:rsidR="00B02611">
        <w:rPr>
          <w:sz w:val="22"/>
          <w:szCs w:val="22"/>
        </w:rPr>
        <w:t>0.3</w:t>
      </w:r>
      <w:r w:rsidR="00F455BD">
        <w:rPr>
          <w:sz w:val="22"/>
          <w:szCs w:val="22"/>
        </w:rPr>
        <w:t xml:space="preserve">% increase </w:t>
      </w:r>
      <w:r w:rsidR="00580B28">
        <w:rPr>
          <w:sz w:val="22"/>
          <w:szCs w:val="22"/>
        </w:rPr>
        <w:t>is due</w:t>
      </w:r>
      <w:r w:rsidR="00F455BD">
        <w:rPr>
          <w:sz w:val="22"/>
          <w:szCs w:val="22"/>
          <w:lang w:val="en-GB"/>
        </w:rPr>
        <w:t xml:space="preserve"> </w:t>
      </w:r>
      <w:r w:rsidR="00EC0AD1">
        <w:rPr>
          <w:sz w:val="22"/>
          <w:szCs w:val="22"/>
          <w:lang w:val="en-GB"/>
        </w:rPr>
        <w:t xml:space="preserve">mainly </w:t>
      </w:r>
      <w:r w:rsidR="00F455BD">
        <w:rPr>
          <w:sz w:val="22"/>
          <w:szCs w:val="22"/>
          <w:lang w:val="en-GB"/>
        </w:rPr>
        <w:t xml:space="preserve">to </w:t>
      </w:r>
      <w:r w:rsidR="00B02611">
        <w:rPr>
          <w:sz w:val="22"/>
          <w:szCs w:val="22"/>
          <w:lang w:val="en-GB"/>
        </w:rPr>
        <w:t xml:space="preserve">higher prices of </w:t>
      </w:r>
      <w:r w:rsidR="00B251FD">
        <w:rPr>
          <w:sz w:val="22"/>
          <w:szCs w:val="22"/>
          <w:lang w:val="en-GB"/>
        </w:rPr>
        <w:t xml:space="preserve">cement (0.2%), </w:t>
      </w:r>
      <w:r w:rsidR="00B02611">
        <w:rPr>
          <w:sz w:val="22"/>
          <w:szCs w:val="22"/>
          <w:lang w:val="en-GB"/>
        </w:rPr>
        <w:t>premixed concrete (2.2%) and timber carpentry (1.3%), partly offset by a decrease in the prices of steel bars (-1.6%).</w:t>
      </w:r>
    </w:p>
    <w:p w14:paraId="1C167023" w14:textId="415BFFD8" w:rsidR="00F455BD" w:rsidRDefault="00F455BD" w:rsidP="00636091">
      <w:pPr>
        <w:jc w:val="both"/>
        <w:rPr>
          <w:sz w:val="22"/>
          <w:szCs w:val="22"/>
          <w:lang w:val="en-GB"/>
        </w:rPr>
      </w:pPr>
    </w:p>
    <w:p w14:paraId="23D8B513" w14:textId="1FFD613A"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FA7D06">
        <w:rPr>
          <w:sz w:val="22"/>
          <w:szCs w:val="22"/>
        </w:rPr>
        <w:t>“Concrete works” (</w:t>
      </w:r>
      <w:r w:rsidR="00932C67">
        <w:rPr>
          <w:sz w:val="22"/>
          <w:szCs w:val="22"/>
        </w:rPr>
        <w:t>1.6</w:t>
      </w:r>
      <w:r w:rsidR="00FA7D06">
        <w:rPr>
          <w:sz w:val="22"/>
          <w:szCs w:val="22"/>
        </w:rPr>
        <w:t>%), “Reinforcement” (</w:t>
      </w:r>
      <w:r w:rsidR="00932C67">
        <w:rPr>
          <w:sz w:val="22"/>
          <w:szCs w:val="22"/>
        </w:rPr>
        <w:t>-1.4</w:t>
      </w:r>
      <w:r w:rsidR="00FA7D06">
        <w:rPr>
          <w:sz w:val="22"/>
          <w:szCs w:val="22"/>
        </w:rPr>
        <w:t>%),</w:t>
      </w:r>
      <w:r w:rsidR="00722633">
        <w:rPr>
          <w:sz w:val="22"/>
          <w:szCs w:val="22"/>
        </w:rPr>
        <w:t xml:space="preserve"> “Formwork” (</w:t>
      </w:r>
      <w:r w:rsidR="00932C67">
        <w:rPr>
          <w:sz w:val="22"/>
          <w:szCs w:val="22"/>
        </w:rPr>
        <w:t>0.5</w:t>
      </w:r>
      <w:r w:rsidR="008966F7">
        <w:rPr>
          <w:sz w:val="22"/>
          <w:szCs w:val="22"/>
        </w:rPr>
        <w:t>%</w:t>
      </w:r>
      <w:r w:rsidR="00722633">
        <w:rPr>
          <w:sz w:val="22"/>
          <w:szCs w:val="22"/>
        </w:rPr>
        <w:t>),</w:t>
      </w:r>
      <w:r w:rsidR="00D80332">
        <w:rPr>
          <w:sz w:val="22"/>
          <w:szCs w:val="22"/>
        </w:rPr>
        <w:t xml:space="preserve"> “Tiling” (</w:t>
      </w:r>
      <w:r w:rsidR="00932C67">
        <w:rPr>
          <w:sz w:val="22"/>
          <w:szCs w:val="22"/>
        </w:rPr>
        <w:t>3.0</w:t>
      </w:r>
      <w:r w:rsidR="00D80332">
        <w:rPr>
          <w:sz w:val="22"/>
          <w:szCs w:val="22"/>
        </w:rPr>
        <w:t>%), “Painting” (</w:t>
      </w:r>
      <w:r w:rsidR="00932C67">
        <w:rPr>
          <w:sz w:val="22"/>
          <w:szCs w:val="22"/>
        </w:rPr>
        <w:t>3.3</w:t>
      </w:r>
      <w:r w:rsidR="00D80332">
        <w:rPr>
          <w:sz w:val="22"/>
          <w:szCs w:val="22"/>
        </w:rPr>
        <w:t xml:space="preserve">%), </w:t>
      </w:r>
      <w:r w:rsidR="00FA7D06">
        <w:rPr>
          <w:sz w:val="22"/>
          <w:szCs w:val="22"/>
        </w:rPr>
        <w:t>“</w:t>
      </w:r>
      <w:r w:rsidR="00D80332">
        <w:rPr>
          <w:sz w:val="22"/>
          <w:szCs w:val="22"/>
        </w:rPr>
        <w:t>Parquet</w:t>
      </w:r>
      <w:r w:rsidR="00FA7D06">
        <w:rPr>
          <w:sz w:val="22"/>
          <w:szCs w:val="22"/>
        </w:rPr>
        <w:t>” (</w:t>
      </w:r>
      <w:r w:rsidR="00932C67">
        <w:rPr>
          <w:sz w:val="22"/>
          <w:szCs w:val="22"/>
        </w:rPr>
        <w:t>11.1</w:t>
      </w:r>
      <w:r w:rsidR="00FA7D06">
        <w:rPr>
          <w:sz w:val="22"/>
          <w:szCs w:val="22"/>
        </w:rPr>
        <w:t>%),</w:t>
      </w:r>
      <w:r w:rsidR="00722633">
        <w:rPr>
          <w:sz w:val="22"/>
          <w:szCs w:val="22"/>
        </w:rPr>
        <w:t xml:space="preserve"> </w:t>
      </w:r>
      <w:r w:rsidR="00D80332">
        <w:rPr>
          <w:sz w:val="22"/>
          <w:szCs w:val="22"/>
        </w:rPr>
        <w:t xml:space="preserve">and </w:t>
      </w:r>
      <w:r w:rsidR="00722633">
        <w:rPr>
          <w:sz w:val="22"/>
          <w:szCs w:val="22"/>
        </w:rPr>
        <w:t>“Plumbing and drainage” (</w:t>
      </w:r>
      <w:r w:rsidR="00932C67">
        <w:rPr>
          <w:sz w:val="22"/>
          <w:szCs w:val="22"/>
        </w:rPr>
        <w:t>0.5</w:t>
      </w:r>
      <w:r w:rsidR="008966F7">
        <w:rPr>
          <w:sz w:val="22"/>
          <w:szCs w:val="22"/>
        </w:rPr>
        <w:t>%</w:t>
      </w:r>
      <w:r w:rsidR="00722633">
        <w:rPr>
          <w:sz w:val="22"/>
          <w:szCs w:val="22"/>
        </w:rPr>
        <w:t>)</w:t>
      </w:r>
      <w:r w:rsidR="00D80332">
        <w:rPr>
          <w:sz w:val="22"/>
          <w:szCs w:val="22"/>
        </w:rPr>
        <w:t>.</w:t>
      </w:r>
    </w:p>
    <w:p w14:paraId="4BA762E2" w14:textId="77777777" w:rsidR="002D05CC" w:rsidRDefault="002D05CC" w:rsidP="002352D1">
      <w:pPr>
        <w:spacing w:line="120" w:lineRule="auto"/>
        <w:jc w:val="both"/>
        <w:rPr>
          <w:sz w:val="22"/>
          <w:szCs w:val="22"/>
        </w:rPr>
      </w:pPr>
    </w:p>
    <w:p w14:paraId="6F894ECB" w14:textId="0736B51D" w:rsidR="002D05CC" w:rsidRPr="00C24396" w:rsidRDefault="00C9371D" w:rsidP="00C24396">
      <w:pPr>
        <w:pStyle w:val="BodyTextIndent"/>
        <w:ind w:right="5" w:firstLine="0"/>
        <w:rPr>
          <w:sz w:val="22"/>
          <w:szCs w:val="22"/>
          <w:lang w:val="en-GB"/>
        </w:rPr>
      </w:pPr>
      <w:r>
        <w:rPr>
          <w:sz w:val="22"/>
          <w:szCs w:val="22"/>
        </w:rPr>
        <w:t xml:space="preserve">In </w:t>
      </w:r>
      <w:r w:rsidR="00932C67">
        <w:rPr>
          <w:sz w:val="22"/>
          <w:szCs w:val="22"/>
        </w:rPr>
        <w:t>September</w:t>
      </w:r>
      <w:r w:rsidR="00FE42F3">
        <w:rPr>
          <w:sz w:val="22"/>
          <w:szCs w:val="22"/>
        </w:rPr>
        <w:t xml:space="preserve"> 2022</w:t>
      </w:r>
      <w:r w:rsidR="002D05CC">
        <w:rPr>
          <w:sz w:val="22"/>
          <w:szCs w:val="22"/>
        </w:rPr>
        <w:t xml:space="preserve">, the grey building sub-index </w:t>
      </w:r>
      <w:r w:rsidR="00932C67">
        <w:rPr>
          <w:sz w:val="22"/>
          <w:szCs w:val="22"/>
        </w:rPr>
        <w:t>contracted</w:t>
      </w:r>
      <w:r>
        <w:rPr>
          <w:sz w:val="22"/>
          <w:szCs w:val="22"/>
        </w:rPr>
        <w:t xml:space="preserve"> by </w:t>
      </w:r>
      <w:r w:rsidR="00F52152">
        <w:rPr>
          <w:sz w:val="22"/>
          <w:szCs w:val="22"/>
        </w:rPr>
        <w:t>0.</w:t>
      </w:r>
      <w:r w:rsidR="00932C67">
        <w:rPr>
          <w:sz w:val="22"/>
          <w:szCs w:val="22"/>
        </w:rPr>
        <w:t>3</w:t>
      </w:r>
      <w:r w:rsidR="00872BF7">
        <w:rPr>
          <w:sz w:val="22"/>
          <w:szCs w:val="22"/>
        </w:rPr>
        <w:t xml:space="preserve">% to reach </w:t>
      </w:r>
      <w:r>
        <w:rPr>
          <w:sz w:val="22"/>
          <w:szCs w:val="22"/>
        </w:rPr>
        <w:t>1</w:t>
      </w:r>
      <w:r w:rsidR="00932C67">
        <w:rPr>
          <w:sz w:val="22"/>
          <w:szCs w:val="22"/>
        </w:rPr>
        <w:t>30.3</w:t>
      </w:r>
      <w:r w:rsidR="002D05CC">
        <w:rPr>
          <w:sz w:val="22"/>
          <w:szCs w:val="22"/>
        </w:rPr>
        <w:t xml:space="preserve">. </w:t>
      </w:r>
      <w:r w:rsidR="00143EFB">
        <w:rPr>
          <w:sz w:val="22"/>
          <w:szCs w:val="22"/>
        </w:rPr>
        <w:t xml:space="preserve">This </w:t>
      </w:r>
      <w:r w:rsidR="00932C67">
        <w:rPr>
          <w:sz w:val="22"/>
          <w:szCs w:val="22"/>
        </w:rPr>
        <w:t>decrease</w:t>
      </w:r>
      <w:r w:rsidR="00143EFB">
        <w:rPr>
          <w:sz w:val="22"/>
          <w:szCs w:val="22"/>
        </w:rPr>
        <w:t xml:space="preserve"> resulted </w:t>
      </w:r>
      <w:r w:rsidR="00EC0AD1">
        <w:rPr>
          <w:sz w:val="22"/>
          <w:szCs w:val="22"/>
        </w:rPr>
        <w:t xml:space="preserve">mainly </w:t>
      </w:r>
      <w:r w:rsidR="00CD1D5C">
        <w:rPr>
          <w:sz w:val="22"/>
          <w:szCs w:val="22"/>
        </w:rPr>
        <w:t xml:space="preserve">from </w:t>
      </w:r>
      <w:r w:rsidR="00932C67">
        <w:rPr>
          <w:sz w:val="22"/>
          <w:szCs w:val="22"/>
        </w:rPr>
        <w:t xml:space="preserve">lower prices of </w:t>
      </w:r>
      <w:r w:rsidR="00932C67">
        <w:rPr>
          <w:sz w:val="22"/>
          <w:szCs w:val="22"/>
          <w:lang w:val="en-GB"/>
        </w:rPr>
        <w:t>steel bars</w:t>
      </w:r>
      <w:r w:rsidR="008E1683">
        <w:rPr>
          <w:sz w:val="22"/>
          <w:szCs w:val="22"/>
          <w:lang w:val="en-GB"/>
        </w:rPr>
        <w:t xml:space="preserve">           </w:t>
      </w:r>
      <w:proofErr w:type="gramStart"/>
      <w:r w:rsidR="008E1683">
        <w:rPr>
          <w:sz w:val="22"/>
          <w:szCs w:val="22"/>
          <w:lang w:val="en-GB"/>
        </w:rPr>
        <w:t xml:space="preserve">   </w:t>
      </w:r>
      <w:r w:rsidR="00932C67">
        <w:rPr>
          <w:sz w:val="22"/>
          <w:szCs w:val="22"/>
          <w:lang w:val="en-GB"/>
        </w:rPr>
        <w:t>(</w:t>
      </w:r>
      <w:proofErr w:type="gramEnd"/>
      <w:r w:rsidR="00932C67">
        <w:rPr>
          <w:sz w:val="22"/>
          <w:szCs w:val="22"/>
          <w:lang w:val="en-GB"/>
        </w:rPr>
        <w:t>-2.2%) and timber carpentry (-1.2%), partly offset by an increase in the prices of premixed mortar (1.7%)</w:t>
      </w:r>
      <w:r w:rsidR="00F64E14">
        <w:rPr>
          <w:sz w:val="22"/>
          <w:szCs w:val="22"/>
          <w:lang w:val="en-GB"/>
        </w:rPr>
        <w:t xml:space="preserve"> and higher rates for the hire of plant (0.7%)</w:t>
      </w:r>
      <w:r w:rsidR="00932C67">
        <w:rPr>
          <w:sz w:val="22"/>
          <w:szCs w:val="22"/>
          <w:lang w:val="en-GB"/>
        </w:rPr>
        <w:t>.</w:t>
      </w:r>
    </w:p>
    <w:p w14:paraId="01A0A1A9" w14:textId="77777777" w:rsidR="00C22ABC" w:rsidRDefault="00C22ABC" w:rsidP="002352D1">
      <w:pPr>
        <w:spacing w:line="120" w:lineRule="auto"/>
        <w:jc w:val="both"/>
        <w:rPr>
          <w:sz w:val="22"/>
          <w:szCs w:val="22"/>
        </w:rPr>
      </w:pPr>
    </w:p>
    <w:p w14:paraId="0712097B" w14:textId="20A0CC33" w:rsidR="00AB06FF" w:rsidRDefault="00C22ABC" w:rsidP="00AB06FF">
      <w:pPr>
        <w:jc w:val="both"/>
        <w:rPr>
          <w:sz w:val="22"/>
          <w:szCs w:val="22"/>
        </w:rPr>
      </w:pPr>
      <w:r>
        <w:rPr>
          <w:sz w:val="22"/>
          <w:szCs w:val="22"/>
        </w:rPr>
        <w:t>At the level of work categories, the main changes are:</w:t>
      </w:r>
      <w:r w:rsidR="002E7D4E">
        <w:rPr>
          <w:sz w:val="22"/>
          <w:szCs w:val="22"/>
        </w:rPr>
        <w:t xml:space="preserve"> </w:t>
      </w:r>
      <w:r w:rsidR="00AB06FF">
        <w:rPr>
          <w:sz w:val="22"/>
          <w:szCs w:val="22"/>
        </w:rPr>
        <w:t>“Reinforcement” (</w:t>
      </w:r>
      <w:r w:rsidR="002E7D4E">
        <w:rPr>
          <w:sz w:val="22"/>
          <w:szCs w:val="22"/>
        </w:rPr>
        <w:t>-1.9</w:t>
      </w:r>
      <w:r w:rsidR="00AB06FF">
        <w:rPr>
          <w:sz w:val="22"/>
          <w:szCs w:val="22"/>
        </w:rPr>
        <w:t>%)</w:t>
      </w:r>
      <w:r w:rsidR="002E7D4E">
        <w:rPr>
          <w:sz w:val="22"/>
          <w:szCs w:val="22"/>
        </w:rPr>
        <w:t xml:space="preserve">, “Formwork” (-0.5%), “Plastering to ceilings and walls” (1.0%) </w:t>
      </w:r>
      <w:r w:rsidR="003E6023">
        <w:rPr>
          <w:sz w:val="22"/>
          <w:szCs w:val="22"/>
        </w:rPr>
        <w:t xml:space="preserve">and </w:t>
      </w:r>
      <w:r w:rsidR="00AB06FF">
        <w:rPr>
          <w:sz w:val="22"/>
          <w:szCs w:val="22"/>
        </w:rPr>
        <w:t>“</w:t>
      </w:r>
      <w:r w:rsidR="002E7D4E">
        <w:rPr>
          <w:sz w:val="22"/>
          <w:szCs w:val="22"/>
        </w:rPr>
        <w:t>Plumbing and Drainage</w:t>
      </w:r>
      <w:r w:rsidR="00AB06FF">
        <w:rPr>
          <w:sz w:val="22"/>
          <w:szCs w:val="22"/>
        </w:rPr>
        <w:t>” (</w:t>
      </w:r>
      <w:r w:rsidR="002E7D4E">
        <w:rPr>
          <w:sz w:val="22"/>
          <w:szCs w:val="22"/>
        </w:rPr>
        <w:t>0.3</w:t>
      </w:r>
      <w:r w:rsidR="00AB06FF">
        <w:rPr>
          <w:sz w:val="22"/>
          <w:szCs w:val="22"/>
        </w:rPr>
        <w:t>%).</w:t>
      </w:r>
    </w:p>
    <w:p w14:paraId="27A4E175" w14:textId="77777777" w:rsidR="00C22ABC" w:rsidRDefault="00C22ABC" w:rsidP="002352D1">
      <w:pPr>
        <w:spacing w:line="120" w:lineRule="auto"/>
        <w:jc w:val="both"/>
        <w:rPr>
          <w:sz w:val="22"/>
          <w:szCs w:val="22"/>
        </w:rPr>
      </w:pPr>
    </w:p>
    <w:p w14:paraId="7B6A0F31" w14:textId="0F1F1C9F"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FB1F3F">
        <w:rPr>
          <w:sz w:val="22"/>
          <w:szCs w:val="22"/>
          <w:lang w:val="en-GB"/>
        </w:rPr>
        <w:t>October</w:t>
      </w:r>
      <w:r w:rsidR="006E1AFF">
        <w:rPr>
          <w:sz w:val="22"/>
          <w:szCs w:val="22"/>
          <w:lang w:val="en-GB"/>
        </w:rPr>
        <w:t xml:space="preserve"> 2021</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0E210D49" w:rsidR="00127F4A" w:rsidRDefault="00052440" w:rsidP="00127F4A">
      <w:pPr>
        <w:tabs>
          <w:tab w:val="left" w:pos="90"/>
        </w:tabs>
        <w:jc w:val="both"/>
        <w:rPr>
          <w:b/>
          <w:i/>
          <w:sz w:val="22"/>
          <w:szCs w:val="22"/>
          <w:lang w:val="en-GB"/>
        </w:rPr>
      </w:pPr>
      <w:r>
        <w:rPr>
          <w:b/>
          <w:i/>
          <w:sz w:val="22"/>
          <w:szCs w:val="22"/>
          <w:lang w:val="en-GB"/>
        </w:rPr>
        <w:t>2</w:t>
      </w:r>
      <w:r w:rsidR="00FB1F3F">
        <w:rPr>
          <w:b/>
          <w:i/>
          <w:sz w:val="22"/>
          <w:szCs w:val="22"/>
          <w:lang w:val="en-GB"/>
        </w:rPr>
        <w:t xml:space="preserve">1 </w:t>
      </w:r>
      <w:r w:rsidR="00EC503A">
        <w:rPr>
          <w:b/>
          <w:i/>
          <w:sz w:val="22"/>
          <w:szCs w:val="22"/>
          <w:lang w:val="en-GB"/>
        </w:rPr>
        <w:t>October</w:t>
      </w:r>
      <w:r w:rsidR="002352D1">
        <w:rPr>
          <w:b/>
          <w:i/>
          <w:sz w:val="22"/>
          <w:szCs w:val="22"/>
          <w:lang w:val="en-GB"/>
        </w:rPr>
        <w:t xml:space="preserve"> </w:t>
      </w:r>
      <w:r>
        <w:rPr>
          <w:b/>
          <w:i/>
          <w:sz w:val="22"/>
          <w:szCs w:val="22"/>
          <w:lang w:val="en-GB"/>
        </w:rPr>
        <w:t>2022</w:t>
      </w: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75A3" w14:textId="77777777" w:rsidR="007F5611" w:rsidRDefault="007F5611">
      <w:r>
        <w:separator/>
      </w:r>
    </w:p>
    <w:p w14:paraId="1DFDA73D" w14:textId="77777777" w:rsidR="007F5611" w:rsidRDefault="007F5611"/>
  </w:endnote>
  <w:endnote w:type="continuationSeparator" w:id="0">
    <w:p w14:paraId="1AC1D542" w14:textId="77777777" w:rsidR="007F5611" w:rsidRDefault="007F5611">
      <w:r>
        <w:continuationSeparator/>
      </w:r>
    </w:p>
    <w:p w14:paraId="191F1737" w14:textId="77777777" w:rsidR="007F5611" w:rsidRDefault="007F5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AADA" w14:textId="77777777" w:rsidR="007F5611" w:rsidRDefault="007F5611">
      <w:r>
        <w:separator/>
      </w:r>
    </w:p>
    <w:p w14:paraId="76422FF4" w14:textId="77777777" w:rsidR="007F5611" w:rsidRDefault="007F5611"/>
  </w:footnote>
  <w:footnote w:type="continuationSeparator" w:id="0">
    <w:p w14:paraId="1E4F91C5" w14:textId="77777777" w:rsidR="007F5611" w:rsidRDefault="007F5611">
      <w:r>
        <w:continuationSeparator/>
      </w:r>
    </w:p>
    <w:p w14:paraId="6D97E810" w14:textId="77777777" w:rsidR="007F5611" w:rsidRDefault="007F5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482"/>
    <w:rsid w:val="00000521"/>
    <w:rsid w:val="00002E98"/>
    <w:rsid w:val="0000543B"/>
    <w:rsid w:val="00005FFB"/>
    <w:rsid w:val="000063A0"/>
    <w:rsid w:val="0000666D"/>
    <w:rsid w:val="00007442"/>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40"/>
    <w:rsid w:val="000524A5"/>
    <w:rsid w:val="00052DBA"/>
    <w:rsid w:val="00052DBD"/>
    <w:rsid w:val="0005420F"/>
    <w:rsid w:val="000543D1"/>
    <w:rsid w:val="00055432"/>
    <w:rsid w:val="000569E2"/>
    <w:rsid w:val="00057903"/>
    <w:rsid w:val="000616B1"/>
    <w:rsid w:val="0006238E"/>
    <w:rsid w:val="00064278"/>
    <w:rsid w:val="00065052"/>
    <w:rsid w:val="00074F9E"/>
    <w:rsid w:val="00081CF6"/>
    <w:rsid w:val="0008459A"/>
    <w:rsid w:val="00084DF7"/>
    <w:rsid w:val="000850B3"/>
    <w:rsid w:val="000860D7"/>
    <w:rsid w:val="00092D47"/>
    <w:rsid w:val="000951D7"/>
    <w:rsid w:val="0009692B"/>
    <w:rsid w:val="00096ACA"/>
    <w:rsid w:val="000A25F3"/>
    <w:rsid w:val="000A2E86"/>
    <w:rsid w:val="000A332A"/>
    <w:rsid w:val="000A520A"/>
    <w:rsid w:val="000A556C"/>
    <w:rsid w:val="000A62C3"/>
    <w:rsid w:val="000B0C33"/>
    <w:rsid w:val="000B1723"/>
    <w:rsid w:val="000B324C"/>
    <w:rsid w:val="000B3E2E"/>
    <w:rsid w:val="000B4B41"/>
    <w:rsid w:val="000B5243"/>
    <w:rsid w:val="000C118C"/>
    <w:rsid w:val="000C2038"/>
    <w:rsid w:val="000C2624"/>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10015A"/>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E6E"/>
    <w:rsid w:val="001471F5"/>
    <w:rsid w:val="00147339"/>
    <w:rsid w:val="00147E1D"/>
    <w:rsid w:val="00150ABD"/>
    <w:rsid w:val="00153E59"/>
    <w:rsid w:val="001542A6"/>
    <w:rsid w:val="00154475"/>
    <w:rsid w:val="00154E89"/>
    <w:rsid w:val="00156A33"/>
    <w:rsid w:val="00157647"/>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B0FBA"/>
    <w:rsid w:val="001B21FE"/>
    <w:rsid w:val="001B3CF0"/>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AFA"/>
    <w:rsid w:val="00317E4F"/>
    <w:rsid w:val="00320950"/>
    <w:rsid w:val="00320C72"/>
    <w:rsid w:val="003211B6"/>
    <w:rsid w:val="00322C9E"/>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2832"/>
    <w:rsid w:val="00392AF6"/>
    <w:rsid w:val="0039457D"/>
    <w:rsid w:val="00394A4A"/>
    <w:rsid w:val="00395F05"/>
    <w:rsid w:val="00397687"/>
    <w:rsid w:val="003A090F"/>
    <w:rsid w:val="003A0AEA"/>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264"/>
    <w:rsid w:val="004615B4"/>
    <w:rsid w:val="00465260"/>
    <w:rsid w:val="004665E1"/>
    <w:rsid w:val="00466729"/>
    <w:rsid w:val="00467FC6"/>
    <w:rsid w:val="00471F06"/>
    <w:rsid w:val="00472762"/>
    <w:rsid w:val="004728B3"/>
    <w:rsid w:val="0047572B"/>
    <w:rsid w:val="004760B5"/>
    <w:rsid w:val="00477ADE"/>
    <w:rsid w:val="00477BAE"/>
    <w:rsid w:val="004823F2"/>
    <w:rsid w:val="00485B0F"/>
    <w:rsid w:val="0048738B"/>
    <w:rsid w:val="0048770F"/>
    <w:rsid w:val="004903C8"/>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3831"/>
    <w:rsid w:val="00636091"/>
    <w:rsid w:val="006363EB"/>
    <w:rsid w:val="00637241"/>
    <w:rsid w:val="00637452"/>
    <w:rsid w:val="00637FA8"/>
    <w:rsid w:val="00637FE1"/>
    <w:rsid w:val="006403CE"/>
    <w:rsid w:val="00646439"/>
    <w:rsid w:val="00646F42"/>
    <w:rsid w:val="00654F24"/>
    <w:rsid w:val="00657D14"/>
    <w:rsid w:val="00661088"/>
    <w:rsid w:val="00663216"/>
    <w:rsid w:val="006641EF"/>
    <w:rsid w:val="00674F28"/>
    <w:rsid w:val="006751CC"/>
    <w:rsid w:val="0067760A"/>
    <w:rsid w:val="006819B0"/>
    <w:rsid w:val="0068336D"/>
    <w:rsid w:val="00683EAA"/>
    <w:rsid w:val="00685244"/>
    <w:rsid w:val="006863A2"/>
    <w:rsid w:val="00686802"/>
    <w:rsid w:val="00686880"/>
    <w:rsid w:val="00687420"/>
    <w:rsid w:val="00687761"/>
    <w:rsid w:val="006910F9"/>
    <w:rsid w:val="0069206C"/>
    <w:rsid w:val="0069328E"/>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D6017"/>
    <w:rsid w:val="006E1AFF"/>
    <w:rsid w:val="006E44F6"/>
    <w:rsid w:val="006E6EF1"/>
    <w:rsid w:val="006E7C7E"/>
    <w:rsid w:val="006E7E14"/>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07C52"/>
    <w:rsid w:val="00711683"/>
    <w:rsid w:val="00711749"/>
    <w:rsid w:val="00712B42"/>
    <w:rsid w:val="00713156"/>
    <w:rsid w:val="00714355"/>
    <w:rsid w:val="00720F44"/>
    <w:rsid w:val="007213B7"/>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C31"/>
    <w:rsid w:val="007E6FB0"/>
    <w:rsid w:val="007F1FD8"/>
    <w:rsid w:val="007F34DA"/>
    <w:rsid w:val="007F5611"/>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4010B"/>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1683"/>
    <w:rsid w:val="008E2C6F"/>
    <w:rsid w:val="008E2E3C"/>
    <w:rsid w:val="008E3973"/>
    <w:rsid w:val="008E4BE5"/>
    <w:rsid w:val="008F1C3B"/>
    <w:rsid w:val="008F5713"/>
    <w:rsid w:val="008F6137"/>
    <w:rsid w:val="00903A19"/>
    <w:rsid w:val="009056AF"/>
    <w:rsid w:val="00906160"/>
    <w:rsid w:val="00907119"/>
    <w:rsid w:val="009154AA"/>
    <w:rsid w:val="009158F5"/>
    <w:rsid w:val="009163EF"/>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49A5"/>
    <w:rsid w:val="009657FC"/>
    <w:rsid w:val="00967834"/>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7C3"/>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97C"/>
    <w:rsid w:val="00A7447A"/>
    <w:rsid w:val="00A76013"/>
    <w:rsid w:val="00A763EF"/>
    <w:rsid w:val="00A80384"/>
    <w:rsid w:val="00A813A4"/>
    <w:rsid w:val="00A82766"/>
    <w:rsid w:val="00A8598C"/>
    <w:rsid w:val="00A902FB"/>
    <w:rsid w:val="00A912C2"/>
    <w:rsid w:val="00A92979"/>
    <w:rsid w:val="00A937CD"/>
    <w:rsid w:val="00A96196"/>
    <w:rsid w:val="00AA0BA8"/>
    <w:rsid w:val="00AA2F0C"/>
    <w:rsid w:val="00AA3CD4"/>
    <w:rsid w:val="00AB00FA"/>
    <w:rsid w:val="00AB06FF"/>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2611"/>
    <w:rsid w:val="00B032D0"/>
    <w:rsid w:val="00B046FC"/>
    <w:rsid w:val="00B04BE4"/>
    <w:rsid w:val="00B0710D"/>
    <w:rsid w:val="00B071E9"/>
    <w:rsid w:val="00B07E32"/>
    <w:rsid w:val="00B10438"/>
    <w:rsid w:val="00B10A9D"/>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4FF5"/>
    <w:rsid w:val="00B55D21"/>
    <w:rsid w:val="00B56771"/>
    <w:rsid w:val="00B57F9A"/>
    <w:rsid w:val="00B60D88"/>
    <w:rsid w:val="00B61A19"/>
    <w:rsid w:val="00B62163"/>
    <w:rsid w:val="00B63E6E"/>
    <w:rsid w:val="00B642AF"/>
    <w:rsid w:val="00B64C53"/>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82B"/>
    <w:rsid w:val="00BD1B1E"/>
    <w:rsid w:val="00BD4171"/>
    <w:rsid w:val="00BD4356"/>
    <w:rsid w:val="00BD4761"/>
    <w:rsid w:val="00BD5D0D"/>
    <w:rsid w:val="00BD5EF9"/>
    <w:rsid w:val="00BE0A11"/>
    <w:rsid w:val="00BE5FF7"/>
    <w:rsid w:val="00BE78DE"/>
    <w:rsid w:val="00BF0DF6"/>
    <w:rsid w:val="00BF0F0D"/>
    <w:rsid w:val="00BF3615"/>
    <w:rsid w:val="00BF3A4F"/>
    <w:rsid w:val="00BF4CE8"/>
    <w:rsid w:val="00BF759F"/>
    <w:rsid w:val="00C01436"/>
    <w:rsid w:val="00C03406"/>
    <w:rsid w:val="00C034EE"/>
    <w:rsid w:val="00C0695B"/>
    <w:rsid w:val="00C07E71"/>
    <w:rsid w:val="00C116C8"/>
    <w:rsid w:val="00C121B9"/>
    <w:rsid w:val="00C12232"/>
    <w:rsid w:val="00C136FB"/>
    <w:rsid w:val="00C15D16"/>
    <w:rsid w:val="00C15FCE"/>
    <w:rsid w:val="00C16A0D"/>
    <w:rsid w:val="00C16F4D"/>
    <w:rsid w:val="00C200CF"/>
    <w:rsid w:val="00C20E49"/>
    <w:rsid w:val="00C22ABC"/>
    <w:rsid w:val="00C24396"/>
    <w:rsid w:val="00C25E43"/>
    <w:rsid w:val="00C27DAE"/>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673D3"/>
    <w:rsid w:val="00C675A6"/>
    <w:rsid w:val="00C704C8"/>
    <w:rsid w:val="00C70B3A"/>
    <w:rsid w:val="00C710BB"/>
    <w:rsid w:val="00C814BE"/>
    <w:rsid w:val="00C8152D"/>
    <w:rsid w:val="00C81BAB"/>
    <w:rsid w:val="00C831CD"/>
    <w:rsid w:val="00C87FE3"/>
    <w:rsid w:val="00C90FEB"/>
    <w:rsid w:val="00C933F6"/>
    <w:rsid w:val="00C9371D"/>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948"/>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AC2"/>
    <w:rsid w:val="00EE016B"/>
    <w:rsid w:val="00EE1DAD"/>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4E14"/>
    <w:rsid w:val="00F65B91"/>
    <w:rsid w:val="00F66ED4"/>
    <w:rsid w:val="00F67D55"/>
    <w:rsid w:val="00F72E24"/>
    <w:rsid w:val="00F759DB"/>
    <w:rsid w:val="00F80132"/>
    <w:rsid w:val="00F801A3"/>
    <w:rsid w:val="00F808BF"/>
    <w:rsid w:val="00F80937"/>
    <w:rsid w:val="00F8378A"/>
    <w:rsid w:val="00F83974"/>
    <w:rsid w:val="00F90BAC"/>
    <w:rsid w:val="00F90EF0"/>
    <w:rsid w:val="00F921EF"/>
    <w:rsid w:val="00F943C4"/>
    <w:rsid w:val="00F94DAC"/>
    <w:rsid w:val="00F97E6B"/>
    <w:rsid w:val="00FA1633"/>
    <w:rsid w:val="00FA22AE"/>
    <w:rsid w:val="00FA384C"/>
    <w:rsid w:val="00FA4981"/>
    <w:rsid w:val="00FA5E62"/>
    <w:rsid w:val="00FA6056"/>
    <w:rsid w:val="00FA7D06"/>
    <w:rsid w:val="00FB1126"/>
    <w:rsid w:val="00FB1F3F"/>
    <w:rsid w:val="00FB32A6"/>
    <w:rsid w:val="00FB3DAE"/>
    <w:rsid w:val="00FB51C4"/>
    <w:rsid w:val="00FB5C1D"/>
    <w:rsid w:val="00FB6A2A"/>
    <w:rsid w:val="00FB7C69"/>
    <w:rsid w:val="00FC0A93"/>
    <w:rsid w:val="00FC20C4"/>
    <w:rsid w:val="00FC22B7"/>
    <w:rsid w:val="00FC2B5B"/>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B350-2502-48CB-9AC2-A5017F2D57FE}"/>
</file>

<file path=customXml/itemProps2.xml><?xml version="1.0" encoding="utf-8"?>
<ds:datastoreItem xmlns:ds="http://schemas.openxmlformats.org/officeDocument/2006/customXml" ds:itemID="{41277CFD-36C9-416E-A852-9E4CAAE24254}"/>
</file>

<file path=customXml/itemProps3.xml><?xml version="1.0" encoding="utf-8"?>
<ds:datastoreItem xmlns:ds="http://schemas.openxmlformats.org/officeDocument/2006/customXml" ds:itemID="{A029AAAC-99CD-4B5B-8975-E143CDB8D0F7}"/>
</file>

<file path=customXml/itemProps4.xml><?xml version="1.0" encoding="utf-8"?>
<ds:datastoreItem xmlns:ds="http://schemas.openxmlformats.org/officeDocument/2006/customXml" ds:itemID="{76636BA8-CF2A-49EC-AD7D-BBAE58802AB3}"/>
</file>

<file path=docProps/app.xml><?xml version="1.0" encoding="utf-8"?>
<Properties xmlns="http://schemas.openxmlformats.org/officeDocument/2006/extended-properties" xmlns:vt="http://schemas.openxmlformats.org/officeDocument/2006/docPropsVTypes">
  <Template>Normal</Template>
  <TotalTime>1529</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226</cp:revision>
  <cp:lastPrinted>2022-10-18T05:57:00Z</cp:lastPrinted>
  <dcterms:created xsi:type="dcterms:W3CDTF">2021-04-22T04:33:00Z</dcterms:created>
  <dcterms:modified xsi:type="dcterms:W3CDTF">2022-10-18T09:30:00Z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