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7E5E9F" w14:textId="77777777" w:rsidR="005B04CC" w:rsidRPr="00F259A9" w:rsidRDefault="005B04CC" w:rsidP="005B04CC">
      <w:pPr>
        <w:spacing w:after="0" w:line="240" w:lineRule="auto"/>
        <w:jc w:val="center"/>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Quarterly National Accounts</w:t>
      </w:r>
    </w:p>
    <w:p w14:paraId="0C00E18A" w14:textId="77777777" w:rsidR="005B04CC" w:rsidRPr="00F259A9" w:rsidRDefault="005B04CC" w:rsidP="00843F6E">
      <w:pPr>
        <w:spacing w:after="0" w:line="120" w:lineRule="auto"/>
        <w:jc w:val="both"/>
        <w:rPr>
          <w:rFonts w:ascii="Times New Roman" w:eastAsia="Times New Roman" w:hAnsi="Times New Roman"/>
          <w:b/>
          <w:sz w:val="24"/>
          <w:szCs w:val="24"/>
          <w:lang w:val="en-US"/>
        </w:rPr>
      </w:pPr>
    </w:p>
    <w:p w14:paraId="18D934A4" w14:textId="7D07B80C" w:rsidR="005B04CC" w:rsidRPr="00F259A9" w:rsidRDefault="003E271A" w:rsidP="005B04CC">
      <w:pPr>
        <w:spacing w:after="0" w:line="240" w:lineRule="auto"/>
        <w:jc w:val="center"/>
        <w:rPr>
          <w:rFonts w:ascii="Times New Roman" w:eastAsia="Times New Roman" w:hAnsi="Times New Roman"/>
          <w:b/>
          <w:sz w:val="24"/>
          <w:szCs w:val="24"/>
          <w:lang w:val="en-US"/>
        </w:rPr>
      </w:pPr>
      <w:r>
        <w:rPr>
          <w:rFonts w:ascii="Times New Roman" w:eastAsia="Times New Roman" w:hAnsi="Times New Roman"/>
          <w:b/>
          <w:sz w:val="24"/>
          <w:szCs w:val="24"/>
          <w:lang w:val="en-US"/>
        </w:rPr>
        <w:t>Fourth</w:t>
      </w:r>
      <w:r w:rsidR="006379E4">
        <w:rPr>
          <w:rFonts w:ascii="Times New Roman" w:eastAsia="Times New Roman" w:hAnsi="Times New Roman"/>
          <w:b/>
          <w:sz w:val="24"/>
          <w:szCs w:val="24"/>
          <w:lang w:val="en-US"/>
        </w:rPr>
        <w:t xml:space="preserve"> Quarter 202</w:t>
      </w:r>
      <w:r w:rsidR="00DF1DB3">
        <w:rPr>
          <w:rFonts w:ascii="Times New Roman" w:eastAsia="Times New Roman" w:hAnsi="Times New Roman"/>
          <w:b/>
          <w:sz w:val="24"/>
          <w:szCs w:val="24"/>
          <w:lang w:val="en-US"/>
        </w:rPr>
        <w:t>5</w:t>
      </w:r>
    </w:p>
    <w:p w14:paraId="5FC53252" w14:textId="77777777" w:rsidR="005B04CC" w:rsidRPr="00F259A9" w:rsidRDefault="005B04CC" w:rsidP="00285215">
      <w:pPr>
        <w:spacing w:after="0" w:line="120" w:lineRule="auto"/>
        <w:jc w:val="center"/>
        <w:rPr>
          <w:rFonts w:ascii="Times New Roman" w:eastAsia="Times New Roman" w:hAnsi="Times New Roman"/>
          <w:b/>
          <w:sz w:val="24"/>
          <w:szCs w:val="24"/>
          <w:lang w:val="en-US"/>
        </w:rPr>
      </w:pPr>
    </w:p>
    <w:p w14:paraId="2B285D37"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r w:rsidRPr="00F259A9">
        <w:rPr>
          <w:rFonts w:ascii="Times New Roman" w:eastAsia="Times New Roman" w:hAnsi="Times New Roman"/>
          <w:b/>
          <w:sz w:val="24"/>
          <w:szCs w:val="24"/>
          <w:lang w:val="x-none" w:eastAsia="x-none"/>
        </w:rPr>
        <w:t>Introduction</w:t>
      </w:r>
    </w:p>
    <w:p w14:paraId="468CD043" w14:textId="77777777" w:rsidR="005B04CC" w:rsidRPr="00F259A9" w:rsidRDefault="005B04CC" w:rsidP="005B04CC">
      <w:pPr>
        <w:spacing w:after="0" w:line="140" w:lineRule="exact"/>
        <w:jc w:val="both"/>
        <w:rPr>
          <w:rFonts w:ascii="Times New Roman" w:eastAsia="Times New Roman" w:hAnsi="Times New Roman"/>
          <w:sz w:val="24"/>
          <w:szCs w:val="24"/>
          <w:lang w:eastAsia="x-none"/>
        </w:rPr>
      </w:pPr>
    </w:p>
    <w:p w14:paraId="12823A30" w14:textId="5DC32121" w:rsidR="004C5761" w:rsidRPr="004C5761"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This issue of Economic and Social Indicators on Quarterly National Accounts (QNA) presents quarterly estimates of GDP for the first quarter of 202</w:t>
      </w:r>
      <w:r w:rsidR="003E271A">
        <w:rPr>
          <w:rFonts w:ascii="Times New Roman" w:eastAsia="Times New Roman" w:hAnsi="Times New Roman"/>
          <w:sz w:val="24"/>
          <w:szCs w:val="24"/>
          <w:lang w:val="en-US"/>
        </w:rPr>
        <w:t>2</w:t>
      </w:r>
      <w:r w:rsidRPr="004C5761">
        <w:rPr>
          <w:rFonts w:ascii="Times New Roman" w:eastAsia="Times New Roman" w:hAnsi="Times New Roman"/>
          <w:sz w:val="24"/>
          <w:szCs w:val="24"/>
          <w:lang w:val="en-US"/>
        </w:rPr>
        <w:t xml:space="preserve"> to the </w:t>
      </w:r>
      <w:r w:rsidR="003E271A">
        <w:rPr>
          <w:rFonts w:ascii="Times New Roman" w:eastAsia="Times New Roman" w:hAnsi="Times New Roman"/>
          <w:sz w:val="24"/>
          <w:szCs w:val="24"/>
          <w:lang w:val="en-US"/>
        </w:rPr>
        <w:t>fourth</w:t>
      </w:r>
      <w:r w:rsidRPr="004C5761">
        <w:rPr>
          <w:rFonts w:ascii="Times New Roman" w:eastAsia="Times New Roman" w:hAnsi="Times New Roman"/>
          <w:sz w:val="24"/>
          <w:szCs w:val="24"/>
          <w:lang w:val="en-US"/>
        </w:rPr>
        <w:t xml:space="preserve"> quarter of 202</w:t>
      </w:r>
      <w:r w:rsidR="003E271A">
        <w:rPr>
          <w:rFonts w:ascii="Times New Roman" w:eastAsia="Times New Roman" w:hAnsi="Times New Roman"/>
          <w:sz w:val="24"/>
          <w:szCs w:val="24"/>
          <w:lang w:val="en-US"/>
        </w:rPr>
        <w:t>5</w:t>
      </w:r>
      <w:r w:rsidRPr="004C5761">
        <w:rPr>
          <w:rFonts w:ascii="Times New Roman" w:eastAsia="Times New Roman" w:hAnsi="Times New Roman"/>
          <w:sz w:val="24"/>
          <w:szCs w:val="24"/>
          <w:lang w:val="en-US"/>
        </w:rPr>
        <w:t xml:space="preserve">. Estimates have been worked out using both the production and the expenditure approach, based on latest available data. </w:t>
      </w:r>
    </w:p>
    <w:p w14:paraId="28FEF03F" w14:textId="77777777" w:rsidR="004C5761" w:rsidRPr="004C5761" w:rsidRDefault="004C5761" w:rsidP="00843F6E">
      <w:pPr>
        <w:spacing w:after="0" w:line="120" w:lineRule="auto"/>
        <w:jc w:val="both"/>
        <w:rPr>
          <w:rFonts w:ascii="Times New Roman" w:eastAsia="Times New Roman" w:hAnsi="Times New Roman"/>
          <w:sz w:val="24"/>
          <w:szCs w:val="24"/>
          <w:lang w:val="en-US"/>
        </w:rPr>
      </w:pPr>
    </w:p>
    <w:p w14:paraId="57536C30" w14:textId="77777777" w:rsidR="004C5761" w:rsidRPr="004C5761"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For more meaningful trend analysis, seasonally adjusted estimates of quarterly GDP from the production approach have been worked out. The derived quarter-to-quarter growth rates, together with some analysis are presented in section 6 of this publication.</w:t>
      </w:r>
    </w:p>
    <w:p w14:paraId="366A5C55" w14:textId="77777777" w:rsidR="004C5761" w:rsidRPr="004C5761" w:rsidRDefault="004C5761" w:rsidP="00843F6E">
      <w:pPr>
        <w:spacing w:after="0" w:line="120" w:lineRule="auto"/>
        <w:jc w:val="both"/>
        <w:rPr>
          <w:rFonts w:ascii="Times New Roman" w:eastAsia="Times New Roman" w:hAnsi="Times New Roman"/>
          <w:sz w:val="24"/>
          <w:szCs w:val="24"/>
          <w:lang w:val="en-US"/>
        </w:rPr>
      </w:pPr>
    </w:p>
    <w:p w14:paraId="673F8B8B" w14:textId="71ACBD44" w:rsidR="00107A1C" w:rsidRDefault="004C5761" w:rsidP="004C5761">
      <w:pPr>
        <w:spacing w:after="0" w:line="240" w:lineRule="auto"/>
        <w:ind w:firstLine="720"/>
        <w:jc w:val="both"/>
        <w:rPr>
          <w:rFonts w:ascii="Times New Roman" w:eastAsia="Times New Roman" w:hAnsi="Times New Roman"/>
          <w:sz w:val="24"/>
          <w:szCs w:val="24"/>
          <w:lang w:val="en-US"/>
        </w:rPr>
      </w:pPr>
      <w:r w:rsidRPr="004C5761">
        <w:rPr>
          <w:rFonts w:ascii="Times New Roman" w:eastAsia="Times New Roman" w:hAnsi="Times New Roman"/>
          <w:sz w:val="24"/>
          <w:szCs w:val="24"/>
          <w:lang w:val="en-US"/>
        </w:rPr>
        <w:t>Definitions of terminology are given on pages 9 and 10.  The data sources and methods used, including the method used for seasonal adjustment are described in the Annex.</w:t>
      </w:r>
    </w:p>
    <w:p w14:paraId="0AE5BBF0" w14:textId="77777777" w:rsidR="004C5761" w:rsidRDefault="004C5761" w:rsidP="00843F6E">
      <w:pPr>
        <w:spacing w:after="0" w:line="120" w:lineRule="auto"/>
        <w:jc w:val="both"/>
        <w:rPr>
          <w:rFonts w:ascii="Times New Roman" w:eastAsia="Times New Roman" w:hAnsi="Times New Roman"/>
          <w:sz w:val="24"/>
          <w:szCs w:val="24"/>
          <w:lang w:val="en-US"/>
        </w:rPr>
      </w:pPr>
    </w:p>
    <w:p w14:paraId="492F009D" w14:textId="1BBBF896" w:rsidR="005B04CC" w:rsidRDefault="005B04CC" w:rsidP="00DB4A8D">
      <w:pPr>
        <w:spacing w:after="0" w:line="120" w:lineRule="auto"/>
        <w:jc w:val="both"/>
        <w:rPr>
          <w:rFonts w:ascii="Times New Roman" w:eastAsia="Times New Roman" w:hAnsi="Times New Roman"/>
          <w:sz w:val="24"/>
          <w:szCs w:val="24"/>
          <w:lang w:val="en-US"/>
        </w:rPr>
      </w:pPr>
    </w:p>
    <w:p w14:paraId="2B375496" w14:textId="12F41094" w:rsidR="00FF36AB" w:rsidRDefault="00EB0C3B" w:rsidP="00FF36AB">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2</w:t>
      </w:r>
      <w:r w:rsidR="00FF36AB" w:rsidRPr="002945EE">
        <w:rPr>
          <w:rFonts w:ascii="Times New Roman" w:eastAsia="Times New Roman" w:hAnsi="Times New Roman"/>
          <w:b/>
          <w:sz w:val="24"/>
          <w:szCs w:val="24"/>
          <w:lang w:val="en-US"/>
        </w:rPr>
        <w:t xml:space="preserve">. </w:t>
      </w:r>
      <w:r w:rsidR="00FF36AB">
        <w:rPr>
          <w:rFonts w:ascii="Times New Roman" w:eastAsia="Times New Roman" w:hAnsi="Times New Roman"/>
          <w:b/>
          <w:sz w:val="24"/>
          <w:szCs w:val="24"/>
          <w:lang w:val="en-US"/>
        </w:rPr>
        <w:t xml:space="preserve">        </w:t>
      </w:r>
      <w:r w:rsidR="00FF36AB" w:rsidRPr="002945EE">
        <w:rPr>
          <w:rFonts w:ascii="Times New Roman" w:eastAsia="Times New Roman" w:hAnsi="Times New Roman"/>
          <w:b/>
          <w:sz w:val="24"/>
          <w:szCs w:val="24"/>
          <w:lang w:val="en-US"/>
        </w:rPr>
        <w:t>Highlights</w:t>
      </w:r>
    </w:p>
    <w:p w14:paraId="04B4D843" w14:textId="77777777" w:rsidR="00FF36AB" w:rsidRPr="00090D40" w:rsidRDefault="00FF36AB" w:rsidP="00285215">
      <w:pPr>
        <w:spacing w:after="0" w:line="120" w:lineRule="auto"/>
        <w:jc w:val="center"/>
        <w:rPr>
          <w:rFonts w:ascii="Times New Roman" w:eastAsia="Times New Roman" w:hAnsi="Times New Roman"/>
          <w:b/>
          <w:i/>
          <w:sz w:val="24"/>
          <w:szCs w:val="24"/>
          <w:lang w:val="en-US"/>
        </w:rPr>
      </w:pPr>
    </w:p>
    <w:p w14:paraId="780C7F65" w14:textId="19143105" w:rsidR="00973ED7" w:rsidRPr="00973ED7" w:rsidRDefault="00973ED7" w:rsidP="00973ED7">
      <w:pPr>
        <w:spacing w:after="0" w:line="240" w:lineRule="auto"/>
        <w:ind w:firstLine="720"/>
        <w:jc w:val="both"/>
        <w:rPr>
          <w:rFonts w:ascii="Times New Roman" w:eastAsia="Times New Roman" w:hAnsi="Times New Roman"/>
          <w:sz w:val="24"/>
          <w:szCs w:val="24"/>
          <w:lang w:val="en-US"/>
        </w:rPr>
      </w:pPr>
      <w:r w:rsidRPr="00973ED7">
        <w:rPr>
          <w:rFonts w:ascii="Times New Roman" w:eastAsia="Times New Roman" w:hAnsi="Times New Roman"/>
          <w:sz w:val="24"/>
          <w:szCs w:val="24"/>
          <w:lang w:val="en-US"/>
        </w:rPr>
        <w:t>Gross Value Added (GVA) at current basic prices for the fourth quarter of 2025 was estimated at R184,529 million, representing an increase from R171,527 million recorded in the corresponding quarter of 2024. During the same period, indirect taxes net of subsidies amounted to R27,854 million, resulting in Gross Domestic Product (GDP) at current market prices of R212,383 million, compared to R197,909 million in the fourth quarter of 2024.</w:t>
      </w:r>
    </w:p>
    <w:p w14:paraId="128030B1" w14:textId="77777777" w:rsidR="00973ED7" w:rsidRPr="00973ED7" w:rsidRDefault="00973ED7" w:rsidP="00843F6E">
      <w:pPr>
        <w:spacing w:after="0" w:line="120" w:lineRule="auto"/>
        <w:jc w:val="both"/>
        <w:rPr>
          <w:rFonts w:ascii="Times New Roman" w:eastAsia="Times New Roman" w:hAnsi="Times New Roman"/>
          <w:sz w:val="24"/>
          <w:szCs w:val="24"/>
          <w:lang w:val="en-US"/>
        </w:rPr>
      </w:pPr>
    </w:p>
    <w:p w14:paraId="618247B9" w14:textId="773D125F" w:rsidR="00365E70" w:rsidRDefault="00973ED7" w:rsidP="00973ED7">
      <w:pPr>
        <w:spacing w:after="0" w:line="240" w:lineRule="auto"/>
        <w:ind w:firstLine="720"/>
        <w:jc w:val="both"/>
        <w:rPr>
          <w:rFonts w:ascii="Times New Roman" w:eastAsia="Times New Roman" w:hAnsi="Times New Roman"/>
          <w:sz w:val="24"/>
          <w:szCs w:val="24"/>
          <w:lang w:val="en-US"/>
        </w:rPr>
      </w:pPr>
      <w:r w:rsidRPr="00973ED7">
        <w:rPr>
          <w:rFonts w:ascii="Times New Roman" w:eastAsia="Times New Roman" w:hAnsi="Times New Roman"/>
          <w:sz w:val="24"/>
          <w:szCs w:val="24"/>
          <w:lang w:val="en-US"/>
        </w:rPr>
        <w:t>GDP at market prices recorded a growth of 2.7</w:t>
      </w:r>
      <w:r>
        <w:rPr>
          <w:rFonts w:ascii="Times New Roman" w:eastAsia="Times New Roman" w:hAnsi="Times New Roman"/>
          <w:sz w:val="24"/>
          <w:szCs w:val="24"/>
          <w:lang w:val="en-US"/>
        </w:rPr>
        <w:t>%</w:t>
      </w:r>
      <w:r w:rsidRPr="00973ED7">
        <w:rPr>
          <w:rFonts w:ascii="Times New Roman" w:eastAsia="Times New Roman" w:hAnsi="Times New Roman"/>
          <w:sz w:val="24"/>
          <w:szCs w:val="24"/>
          <w:lang w:val="en-US"/>
        </w:rPr>
        <w:t xml:space="preserve"> in the fourth quarter of 2025, lower than the 5.1</w:t>
      </w:r>
      <w:r>
        <w:rPr>
          <w:rFonts w:ascii="Times New Roman" w:eastAsia="Times New Roman" w:hAnsi="Times New Roman"/>
          <w:sz w:val="24"/>
          <w:szCs w:val="24"/>
          <w:lang w:val="en-US"/>
        </w:rPr>
        <w:t>%</w:t>
      </w:r>
      <w:r w:rsidRPr="00973ED7">
        <w:rPr>
          <w:rFonts w:ascii="Times New Roman" w:eastAsia="Times New Roman" w:hAnsi="Times New Roman"/>
          <w:sz w:val="24"/>
          <w:szCs w:val="24"/>
          <w:lang w:val="en-US"/>
        </w:rPr>
        <w:t xml:space="preserve"> growth observed in the corresponding quarter of 2024, indicating a moderation in economic expansion.</w:t>
      </w:r>
    </w:p>
    <w:p w14:paraId="7CF6CB22" w14:textId="77777777" w:rsidR="00973ED7" w:rsidRPr="00D06596" w:rsidRDefault="00973ED7" w:rsidP="00843F6E">
      <w:pPr>
        <w:spacing w:after="0" w:line="120" w:lineRule="auto"/>
        <w:jc w:val="both"/>
        <w:rPr>
          <w:rFonts w:ascii="Times New Roman" w:eastAsia="Times New Roman" w:hAnsi="Times New Roman"/>
          <w:sz w:val="24"/>
          <w:szCs w:val="24"/>
          <w:lang w:val="en-US"/>
        </w:rPr>
      </w:pPr>
    </w:p>
    <w:p w14:paraId="5E0664F0" w14:textId="787B3EC3" w:rsidR="005B04CC" w:rsidRPr="00F259A9" w:rsidRDefault="00CB4E46"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 xml:space="preserve">Quarterly </w:t>
      </w:r>
      <w:r w:rsidR="005B04CC" w:rsidRPr="00F259A9">
        <w:rPr>
          <w:rFonts w:ascii="Times New Roman" w:eastAsia="Times New Roman" w:hAnsi="Times New Roman"/>
          <w:b/>
          <w:sz w:val="24"/>
          <w:szCs w:val="24"/>
        </w:rPr>
        <w:t>Gross Value Added (GVA)</w:t>
      </w:r>
      <w:r w:rsidR="005B04CC" w:rsidRPr="00F259A9">
        <w:rPr>
          <w:rFonts w:ascii="Times New Roman" w:eastAsia="Times New Roman" w:hAnsi="Times New Roman"/>
          <w:b/>
          <w:sz w:val="24"/>
          <w:szCs w:val="24"/>
          <w:lang w:val="en-US"/>
        </w:rPr>
        <w:t xml:space="preserve"> estimates at current </w:t>
      </w:r>
      <w:r w:rsidR="00A00A7D">
        <w:rPr>
          <w:rFonts w:ascii="Times New Roman" w:eastAsia="Times New Roman" w:hAnsi="Times New Roman"/>
          <w:b/>
          <w:sz w:val="24"/>
          <w:szCs w:val="24"/>
          <w:lang w:val="en-US"/>
        </w:rPr>
        <w:t xml:space="preserve">basic </w:t>
      </w:r>
      <w:r w:rsidR="005B04CC" w:rsidRPr="00F259A9">
        <w:rPr>
          <w:rFonts w:ascii="Times New Roman" w:eastAsia="Times New Roman" w:hAnsi="Times New Roman"/>
          <w:b/>
          <w:sz w:val="24"/>
          <w:szCs w:val="24"/>
          <w:lang w:val="en-US"/>
        </w:rPr>
        <w:t>prices</w:t>
      </w:r>
    </w:p>
    <w:p w14:paraId="365B3822" w14:textId="77777777" w:rsidR="005B04CC" w:rsidRPr="00F259A9" w:rsidRDefault="005B04CC" w:rsidP="006F06DA">
      <w:pPr>
        <w:spacing w:after="0" w:line="120" w:lineRule="auto"/>
        <w:jc w:val="both"/>
        <w:rPr>
          <w:rFonts w:ascii="Times New Roman" w:eastAsia="Times New Roman" w:hAnsi="Times New Roman"/>
          <w:b/>
          <w:i/>
          <w:sz w:val="24"/>
          <w:szCs w:val="24"/>
          <w:lang w:val="en-US"/>
        </w:rPr>
      </w:pPr>
    </w:p>
    <w:p w14:paraId="4F95E6A2" w14:textId="1A4B2A29" w:rsidR="00016FC0" w:rsidRDefault="00F1424F" w:rsidP="00016FC0">
      <w:pPr>
        <w:spacing w:after="0" w:line="240" w:lineRule="auto"/>
        <w:ind w:firstLine="720"/>
        <w:jc w:val="both"/>
        <w:rPr>
          <w:rFonts w:ascii="Times New Roman" w:eastAsia="Times New Roman" w:hAnsi="Times New Roman"/>
          <w:sz w:val="24"/>
          <w:szCs w:val="24"/>
          <w:lang w:eastAsia="x-none"/>
        </w:rPr>
      </w:pPr>
      <w:r w:rsidRPr="00F1424F">
        <w:rPr>
          <w:rFonts w:ascii="Times New Roman" w:eastAsia="Times New Roman" w:hAnsi="Times New Roman"/>
          <w:sz w:val="24"/>
          <w:szCs w:val="24"/>
          <w:lang w:eastAsia="x-none"/>
        </w:rPr>
        <w:t>Figure 1 presents quarterly estimates of gross value added (GVA) at current basic prices from the first quarter of 202</w:t>
      </w:r>
      <w:r w:rsidR="00973ED7">
        <w:rPr>
          <w:rFonts w:ascii="Times New Roman" w:eastAsia="Times New Roman" w:hAnsi="Times New Roman"/>
          <w:sz w:val="24"/>
          <w:szCs w:val="24"/>
          <w:lang w:eastAsia="x-none"/>
        </w:rPr>
        <w:t>2</w:t>
      </w:r>
      <w:r w:rsidRPr="00F1424F">
        <w:rPr>
          <w:rFonts w:ascii="Times New Roman" w:eastAsia="Times New Roman" w:hAnsi="Times New Roman"/>
          <w:sz w:val="24"/>
          <w:szCs w:val="24"/>
          <w:lang w:eastAsia="x-none"/>
        </w:rPr>
        <w:t xml:space="preserve"> to the </w:t>
      </w:r>
      <w:r w:rsidR="00973ED7">
        <w:rPr>
          <w:rFonts w:ascii="Times New Roman" w:eastAsia="Times New Roman" w:hAnsi="Times New Roman"/>
          <w:sz w:val="24"/>
          <w:szCs w:val="24"/>
          <w:lang w:eastAsia="x-none"/>
        </w:rPr>
        <w:t>fourth</w:t>
      </w:r>
      <w:r w:rsidRPr="00F1424F">
        <w:rPr>
          <w:rFonts w:ascii="Times New Roman" w:eastAsia="Times New Roman" w:hAnsi="Times New Roman"/>
          <w:sz w:val="24"/>
          <w:szCs w:val="24"/>
          <w:lang w:eastAsia="x-none"/>
        </w:rPr>
        <w:t xml:space="preserve"> quarter of 2025. The series exhibits a pronounced seasonal pattern, with output typically at its lowest in the first quarter, rising through the second and third quarters, peaking in the fourth quarter, and declining again at the beginning of the subsequent year. This seasonality is particularly evident in 2024, when GVA at current basic prices increased from</w:t>
      </w:r>
      <w:r w:rsidR="00973ED7">
        <w:rPr>
          <w:rFonts w:ascii="Times New Roman" w:eastAsia="Times New Roman" w:hAnsi="Times New Roman"/>
          <w:sz w:val="24"/>
          <w:szCs w:val="24"/>
          <w:lang w:eastAsia="x-none"/>
        </w:rPr>
        <w:t xml:space="preserve"> R</w:t>
      </w:r>
      <w:r w:rsidRPr="00F1424F">
        <w:rPr>
          <w:rFonts w:ascii="Times New Roman" w:eastAsia="Times New Roman" w:hAnsi="Times New Roman"/>
          <w:sz w:val="24"/>
          <w:szCs w:val="24"/>
          <w:lang w:eastAsia="x-none"/>
        </w:rPr>
        <w:t>137,17</w:t>
      </w:r>
      <w:r w:rsidR="00973ED7">
        <w:rPr>
          <w:rFonts w:ascii="Times New Roman" w:eastAsia="Times New Roman" w:hAnsi="Times New Roman"/>
          <w:sz w:val="24"/>
          <w:szCs w:val="24"/>
          <w:lang w:eastAsia="x-none"/>
        </w:rPr>
        <w:t>1</w:t>
      </w:r>
      <w:r w:rsidRPr="00F1424F">
        <w:rPr>
          <w:rFonts w:ascii="Times New Roman" w:eastAsia="Times New Roman" w:hAnsi="Times New Roman"/>
          <w:sz w:val="24"/>
          <w:szCs w:val="24"/>
          <w:lang w:eastAsia="x-none"/>
        </w:rPr>
        <w:t xml:space="preserve"> million in the first quarter to R137,8</w:t>
      </w:r>
      <w:r w:rsidR="00973ED7">
        <w:rPr>
          <w:rFonts w:ascii="Times New Roman" w:eastAsia="Times New Roman" w:hAnsi="Times New Roman"/>
          <w:sz w:val="24"/>
          <w:szCs w:val="24"/>
          <w:lang w:eastAsia="x-none"/>
        </w:rPr>
        <w:t>68</w:t>
      </w:r>
      <w:r w:rsidRPr="00F1424F">
        <w:rPr>
          <w:rFonts w:ascii="Times New Roman" w:eastAsia="Times New Roman" w:hAnsi="Times New Roman"/>
          <w:sz w:val="24"/>
          <w:szCs w:val="24"/>
          <w:lang w:eastAsia="x-none"/>
        </w:rPr>
        <w:t xml:space="preserve"> million in the second quarter, accelerated to R152,47</w:t>
      </w:r>
      <w:r w:rsidR="00973ED7">
        <w:rPr>
          <w:rFonts w:ascii="Times New Roman" w:eastAsia="Times New Roman" w:hAnsi="Times New Roman"/>
          <w:sz w:val="24"/>
          <w:szCs w:val="24"/>
          <w:lang w:eastAsia="x-none"/>
        </w:rPr>
        <w:t>1</w:t>
      </w:r>
      <w:r w:rsidRPr="00F1424F">
        <w:rPr>
          <w:rFonts w:ascii="Times New Roman" w:eastAsia="Times New Roman" w:hAnsi="Times New Roman"/>
          <w:sz w:val="24"/>
          <w:szCs w:val="24"/>
          <w:lang w:eastAsia="x-none"/>
        </w:rPr>
        <w:t xml:space="preserve"> million in the third quarter, and reached a peak of R171,5</w:t>
      </w:r>
      <w:r w:rsidR="00973ED7">
        <w:rPr>
          <w:rFonts w:ascii="Times New Roman" w:eastAsia="Times New Roman" w:hAnsi="Times New Roman"/>
          <w:sz w:val="24"/>
          <w:szCs w:val="24"/>
          <w:lang w:eastAsia="x-none"/>
        </w:rPr>
        <w:t>27</w:t>
      </w:r>
      <w:r w:rsidRPr="00F1424F">
        <w:rPr>
          <w:rFonts w:ascii="Times New Roman" w:eastAsia="Times New Roman" w:hAnsi="Times New Roman"/>
          <w:sz w:val="24"/>
          <w:szCs w:val="24"/>
          <w:lang w:eastAsia="x-none"/>
        </w:rPr>
        <w:t xml:space="preserve"> million in the fourth quarter. </w:t>
      </w:r>
      <w:r w:rsidR="00016FC0" w:rsidRPr="00016FC0">
        <w:rPr>
          <w:rFonts w:ascii="Times New Roman" w:eastAsia="Times New Roman" w:hAnsi="Times New Roman"/>
          <w:sz w:val="24"/>
          <w:szCs w:val="24"/>
          <w:lang w:eastAsia="x-none"/>
        </w:rPr>
        <w:t>A similar pattern was observed in 2025, with GVA declining to R144,764 million in the first quarter, followed by increases in the subsequent quarters, and reaching a peak of R184,529 million in the fourth quarter.</w:t>
      </w:r>
    </w:p>
    <w:p w14:paraId="509D2B74" w14:textId="77777777" w:rsidR="00016FC0" w:rsidRDefault="00016FC0" w:rsidP="00843F6E">
      <w:pPr>
        <w:spacing w:after="0" w:line="120" w:lineRule="auto"/>
        <w:jc w:val="both"/>
        <w:rPr>
          <w:rFonts w:ascii="Times New Roman" w:eastAsia="Times New Roman" w:hAnsi="Times New Roman"/>
          <w:sz w:val="24"/>
          <w:szCs w:val="24"/>
          <w:lang w:eastAsia="x-none"/>
        </w:rPr>
      </w:pPr>
    </w:p>
    <w:p w14:paraId="731DBD50" w14:textId="4610D82B" w:rsidR="005B04CC" w:rsidRDefault="005B04CC" w:rsidP="005B04CC">
      <w:pPr>
        <w:spacing w:after="0" w:line="240" w:lineRule="auto"/>
        <w:ind w:left="720" w:hanging="720"/>
        <w:rPr>
          <w:rFonts w:ascii="Times New Roman" w:eastAsia="Times New Roman" w:hAnsi="Times New Roman"/>
          <w:b/>
          <w:sz w:val="24"/>
          <w:szCs w:val="24"/>
          <w:lang w:val="en-US"/>
        </w:rPr>
      </w:pPr>
      <w:r w:rsidRPr="008B779E">
        <w:rPr>
          <w:rFonts w:ascii="Times New Roman" w:eastAsia="Times New Roman" w:hAnsi="Times New Roman"/>
          <w:b/>
          <w:sz w:val="24"/>
          <w:szCs w:val="24"/>
          <w:lang w:val="en-US"/>
        </w:rPr>
        <w:t>Fig 1: Quarterly GVA estimates at current basic prices, Q</w:t>
      </w:r>
      <w:r w:rsidRPr="008B779E">
        <w:rPr>
          <w:rFonts w:ascii="Times New Roman" w:eastAsia="Times New Roman" w:hAnsi="Times New Roman"/>
          <w:b/>
          <w:sz w:val="24"/>
          <w:szCs w:val="24"/>
          <w:vertAlign w:val="subscript"/>
          <w:lang w:val="en-US"/>
        </w:rPr>
        <w:t>1</w:t>
      </w:r>
      <w:r w:rsidR="004713BD">
        <w:rPr>
          <w:rFonts w:ascii="Times New Roman" w:eastAsia="Times New Roman" w:hAnsi="Times New Roman"/>
          <w:b/>
          <w:sz w:val="24"/>
          <w:szCs w:val="24"/>
          <w:lang w:val="en-US"/>
        </w:rPr>
        <w:t xml:space="preserve"> </w:t>
      </w:r>
      <w:r w:rsidR="00B92E4F">
        <w:rPr>
          <w:rFonts w:ascii="Times New Roman" w:eastAsia="Times New Roman" w:hAnsi="Times New Roman"/>
          <w:b/>
          <w:sz w:val="24"/>
          <w:szCs w:val="24"/>
          <w:lang w:val="en-US"/>
        </w:rPr>
        <w:t>202</w:t>
      </w:r>
      <w:r w:rsidR="00973ED7">
        <w:rPr>
          <w:rFonts w:ascii="Times New Roman" w:eastAsia="Times New Roman" w:hAnsi="Times New Roman"/>
          <w:b/>
          <w:sz w:val="24"/>
          <w:szCs w:val="24"/>
          <w:lang w:val="en-US"/>
        </w:rPr>
        <w:t>2</w:t>
      </w:r>
      <w:r w:rsidRPr="008B779E">
        <w:rPr>
          <w:rFonts w:ascii="Times New Roman" w:eastAsia="Times New Roman" w:hAnsi="Times New Roman"/>
          <w:b/>
          <w:sz w:val="24"/>
          <w:szCs w:val="24"/>
          <w:lang w:val="en-US"/>
        </w:rPr>
        <w:t xml:space="preserve"> – Q</w:t>
      </w:r>
      <w:r w:rsidR="00973ED7">
        <w:rPr>
          <w:rFonts w:ascii="Times New Roman" w:eastAsia="Times New Roman" w:hAnsi="Times New Roman"/>
          <w:b/>
          <w:sz w:val="24"/>
          <w:szCs w:val="24"/>
          <w:vertAlign w:val="subscript"/>
          <w:lang w:val="en-US"/>
        </w:rPr>
        <w:t>4</w:t>
      </w:r>
      <w:r w:rsidRPr="008B779E">
        <w:rPr>
          <w:rFonts w:ascii="Times New Roman" w:eastAsia="Times New Roman" w:hAnsi="Times New Roman"/>
          <w:b/>
          <w:sz w:val="24"/>
          <w:szCs w:val="24"/>
          <w:vertAlign w:val="subscript"/>
          <w:lang w:val="en-US"/>
        </w:rPr>
        <w:t xml:space="preserve"> </w:t>
      </w:r>
      <w:r w:rsidR="006379E4">
        <w:rPr>
          <w:rFonts w:ascii="Times New Roman" w:eastAsia="Times New Roman" w:hAnsi="Times New Roman"/>
          <w:b/>
          <w:sz w:val="24"/>
          <w:szCs w:val="24"/>
          <w:lang w:val="en-US"/>
        </w:rPr>
        <w:t>202</w:t>
      </w:r>
      <w:r w:rsidR="00DF1DB3">
        <w:rPr>
          <w:rFonts w:ascii="Times New Roman" w:eastAsia="Times New Roman" w:hAnsi="Times New Roman"/>
          <w:b/>
          <w:sz w:val="24"/>
          <w:szCs w:val="24"/>
          <w:lang w:val="en-US"/>
        </w:rPr>
        <w:t>5</w:t>
      </w:r>
    </w:p>
    <w:p w14:paraId="56F49F5F" w14:textId="77777777" w:rsidR="00085664" w:rsidRDefault="00085664" w:rsidP="00085664">
      <w:pPr>
        <w:spacing w:after="0" w:line="72" w:lineRule="auto"/>
        <w:ind w:left="720" w:hanging="720"/>
      </w:pPr>
    </w:p>
    <w:p w14:paraId="0192DC5A" w14:textId="09BB8C70" w:rsidR="0079788B" w:rsidRDefault="00A368BA" w:rsidP="002A7CF7">
      <w:pPr>
        <w:spacing w:after="0" w:line="240" w:lineRule="auto"/>
        <w:jc w:val="both"/>
        <w:rPr>
          <w:rFonts w:ascii="Times New Roman" w:eastAsia="Times New Roman" w:hAnsi="Times New Roman"/>
          <w:sz w:val="24"/>
          <w:szCs w:val="24"/>
          <w:lang w:eastAsia="x-none"/>
        </w:rPr>
      </w:pPr>
      <w:r>
        <w:rPr>
          <w:rFonts w:ascii="Times New Roman" w:eastAsia="Times New Roman" w:hAnsi="Times New Roman"/>
          <w:noProof/>
          <w:sz w:val="24"/>
          <w:szCs w:val="24"/>
          <w:lang w:eastAsia="x-none"/>
        </w:rPr>
        <w:drawing>
          <wp:inline distT="0" distB="0" distL="0" distR="0" wp14:anchorId="2D0FEA7F" wp14:editId="6B131BDF">
            <wp:extent cx="6012180" cy="25984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18226" cy="2601033"/>
                    </a:xfrm>
                    <a:prstGeom prst="rect">
                      <a:avLst/>
                    </a:prstGeom>
                    <a:noFill/>
                  </pic:spPr>
                </pic:pic>
              </a:graphicData>
            </a:graphic>
          </wp:inline>
        </w:drawing>
      </w:r>
    </w:p>
    <w:p w14:paraId="23BF322B" w14:textId="523C9E78" w:rsidR="005B04CC" w:rsidRPr="00F259A9" w:rsidRDefault="005B04CC" w:rsidP="002A7CF7">
      <w:pPr>
        <w:spacing w:after="0" w:line="240" w:lineRule="auto"/>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lastRenderedPageBreak/>
        <w:t>The lower GVA figures observed during the first quarters may be due to lower economic activities resulting from temporary closures of firms during the month of January because of New Year festivities. On the other hand, the higher GVA figures during the last quarters could be explained by more activities in “Accommodation and food service activities” due to high tourist arrivals, “Manufacturing” and “Wholesale and retail trade” to meet the high demand for consumption goods for end of year festivities.</w:t>
      </w:r>
    </w:p>
    <w:p w14:paraId="78F45E14"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01FDB763" w14:textId="277CC12F" w:rsidR="005B04CC" w:rsidRPr="00F259A9" w:rsidRDefault="00623E2B"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4</w:t>
      </w:r>
      <w:r w:rsidR="005B04CC" w:rsidRPr="00F259A9">
        <w:rPr>
          <w:rFonts w:ascii="Times New Roman" w:eastAsia="Times New Roman" w:hAnsi="Times New Roman"/>
          <w:b/>
          <w:sz w:val="24"/>
          <w:szCs w:val="24"/>
          <w:lang w:val="en-US"/>
        </w:rPr>
        <w:t>.</w:t>
      </w:r>
      <w:r w:rsidR="005B04CC" w:rsidRPr="00F259A9">
        <w:rPr>
          <w:rFonts w:ascii="Times New Roman" w:eastAsia="Times New Roman" w:hAnsi="Times New Roman"/>
          <w:b/>
          <w:sz w:val="24"/>
          <w:szCs w:val="24"/>
          <w:lang w:val="en-US"/>
        </w:rPr>
        <w:tab/>
        <w:t>Quarterly growth rates (based on data unadjusted for seasonality) – Table 2</w:t>
      </w:r>
    </w:p>
    <w:p w14:paraId="7D7106A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41A70D8" w14:textId="7BD01EB0"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.1</w:t>
      </w:r>
      <w:r w:rsidR="005B04CC" w:rsidRPr="00F259A9">
        <w:rPr>
          <w:rFonts w:ascii="Times New Roman" w:eastAsia="Times New Roman" w:hAnsi="Times New Roman"/>
          <w:b/>
          <w:i/>
          <w:sz w:val="24"/>
          <w:szCs w:val="24"/>
          <w:lang w:val="en-US"/>
        </w:rPr>
        <w:tab/>
        <w:t>Growth rates, Q</w:t>
      </w:r>
      <w:r w:rsidR="00BB14BA">
        <w:rPr>
          <w:rFonts w:ascii="Times New (W1)" w:eastAsia="Times New Roman" w:hAnsi="Times New (W1)"/>
          <w:b/>
          <w:i/>
          <w:sz w:val="24"/>
          <w:szCs w:val="24"/>
          <w:vertAlign w:val="subscript"/>
          <w:lang w:val="en-US"/>
        </w:rPr>
        <w:t>1</w:t>
      </w:r>
      <w:r w:rsidR="005B04CC" w:rsidRPr="00F259A9">
        <w:rPr>
          <w:rFonts w:ascii="Times New (W1)" w:eastAsia="Times New Roman" w:hAnsi="Times New (W1)"/>
          <w:b/>
          <w:i/>
          <w:sz w:val="24"/>
          <w:szCs w:val="24"/>
          <w:vertAlign w:val="subscript"/>
          <w:lang w:val="en-US"/>
        </w:rPr>
        <w:t xml:space="preserve"> </w:t>
      </w:r>
      <w:r w:rsidR="0079788B">
        <w:rPr>
          <w:rFonts w:ascii="Times New Roman" w:eastAsia="Times New Roman" w:hAnsi="Times New Roman"/>
          <w:b/>
          <w:i/>
          <w:sz w:val="24"/>
          <w:szCs w:val="24"/>
          <w:lang w:val="en-US"/>
        </w:rPr>
        <w:t>20</w:t>
      </w:r>
      <w:r w:rsidR="000861EB">
        <w:rPr>
          <w:rFonts w:ascii="Times New Roman" w:eastAsia="Times New Roman" w:hAnsi="Times New Roman"/>
          <w:b/>
          <w:i/>
          <w:sz w:val="24"/>
          <w:szCs w:val="24"/>
          <w:lang w:val="en-US"/>
        </w:rPr>
        <w:t>2</w:t>
      </w:r>
      <w:r w:rsidR="00A368BA">
        <w:rPr>
          <w:rFonts w:ascii="Times New Roman" w:eastAsia="Times New Roman" w:hAnsi="Times New Roman"/>
          <w:b/>
          <w:i/>
          <w:sz w:val="24"/>
          <w:szCs w:val="24"/>
          <w:lang w:val="en-US"/>
        </w:rPr>
        <w:t>2</w:t>
      </w:r>
      <w:r w:rsidR="005B04CC" w:rsidRPr="00F259A9">
        <w:rPr>
          <w:rFonts w:ascii="Times New Roman" w:eastAsia="Times New Roman" w:hAnsi="Times New Roman"/>
          <w:b/>
          <w:i/>
          <w:sz w:val="24"/>
          <w:szCs w:val="24"/>
          <w:lang w:val="en-US"/>
        </w:rPr>
        <w:t xml:space="preserve"> – </w:t>
      </w:r>
      <w:r w:rsidR="000578B7" w:rsidRPr="00F259A9">
        <w:rPr>
          <w:rFonts w:ascii="Times New Roman" w:eastAsia="Times New Roman" w:hAnsi="Times New Roman"/>
          <w:b/>
          <w:i/>
          <w:sz w:val="24"/>
          <w:szCs w:val="24"/>
          <w:lang w:val="en-US"/>
        </w:rPr>
        <w:t>Q</w:t>
      </w:r>
      <w:r w:rsidR="00A368BA">
        <w:rPr>
          <w:rFonts w:ascii="Times New (W1)" w:eastAsia="Times New Roman" w:hAnsi="Times New (W1)"/>
          <w:b/>
          <w:i/>
          <w:sz w:val="24"/>
          <w:szCs w:val="24"/>
          <w:vertAlign w:val="subscript"/>
          <w:lang w:val="en-US"/>
        </w:rPr>
        <w:t>4</w:t>
      </w:r>
      <w:r w:rsidR="000578B7">
        <w:rPr>
          <w:rFonts w:ascii="Times New (W1)" w:eastAsia="Times New Roman" w:hAnsi="Times New (W1)"/>
          <w:b/>
          <w:i/>
          <w:sz w:val="24"/>
          <w:szCs w:val="24"/>
          <w:vertAlign w:val="subscript"/>
          <w:lang w:val="en-US"/>
        </w:rPr>
        <w:t xml:space="preserve"> </w:t>
      </w:r>
      <w:r w:rsidR="006379E4">
        <w:rPr>
          <w:rFonts w:ascii="Times New Roman" w:eastAsia="Times New Roman" w:hAnsi="Times New Roman"/>
          <w:b/>
          <w:i/>
          <w:sz w:val="24"/>
          <w:szCs w:val="24"/>
          <w:lang w:val="en-US"/>
        </w:rPr>
        <w:t>202</w:t>
      </w:r>
      <w:r w:rsidR="00DF1DB3">
        <w:rPr>
          <w:rFonts w:ascii="Times New Roman" w:eastAsia="Times New Roman" w:hAnsi="Times New Roman"/>
          <w:b/>
          <w:i/>
          <w:sz w:val="24"/>
          <w:szCs w:val="24"/>
          <w:lang w:val="en-US"/>
        </w:rPr>
        <w:t>5</w:t>
      </w:r>
      <w:r w:rsidR="003859F1">
        <w:rPr>
          <w:rFonts w:ascii="Times New Roman" w:eastAsia="Times New Roman" w:hAnsi="Times New Roman"/>
          <w:b/>
          <w:i/>
          <w:sz w:val="24"/>
          <w:szCs w:val="24"/>
          <w:lang w:val="en-US"/>
        </w:rPr>
        <w:t>, (year-on-</w:t>
      </w:r>
      <w:r w:rsidR="005B04CC" w:rsidRPr="00F259A9">
        <w:rPr>
          <w:rFonts w:ascii="Times New Roman" w:eastAsia="Times New Roman" w:hAnsi="Times New Roman"/>
          <w:b/>
          <w:i/>
          <w:sz w:val="24"/>
          <w:szCs w:val="24"/>
          <w:lang w:val="en-US"/>
        </w:rPr>
        <w:t>year change)</w:t>
      </w:r>
    </w:p>
    <w:p w14:paraId="3567F665" w14:textId="77777777" w:rsidR="005B04CC" w:rsidRPr="00F259A9" w:rsidRDefault="005B04CC" w:rsidP="004F330D">
      <w:pPr>
        <w:spacing w:after="0" w:line="192" w:lineRule="auto"/>
        <w:jc w:val="both"/>
        <w:rPr>
          <w:rFonts w:ascii="Times New Roman" w:eastAsia="Times New Roman" w:hAnsi="Times New Roman"/>
          <w:sz w:val="24"/>
          <w:szCs w:val="24"/>
          <w:lang w:val="en-US"/>
        </w:rPr>
      </w:pPr>
    </w:p>
    <w:p w14:paraId="70645821" w14:textId="329B8B17" w:rsidR="005B04CC" w:rsidRPr="00F259A9" w:rsidRDefault="00273993" w:rsidP="005B04CC">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Table 2 shows year-</w:t>
      </w:r>
      <w:r w:rsidR="005B04CC" w:rsidRPr="00F259A9">
        <w:rPr>
          <w:rFonts w:ascii="Times New Roman" w:eastAsia="Times New Roman" w:hAnsi="Times New Roman"/>
          <w:sz w:val="24"/>
          <w:szCs w:val="24"/>
          <w:lang w:eastAsia="x-none"/>
        </w:rPr>
        <w:t>on</w:t>
      </w:r>
      <w:r>
        <w:rPr>
          <w:rFonts w:ascii="Times New Roman" w:eastAsia="Times New Roman" w:hAnsi="Times New Roman"/>
          <w:sz w:val="24"/>
          <w:szCs w:val="24"/>
          <w:lang w:eastAsia="x-none"/>
        </w:rPr>
        <w:t>-</w:t>
      </w:r>
      <w:r w:rsidR="005B04CC" w:rsidRPr="00F259A9">
        <w:rPr>
          <w:rFonts w:ascii="Times New Roman" w:eastAsia="Times New Roman" w:hAnsi="Times New Roman"/>
          <w:sz w:val="24"/>
          <w:szCs w:val="24"/>
          <w:lang w:eastAsia="x-none"/>
        </w:rPr>
        <w:t xml:space="preserve">year quarterly growth rates by industry group </w:t>
      </w:r>
      <w:r w:rsidR="00942028">
        <w:rPr>
          <w:rFonts w:ascii="Times New Roman" w:eastAsia="Times New Roman" w:hAnsi="Times New Roman"/>
          <w:sz w:val="24"/>
          <w:szCs w:val="24"/>
          <w:lang w:eastAsia="x-none"/>
        </w:rPr>
        <w:t>during</w:t>
      </w:r>
      <w:r w:rsidR="005B04CC" w:rsidRPr="00F259A9">
        <w:rPr>
          <w:rFonts w:ascii="Times New Roman" w:eastAsia="Times New Roman" w:hAnsi="Times New Roman"/>
          <w:sz w:val="24"/>
          <w:szCs w:val="24"/>
          <w:lang w:eastAsia="x-none"/>
        </w:rPr>
        <w:t xml:space="preserve"> </w:t>
      </w:r>
      <w:r w:rsidR="003E2BE0">
        <w:rPr>
          <w:rFonts w:ascii="Times New Roman" w:eastAsia="Times New Roman" w:hAnsi="Times New Roman"/>
          <w:sz w:val="24"/>
          <w:szCs w:val="24"/>
          <w:lang w:eastAsia="x-none"/>
        </w:rPr>
        <w:t>the</w:t>
      </w:r>
      <w:r w:rsidR="0079788B">
        <w:rPr>
          <w:rFonts w:ascii="Times New Roman" w:eastAsia="Times New Roman" w:hAnsi="Times New Roman"/>
          <w:sz w:val="24"/>
          <w:szCs w:val="24"/>
          <w:lang w:eastAsia="x-none"/>
        </w:rPr>
        <w:t xml:space="preserve"> first quarter of 20</w:t>
      </w:r>
      <w:r w:rsidR="00664EA0">
        <w:rPr>
          <w:rFonts w:ascii="Times New Roman" w:eastAsia="Times New Roman" w:hAnsi="Times New Roman"/>
          <w:sz w:val="24"/>
          <w:szCs w:val="24"/>
          <w:lang w:eastAsia="x-none"/>
        </w:rPr>
        <w:t>22</w:t>
      </w:r>
      <w:r w:rsidR="00BE73D8">
        <w:rPr>
          <w:rFonts w:ascii="Times New Roman" w:eastAsia="Times New Roman" w:hAnsi="Times New Roman"/>
          <w:sz w:val="24"/>
          <w:szCs w:val="24"/>
          <w:lang w:eastAsia="x-none"/>
        </w:rPr>
        <w:t xml:space="preserve"> </w:t>
      </w:r>
      <w:r w:rsidR="004F4731">
        <w:rPr>
          <w:rFonts w:ascii="Times New Roman" w:eastAsia="Times New Roman" w:hAnsi="Times New Roman"/>
          <w:sz w:val="24"/>
          <w:szCs w:val="24"/>
          <w:lang w:eastAsia="x-none"/>
        </w:rPr>
        <w:t>to</w:t>
      </w:r>
      <w:r w:rsidR="00BE73D8">
        <w:rPr>
          <w:rFonts w:ascii="Times New Roman" w:eastAsia="Times New Roman" w:hAnsi="Times New Roman"/>
          <w:sz w:val="24"/>
          <w:szCs w:val="24"/>
          <w:lang w:eastAsia="x-none"/>
        </w:rPr>
        <w:t xml:space="preserve"> </w:t>
      </w:r>
      <w:r w:rsidR="0079788B">
        <w:rPr>
          <w:rFonts w:ascii="Times New Roman" w:eastAsia="Times New Roman" w:hAnsi="Times New Roman"/>
          <w:sz w:val="24"/>
          <w:szCs w:val="24"/>
          <w:lang w:eastAsia="x-none"/>
        </w:rPr>
        <w:t xml:space="preserve">the </w:t>
      </w:r>
      <w:r w:rsidR="00664EA0">
        <w:rPr>
          <w:rFonts w:ascii="Times New Roman" w:eastAsia="Times New Roman" w:hAnsi="Times New Roman"/>
          <w:sz w:val="24"/>
          <w:szCs w:val="24"/>
          <w:lang w:eastAsia="x-none"/>
        </w:rPr>
        <w:t>fourth</w:t>
      </w:r>
      <w:r w:rsidR="006379E4">
        <w:rPr>
          <w:rFonts w:ascii="Times New Roman" w:eastAsia="Times New Roman" w:hAnsi="Times New Roman"/>
          <w:sz w:val="24"/>
          <w:szCs w:val="24"/>
          <w:lang w:eastAsia="x-none"/>
        </w:rPr>
        <w:t xml:space="preserve"> quarter of 202</w:t>
      </w:r>
      <w:r w:rsidR="00DF1DB3">
        <w:rPr>
          <w:rFonts w:ascii="Times New Roman" w:eastAsia="Times New Roman" w:hAnsi="Times New Roman"/>
          <w:sz w:val="24"/>
          <w:szCs w:val="24"/>
          <w:lang w:eastAsia="x-none"/>
        </w:rPr>
        <w:t>5</w:t>
      </w:r>
      <w:r w:rsidR="005B04CC" w:rsidRPr="00F259A9">
        <w:rPr>
          <w:rFonts w:ascii="Times New Roman" w:eastAsia="Times New Roman" w:hAnsi="Times New Roman"/>
          <w:sz w:val="24"/>
          <w:szCs w:val="24"/>
          <w:lang w:eastAsia="x-none"/>
        </w:rPr>
        <w:t>. The rates are based on value added unadjusted for seasonality and represent the percentage change in real value added over the same quarter of the previous year.</w:t>
      </w:r>
    </w:p>
    <w:p w14:paraId="5495E937" w14:textId="77777777" w:rsidR="005B04CC" w:rsidRPr="00F259A9" w:rsidRDefault="005B04CC" w:rsidP="004F330D">
      <w:pPr>
        <w:spacing w:after="0" w:line="192" w:lineRule="auto"/>
        <w:ind w:firstLine="720"/>
        <w:jc w:val="both"/>
        <w:rPr>
          <w:rFonts w:ascii="Times New Roman" w:eastAsia="Times New Roman" w:hAnsi="Times New Roman"/>
          <w:sz w:val="24"/>
          <w:szCs w:val="24"/>
          <w:lang w:eastAsia="x-none"/>
        </w:rPr>
      </w:pPr>
    </w:p>
    <w:p w14:paraId="1620CD4E"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Figure 2 shows quarterly growth rat</w:t>
      </w:r>
      <w:r w:rsidR="003E2BE0">
        <w:rPr>
          <w:rFonts w:ascii="Times New Roman" w:eastAsia="Times New Roman" w:hAnsi="Times New Roman"/>
          <w:sz w:val="24"/>
          <w:szCs w:val="24"/>
          <w:lang w:eastAsia="x-none"/>
        </w:rPr>
        <w:t xml:space="preserve">es </w:t>
      </w:r>
      <w:r w:rsidR="00942028">
        <w:rPr>
          <w:rFonts w:ascii="Times New Roman" w:eastAsia="Times New Roman" w:hAnsi="Times New Roman"/>
          <w:sz w:val="24"/>
          <w:szCs w:val="24"/>
          <w:lang w:eastAsia="x-none"/>
        </w:rPr>
        <w:t xml:space="preserve">as well as </w:t>
      </w:r>
      <w:r w:rsidR="004F2162">
        <w:rPr>
          <w:rFonts w:ascii="Times New Roman" w:eastAsia="Times New Roman" w:hAnsi="Times New Roman"/>
          <w:sz w:val="24"/>
          <w:szCs w:val="24"/>
          <w:lang w:eastAsia="x-none"/>
        </w:rPr>
        <w:t xml:space="preserve">annual </w:t>
      </w:r>
      <w:r w:rsidR="00942028">
        <w:rPr>
          <w:rFonts w:ascii="Times New Roman" w:eastAsia="Times New Roman" w:hAnsi="Times New Roman"/>
          <w:sz w:val="24"/>
          <w:szCs w:val="24"/>
          <w:lang w:eastAsia="x-none"/>
        </w:rPr>
        <w:t xml:space="preserve">growth </w:t>
      </w:r>
      <w:r w:rsidR="004F2162">
        <w:rPr>
          <w:rFonts w:ascii="Times New Roman" w:eastAsia="Times New Roman" w:hAnsi="Times New Roman"/>
          <w:sz w:val="24"/>
          <w:szCs w:val="24"/>
          <w:lang w:eastAsia="x-none"/>
        </w:rPr>
        <w:t>rates</w:t>
      </w:r>
      <w:r w:rsidR="00942028">
        <w:rPr>
          <w:rFonts w:ascii="Times New Roman" w:eastAsia="Times New Roman" w:hAnsi="Times New Roman"/>
          <w:sz w:val="24"/>
          <w:szCs w:val="24"/>
          <w:lang w:eastAsia="x-none"/>
        </w:rPr>
        <w:t>.</w:t>
      </w:r>
    </w:p>
    <w:p w14:paraId="0370F983"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2020D7B4" w14:textId="3A2AB6A3" w:rsidR="005B04CC" w:rsidRPr="00633AA5" w:rsidRDefault="003B3124" w:rsidP="005B04CC">
      <w:pPr>
        <w:spacing w:after="0" w:line="240" w:lineRule="auto"/>
        <w:jc w:val="both"/>
        <w:rPr>
          <w:rFonts w:ascii="Times New Roman" w:eastAsia="Times New Roman" w:hAnsi="Times New Roman"/>
          <w:b/>
          <w:snapToGrid w:val="0"/>
          <w:sz w:val="24"/>
          <w:szCs w:val="24"/>
          <w:lang w:eastAsia="x-none"/>
        </w:rPr>
      </w:pPr>
      <w:r>
        <w:rPr>
          <w:rFonts w:ascii="Times New Roman" w:eastAsia="Times New Roman" w:hAnsi="Times New Roman"/>
          <w:b/>
          <w:snapToGrid w:val="0"/>
          <w:sz w:val="24"/>
          <w:szCs w:val="24"/>
          <w:lang w:val="x-none" w:eastAsia="x-none"/>
        </w:rPr>
        <w:t>Fig</w:t>
      </w:r>
      <w:r w:rsidR="005B04CC" w:rsidRPr="00243160">
        <w:rPr>
          <w:rFonts w:ascii="Times New Roman" w:eastAsia="Times New Roman" w:hAnsi="Times New Roman"/>
          <w:b/>
          <w:snapToGrid w:val="0"/>
          <w:sz w:val="24"/>
          <w:szCs w:val="24"/>
          <w:lang w:val="x-none" w:eastAsia="x-none"/>
        </w:rPr>
        <w:t xml:space="preserve"> 2: GVA growth rates, quarterly (percentage change over corresponding period of previous year) and annual, Q</w:t>
      </w:r>
      <w:r w:rsidR="005B04CC" w:rsidRPr="00243160">
        <w:rPr>
          <w:rFonts w:ascii="Times New Roman" w:eastAsia="Times New Roman" w:hAnsi="Times New Roman"/>
          <w:b/>
          <w:snapToGrid w:val="0"/>
          <w:sz w:val="24"/>
          <w:szCs w:val="24"/>
          <w:vertAlign w:val="subscript"/>
          <w:lang w:val="x-none" w:eastAsia="x-none"/>
        </w:rPr>
        <w:t xml:space="preserve">1 </w:t>
      </w:r>
      <w:r w:rsidR="0079788B">
        <w:rPr>
          <w:rFonts w:ascii="Times New Roman" w:eastAsia="Times New Roman" w:hAnsi="Times New Roman"/>
          <w:b/>
          <w:snapToGrid w:val="0"/>
          <w:sz w:val="24"/>
          <w:szCs w:val="24"/>
          <w:lang w:val="x-none" w:eastAsia="x-none"/>
        </w:rPr>
        <w:t>20</w:t>
      </w:r>
      <w:r w:rsidR="000861EB">
        <w:rPr>
          <w:rFonts w:ascii="Times New Roman" w:eastAsia="Times New Roman" w:hAnsi="Times New Roman"/>
          <w:b/>
          <w:snapToGrid w:val="0"/>
          <w:sz w:val="24"/>
          <w:szCs w:val="24"/>
          <w:lang w:eastAsia="x-none"/>
        </w:rPr>
        <w:t>2</w:t>
      </w:r>
      <w:r w:rsidR="00664EA0">
        <w:rPr>
          <w:rFonts w:ascii="Times New Roman" w:eastAsia="Times New Roman" w:hAnsi="Times New Roman"/>
          <w:b/>
          <w:snapToGrid w:val="0"/>
          <w:sz w:val="24"/>
          <w:szCs w:val="24"/>
          <w:lang w:eastAsia="x-none"/>
        </w:rPr>
        <w:t>2</w:t>
      </w:r>
      <w:r w:rsidR="005B04CC" w:rsidRPr="00243160">
        <w:rPr>
          <w:rFonts w:ascii="Times New Roman" w:eastAsia="Times New Roman" w:hAnsi="Times New Roman"/>
          <w:b/>
          <w:snapToGrid w:val="0"/>
          <w:sz w:val="24"/>
          <w:szCs w:val="24"/>
          <w:lang w:val="x-none" w:eastAsia="x-none"/>
        </w:rPr>
        <w:t xml:space="preserve"> – </w:t>
      </w:r>
      <w:r w:rsidR="000578B7" w:rsidRPr="00243160">
        <w:rPr>
          <w:rFonts w:ascii="Times New Roman" w:eastAsia="Times New Roman" w:hAnsi="Times New Roman"/>
          <w:b/>
          <w:snapToGrid w:val="0"/>
          <w:sz w:val="24"/>
          <w:szCs w:val="24"/>
          <w:lang w:val="x-none" w:eastAsia="x-none"/>
        </w:rPr>
        <w:t>Q</w:t>
      </w:r>
      <w:r w:rsidR="00664EA0">
        <w:rPr>
          <w:rFonts w:ascii="Times New Roman" w:eastAsia="Times New Roman" w:hAnsi="Times New Roman"/>
          <w:b/>
          <w:snapToGrid w:val="0"/>
          <w:sz w:val="24"/>
          <w:szCs w:val="24"/>
          <w:vertAlign w:val="subscript"/>
          <w:lang w:val="en-US" w:eastAsia="x-none"/>
        </w:rPr>
        <w:t>4</w:t>
      </w:r>
      <w:r w:rsidR="000578B7" w:rsidRPr="00243160">
        <w:rPr>
          <w:rFonts w:ascii="Times New Roman" w:eastAsia="Times New Roman" w:hAnsi="Times New Roman"/>
          <w:b/>
          <w:snapToGrid w:val="0"/>
          <w:sz w:val="24"/>
          <w:szCs w:val="24"/>
          <w:vertAlign w:val="subscript"/>
          <w:lang w:val="x-none" w:eastAsia="x-none"/>
        </w:rPr>
        <w:t xml:space="preserve"> </w:t>
      </w:r>
      <w:r w:rsidR="006379E4">
        <w:rPr>
          <w:rFonts w:ascii="Times New Roman" w:eastAsia="Times New Roman" w:hAnsi="Times New Roman"/>
          <w:b/>
          <w:snapToGrid w:val="0"/>
          <w:sz w:val="24"/>
          <w:szCs w:val="24"/>
          <w:lang w:val="x-none" w:eastAsia="x-none"/>
        </w:rPr>
        <w:t>202</w:t>
      </w:r>
      <w:r w:rsidR="00DF1DB3">
        <w:rPr>
          <w:rFonts w:ascii="Times New Roman" w:eastAsia="Times New Roman" w:hAnsi="Times New Roman"/>
          <w:b/>
          <w:snapToGrid w:val="0"/>
          <w:sz w:val="24"/>
          <w:szCs w:val="24"/>
          <w:lang w:eastAsia="x-none"/>
        </w:rPr>
        <w:t>5</w:t>
      </w:r>
    </w:p>
    <w:p w14:paraId="26FFE850" w14:textId="77777777" w:rsidR="00E55D31" w:rsidRDefault="005B04CC" w:rsidP="00E55D31">
      <w:pPr>
        <w:spacing w:after="0" w:line="120" w:lineRule="auto"/>
        <w:jc w:val="both"/>
        <w:rPr>
          <w:rFonts w:ascii="Times New Roman" w:eastAsia="Times New Roman" w:hAnsi="Times New Roman"/>
          <w:sz w:val="24"/>
          <w:szCs w:val="24"/>
          <w:highlight w:val="yellow"/>
          <w:lang w:val="en-US" w:eastAsia="x-none"/>
        </w:rPr>
      </w:pPr>
      <w:r w:rsidRPr="00F259A9">
        <w:rPr>
          <w:rFonts w:ascii="Times New Roman" w:eastAsia="Times New Roman" w:hAnsi="Times New Roman"/>
          <w:sz w:val="24"/>
          <w:szCs w:val="24"/>
          <w:highlight w:val="yellow"/>
          <w:lang w:val="en-US" w:eastAsia="x-none"/>
        </w:rPr>
        <w:t xml:space="preserve">     </w:t>
      </w:r>
    </w:p>
    <w:p w14:paraId="42800953" w14:textId="0BF1E784" w:rsidR="005B04CC" w:rsidRPr="00F259A9" w:rsidRDefault="00664EA0" w:rsidP="005B04CC">
      <w:pPr>
        <w:spacing w:after="0" w:line="240" w:lineRule="auto"/>
        <w:jc w:val="both"/>
        <w:rPr>
          <w:rFonts w:ascii="Times New Roman" w:eastAsia="Times New Roman" w:hAnsi="Times New Roman"/>
          <w:sz w:val="24"/>
          <w:szCs w:val="24"/>
          <w:highlight w:val="yellow"/>
          <w:lang w:val="en-US" w:eastAsia="x-none"/>
        </w:rPr>
      </w:pPr>
      <w:r w:rsidRPr="00664EA0">
        <w:rPr>
          <w:noProof/>
          <w:highlight w:val="yellow"/>
        </w:rPr>
        <w:drawing>
          <wp:inline distT="0" distB="0" distL="0" distR="0" wp14:anchorId="4DC0E8F7" wp14:editId="658324B4">
            <wp:extent cx="6151245" cy="301561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51245" cy="3015615"/>
                    </a:xfrm>
                    <a:prstGeom prst="rect">
                      <a:avLst/>
                    </a:prstGeom>
                    <a:noFill/>
                    <a:ln>
                      <a:noFill/>
                    </a:ln>
                  </pic:spPr>
                </pic:pic>
              </a:graphicData>
            </a:graphic>
          </wp:inline>
        </w:drawing>
      </w:r>
    </w:p>
    <w:p w14:paraId="44F27AD6" w14:textId="77777777" w:rsidR="005B04CC" w:rsidRPr="00F259A9" w:rsidRDefault="005B04CC" w:rsidP="00037C7C">
      <w:pPr>
        <w:spacing w:after="0" w:line="120" w:lineRule="auto"/>
        <w:jc w:val="both"/>
        <w:rPr>
          <w:rFonts w:ascii="Times New Roman" w:eastAsia="Times New Roman" w:hAnsi="Times New Roman"/>
          <w:sz w:val="24"/>
          <w:szCs w:val="24"/>
          <w:highlight w:val="yellow"/>
          <w:lang w:val="en-US" w:eastAsia="x-none"/>
        </w:rPr>
      </w:pPr>
    </w:p>
    <w:p w14:paraId="628C335E" w14:textId="0AC06E8D" w:rsidR="00B85E7E" w:rsidRDefault="002543F3" w:rsidP="00B02060">
      <w:pPr>
        <w:spacing w:after="0" w:line="240" w:lineRule="auto"/>
        <w:ind w:firstLine="720"/>
        <w:jc w:val="both"/>
        <w:rPr>
          <w:rFonts w:ascii="Times New Roman" w:hAnsi="Times New Roman"/>
          <w:sz w:val="24"/>
          <w:szCs w:val="24"/>
        </w:rPr>
      </w:pPr>
      <w:r w:rsidRPr="002543F3">
        <w:rPr>
          <w:rFonts w:ascii="Times New Roman" w:hAnsi="Times New Roman"/>
          <w:sz w:val="24"/>
          <w:szCs w:val="24"/>
        </w:rPr>
        <w:t>Quarterly GVA growth increased from 5.9</w:t>
      </w:r>
      <w:r>
        <w:rPr>
          <w:rFonts w:ascii="Times New Roman" w:hAnsi="Times New Roman"/>
          <w:sz w:val="24"/>
          <w:szCs w:val="24"/>
        </w:rPr>
        <w:t xml:space="preserve">% </w:t>
      </w:r>
      <w:r w:rsidRPr="002543F3">
        <w:rPr>
          <w:rFonts w:ascii="Times New Roman" w:hAnsi="Times New Roman"/>
          <w:sz w:val="24"/>
          <w:szCs w:val="24"/>
        </w:rPr>
        <w:t>in the first quarter of 2022 to a peak of 15.1</w:t>
      </w:r>
      <w:r>
        <w:rPr>
          <w:rFonts w:ascii="Times New Roman" w:hAnsi="Times New Roman"/>
          <w:sz w:val="24"/>
          <w:szCs w:val="24"/>
        </w:rPr>
        <w:t>%</w:t>
      </w:r>
      <w:r w:rsidRPr="002543F3">
        <w:rPr>
          <w:rFonts w:ascii="Times New Roman" w:hAnsi="Times New Roman"/>
          <w:sz w:val="24"/>
          <w:szCs w:val="24"/>
        </w:rPr>
        <w:t xml:space="preserve"> in the second quarter, before moderating to 7.4</w:t>
      </w:r>
      <w:r>
        <w:rPr>
          <w:rFonts w:ascii="Times New Roman" w:hAnsi="Times New Roman"/>
          <w:sz w:val="24"/>
          <w:szCs w:val="24"/>
        </w:rPr>
        <w:t>%</w:t>
      </w:r>
      <w:r w:rsidRPr="002543F3">
        <w:rPr>
          <w:rFonts w:ascii="Times New Roman" w:hAnsi="Times New Roman"/>
          <w:sz w:val="24"/>
          <w:szCs w:val="24"/>
        </w:rPr>
        <w:t xml:space="preserve"> by the fourth quarter. Growth decelerated further in 2023, stabilised between 4.2</w:t>
      </w:r>
      <w:r>
        <w:rPr>
          <w:rFonts w:ascii="Times New Roman" w:hAnsi="Times New Roman"/>
          <w:sz w:val="24"/>
          <w:szCs w:val="24"/>
        </w:rPr>
        <w:t>%</w:t>
      </w:r>
      <w:r w:rsidRPr="002543F3">
        <w:rPr>
          <w:rFonts w:ascii="Times New Roman" w:hAnsi="Times New Roman"/>
          <w:sz w:val="24"/>
          <w:szCs w:val="24"/>
        </w:rPr>
        <w:t xml:space="preserve"> and 5.2</w:t>
      </w:r>
      <w:r>
        <w:rPr>
          <w:rFonts w:ascii="Times New Roman" w:hAnsi="Times New Roman"/>
          <w:sz w:val="24"/>
          <w:szCs w:val="24"/>
        </w:rPr>
        <w:t>%</w:t>
      </w:r>
      <w:r w:rsidRPr="002543F3">
        <w:rPr>
          <w:rFonts w:ascii="Times New Roman" w:hAnsi="Times New Roman"/>
          <w:sz w:val="24"/>
          <w:szCs w:val="24"/>
        </w:rPr>
        <w:t xml:space="preserve"> in 2024, and weakened slightly in 2025. In 2025, growth ranged from 2.8</w:t>
      </w:r>
      <w:r w:rsidR="00E444B8">
        <w:rPr>
          <w:rFonts w:ascii="Times New Roman" w:hAnsi="Times New Roman"/>
          <w:sz w:val="24"/>
          <w:szCs w:val="24"/>
        </w:rPr>
        <w:t>%</w:t>
      </w:r>
      <w:r w:rsidRPr="002543F3">
        <w:rPr>
          <w:rFonts w:ascii="Times New Roman" w:hAnsi="Times New Roman"/>
          <w:sz w:val="24"/>
          <w:szCs w:val="24"/>
        </w:rPr>
        <w:t xml:space="preserve"> to 3.3</w:t>
      </w:r>
      <w:r w:rsidR="00E444B8">
        <w:rPr>
          <w:rFonts w:ascii="Times New Roman" w:hAnsi="Times New Roman"/>
          <w:sz w:val="24"/>
          <w:szCs w:val="24"/>
        </w:rPr>
        <w:t>%</w:t>
      </w:r>
      <w:r w:rsidRPr="002543F3">
        <w:rPr>
          <w:rFonts w:ascii="Times New Roman" w:hAnsi="Times New Roman"/>
          <w:sz w:val="24"/>
          <w:szCs w:val="24"/>
        </w:rPr>
        <w:t>, ending at 3.1</w:t>
      </w:r>
      <w:r w:rsidR="00E444B8">
        <w:rPr>
          <w:rFonts w:ascii="Times New Roman" w:hAnsi="Times New Roman"/>
          <w:sz w:val="24"/>
          <w:szCs w:val="24"/>
        </w:rPr>
        <w:t>%</w:t>
      </w:r>
      <w:r w:rsidRPr="002543F3">
        <w:rPr>
          <w:rFonts w:ascii="Times New Roman" w:hAnsi="Times New Roman"/>
          <w:sz w:val="24"/>
          <w:szCs w:val="24"/>
        </w:rPr>
        <w:t xml:space="preserve"> in the fourth quarter.</w:t>
      </w:r>
    </w:p>
    <w:p w14:paraId="345EA323" w14:textId="77777777" w:rsidR="002543F3" w:rsidRDefault="002543F3" w:rsidP="00B02060">
      <w:pPr>
        <w:spacing w:after="0" w:line="240" w:lineRule="auto"/>
        <w:ind w:firstLine="720"/>
        <w:jc w:val="both"/>
        <w:rPr>
          <w:rFonts w:ascii="Times New Roman" w:eastAsia="Times New Roman" w:hAnsi="Times New Roman"/>
          <w:sz w:val="24"/>
          <w:szCs w:val="24"/>
          <w:lang w:eastAsia="x-none"/>
        </w:rPr>
      </w:pPr>
    </w:p>
    <w:p w14:paraId="39A0EFCE" w14:textId="041D915F" w:rsidR="005B04CC" w:rsidRPr="00F259A9" w:rsidRDefault="00623E2B"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.2</w:t>
      </w:r>
      <w:r w:rsidR="005B04CC" w:rsidRPr="00F259A9">
        <w:rPr>
          <w:rFonts w:ascii="Times New Roman" w:eastAsia="Times New Roman" w:hAnsi="Times New Roman"/>
          <w:b/>
          <w:i/>
          <w:sz w:val="24"/>
          <w:szCs w:val="24"/>
          <w:lang w:val="en-US"/>
        </w:rPr>
        <w:tab/>
        <w:t xml:space="preserve">Growth rates, (year-on-year), </w:t>
      </w:r>
      <w:r w:rsidR="00305C12" w:rsidRPr="00F259A9">
        <w:rPr>
          <w:rFonts w:ascii="Times New Roman" w:eastAsia="Times New Roman" w:hAnsi="Times New Roman"/>
          <w:b/>
          <w:i/>
          <w:sz w:val="24"/>
          <w:szCs w:val="24"/>
          <w:lang w:val="en-US"/>
        </w:rPr>
        <w:t>Q</w:t>
      </w:r>
      <w:r w:rsidR="0052672B">
        <w:rPr>
          <w:rFonts w:ascii="Times New Roman" w:eastAsia="Times New Roman" w:hAnsi="Times New Roman"/>
          <w:b/>
          <w:i/>
          <w:sz w:val="24"/>
          <w:szCs w:val="24"/>
          <w:vertAlign w:val="subscript"/>
          <w:lang w:val="en-US"/>
        </w:rPr>
        <w:t>3</w:t>
      </w:r>
      <w:r w:rsidR="00305C12">
        <w:rPr>
          <w:rFonts w:ascii="Times New Roman" w:eastAsia="Times New Roman" w:hAnsi="Times New Roman"/>
          <w:b/>
          <w:i/>
          <w:sz w:val="24"/>
          <w:szCs w:val="24"/>
          <w:lang w:val="en-US"/>
        </w:rPr>
        <w:t xml:space="preserve"> </w:t>
      </w:r>
      <w:r w:rsidR="009955FC">
        <w:rPr>
          <w:rFonts w:ascii="Times New Roman" w:eastAsia="Times New Roman" w:hAnsi="Times New Roman"/>
          <w:b/>
          <w:i/>
          <w:sz w:val="24"/>
          <w:szCs w:val="24"/>
          <w:lang w:val="en-US"/>
        </w:rPr>
        <w:t>202</w:t>
      </w:r>
      <w:r w:rsidR="00FD6676">
        <w:rPr>
          <w:rFonts w:ascii="Times New Roman" w:eastAsia="Times New Roman" w:hAnsi="Times New Roman"/>
          <w:b/>
          <w:i/>
          <w:sz w:val="24"/>
          <w:szCs w:val="24"/>
          <w:lang w:val="en-US"/>
        </w:rPr>
        <w:t>5</w:t>
      </w:r>
    </w:p>
    <w:p w14:paraId="6E1C9078" w14:textId="77777777" w:rsidR="005B04CC" w:rsidRPr="00F259A9" w:rsidRDefault="005B04CC" w:rsidP="005B04CC">
      <w:pPr>
        <w:spacing w:after="0" w:line="240" w:lineRule="auto"/>
        <w:jc w:val="both"/>
        <w:rPr>
          <w:rFonts w:ascii="Times New Roman" w:eastAsia="Times New Roman" w:hAnsi="Times New Roman"/>
          <w:i/>
          <w:sz w:val="24"/>
          <w:szCs w:val="24"/>
          <w:lang w:val="en-US"/>
        </w:rPr>
      </w:pPr>
    </w:p>
    <w:p w14:paraId="58DF353E" w14:textId="3DAD6D70" w:rsidR="005568F3" w:rsidRDefault="006379E4" w:rsidP="00AB515D">
      <w:pPr>
        <w:spacing w:after="0" w:line="240" w:lineRule="auto"/>
        <w:ind w:firstLine="720"/>
        <w:jc w:val="both"/>
        <w:rPr>
          <w:rFonts w:ascii="Times New Roman" w:eastAsia="Times New Roman" w:hAnsi="Times New Roman"/>
          <w:sz w:val="24"/>
          <w:szCs w:val="24"/>
          <w:lang w:val="en-US" w:eastAsia="x-none"/>
        </w:rPr>
      </w:pPr>
      <w:r>
        <w:rPr>
          <w:rFonts w:ascii="Times New Roman" w:hAnsi="Times New Roman"/>
          <w:sz w:val="24"/>
          <w:szCs w:val="24"/>
        </w:rPr>
        <w:t xml:space="preserve">GVA </w:t>
      </w:r>
      <w:r w:rsidR="009955FC">
        <w:rPr>
          <w:rFonts w:ascii="Times New Roman" w:hAnsi="Times New Roman"/>
          <w:sz w:val="24"/>
          <w:szCs w:val="24"/>
        </w:rPr>
        <w:t xml:space="preserve">growth rate </w:t>
      </w:r>
      <w:r>
        <w:rPr>
          <w:rFonts w:ascii="Times New Roman" w:hAnsi="Times New Roman"/>
          <w:sz w:val="24"/>
          <w:szCs w:val="24"/>
        </w:rPr>
        <w:t xml:space="preserve">for the </w:t>
      </w:r>
      <w:r w:rsidR="0052672B">
        <w:rPr>
          <w:rFonts w:ascii="Times New Roman" w:hAnsi="Times New Roman"/>
          <w:sz w:val="24"/>
          <w:szCs w:val="24"/>
        </w:rPr>
        <w:t>third</w:t>
      </w:r>
      <w:r w:rsidR="009955FC">
        <w:rPr>
          <w:rFonts w:ascii="Times New Roman" w:hAnsi="Times New Roman"/>
          <w:sz w:val="24"/>
          <w:szCs w:val="24"/>
        </w:rPr>
        <w:t xml:space="preserve"> quarter of 202</w:t>
      </w:r>
      <w:r w:rsidR="00D01658">
        <w:rPr>
          <w:rFonts w:ascii="Times New Roman" w:hAnsi="Times New Roman"/>
          <w:sz w:val="24"/>
          <w:szCs w:val="24"/>
        </w:rPr>
        <w:t>5</w:t>
      </w:r>
      <w:r w:rsidR="00C829EF" w:rsidRPr="00C829EF">
        <w:rPr>
          <w:rFonts w:ascii="Times New Roman" w:hAnsi="Times New Roman"/>
          <w:sz w:val="24"/>
          <w:szCs w:val="24"/>
        </w:rPr>
        <w:t xml:space="preserve"> over t</w:t>
      </w:r>
      <w:r w:rsidR="009955FC">
        <w:rPr>
          <w:rFonts w:ascii="Times New Roman" w:hAnsi="Times New Roman"/>
          <w:sz w:val="24"/>
          <w:szCs w:val="24"/>
        </w:rPr>
        <w:t>he corresponding quarter of 202</w:t>
      </w:r>
      <w:r w:rsidR="005B664D">
        <w:rPr>
          <w:rFonts w:ascii="Times New Roman" w:hAnsi="Times New Roman"/>
          <w:sz w:val="24"/>
          <w:szCs w:val="24"/>
        </w:rPr>
        <w:t>4</w:t>
      </w:r>
      <w:r w:rsidR="00C829EF" w:rsidRPr="00C829EF">
        <w:rPr>
          <w:rFonts w:ascii="Times New Roman" w:hAnsi="Times New Roman"/>
          <w:sz w:val="24"/>
          <w:szCs w:val="24"/>
        </w:rPr>
        <w:t xml:space="preserve"> </w:t>
      </w:r>
      <w:r w:rsidR="00D83FE1">
        <w:rPr>
          <w:rFonts w:ascii="Times New Roman" w:hAnsi="Times New Roman"/>
          <w:sz w:val="24"/>
          <w:szCs w:val="24"/>
        </w:rPr>
        <w:t xml:space="preserve">is </w:t>
      </w:r>
      <w:r w:rsidR="009F7BB0">
        <w:rPr>
          <w:rFonts w:ascii="Times New Roman" w:hAnsi="Times New Roman"/>
          <w:sz w:val="24"/>
          <w:szCs w:val="24"/>
        </w:rPr>
        <w:t xml:space="preserve">revised </w:t>
      </w:r>
      <w:r w:rsidR="0052672B">
        <w:rPr>
          <w:rFonts w:ascii="Times New Roman" w:hAnsi="Times New Roman"/>
          <w:sz w:val="24"/>
          <w:szCs w:val="24"/>
        </w:rPr>
        <w:t>upwards</w:t>
      </w:r>
      <w:r w:rsidR="009F7BB0">
        <w:rPr>
          <w:rFonts w:ascii="Times New Roman" w:hAnsi="Times New Roman"/>
          <w:sz w:val="24"/>
          <w:szCs w:val="24"/>
        </w:rPr>
        <w:t xml:space="preserve"> to </w:t>
      </w:r>
      <w:r w:rsidR="0052672B">
        <w:rPr>
          <w:rFonts w:ascii="Times New Roman" w:hAnsi="Times New Roman"/>
          <w:sz w:val="24"/>
          <w:szCs w:val="24"/>
        </w:rPr>
        <w:t>3.</w:t>
      </w:r>
      <w:r w:rsidR="008D1906">
        <w:rPr>
          <w:rFonts w:ascii="Times New Roman" w:hAnsi="Times New Roman"/>
          <w:sz w:val="24"/>
          <w:szCs w:val="24"/>
        </w:rPr>
        <w:t>3</w:t>
      </w:r>
      <w:r w:rsidR="009F7BB0">
        <w:rPr>
          <w:rFonts w:ascii="Times New Roman" w:hAnsi="Times New Roman"/>
          <w:sz w:val="24"/>
          <w:szCs w:val="24"/>
        </w:rPr>
        <w:t xml:space="preserve">% from </w:t>
      </w:r>
      <w:r w:rsidR="00B02C7A">
        <w:rPr>
          <w:rFonts w:ascii="Times New Roman" w:hAnsi="Times New Roman"/>
          <w:sz w:val="24"/>
          <w:szCs w:val="24"/>
        </w:rPr>
        <w:t>3</w:t>
      </w:r>
      <w:r w:rsidR="002843C6">
        <w:rPr>
          <w:rFonts w:ascii="Times New Roman" w:hAnsi="Times New Roman"/>
          <w:sz w:val="24"/>
          <w:szCs w:val="24"/>
        </w:rPr>
        <w:t>.</w:t>
      </w:r>
      <w:r w:rsidR="008D1906">
        <w:rPr>
          <w:rFonts w:ascii="Times New Roman" w:hAnsi="Times New Roman"/>
          <w:sz w:val="24"/>
          <w:szCs w:val="24"/>
        </w:rPr>
        <w:t>1</w:t>
      </w:r>
      <w:r w:rsidR="009F7BB0">
        <w:rPr>
          <w:rFonts w:ascii="Times New Roman" w:hAnsi="Times New Roman"/>
          <w:sz w:val="24"/>
          <w:szCs w:val="24"/>
        </w:rPr>
        <w:t xml:space="preserve">% </w:t>
      </w:r>
      <w:r w:rsidR="00D16441">
        <w:rPr>
          <w:rFonts w:ascii="Times New Roman" w:hAnsi="Times New Roman"/>
          <w:sz w:val="24"/>
          <w:szCs w:val="24"/>
        </w:rPr>
        <w:t xml:space="preserve">as </w:t>
      </w:r>
      <w:r w:rsidR="00DF373C">
        <w:rPr>
          <w:rFonts w:ascii="Times New Roman" w:hAnsi="Times New Roman"/>
          <w:sz w:val="24"/>
          <w:szCs w:val="24"/>
        </w:rPr>
        <w:t>estimated in</w:t>
      </w:r>
      <w:r w:rsidR="002843C6">
        <w:rPr>
          <w:rFonts w:ascii="Times New Roman" w:hAnsi="Times New Roman"/>
          <w:sz w:val="24"/>
          <w:szCs w:val="24"/>
        </w:rPr>
        <w:t xml:space="preserve"> </w:t>
      </w:r>
      <w:r w:rsidR="0052672B">
        <w:rPr>
          <w:rFonts w:ascii="Times New Roman" w:hAnsi="Times New Roman"/>
          <w:sz w:val="24"/>
          <w:szCs w:val="24"/>
        </w:rPr>
        <w:t>December</w:t>
      </w:r>
      <w:r w:rsidR="00F0412A">
        <w:rPr>
          <w:rFonts w:ascii="Times New Roman" w:hAnsi="Times New Roman"/>
          <w:sz w:val="24"/>
          <w:szCs w:val="24"/>
        </w:rPr>
        <w:t xml:space="preserve"> </w:t>
      </w:r>
      <w:r>
        <w:rPr>
          <w:rFonts w:ascii="Times New Roman" w:hAnsi="Times New Roman"/>
          <w:sz w:val="24"/>
          <w:szCs w:val="24"/>
        </w:rPr>
        <w:t>202</w:t>
      </w:r>
      <w:r w:rsidR="002843C6">
        <w:rPr>
          <w:rFonts w:ascii="Times New Roman" w:hAnsi="Times New Roman"/>
          <w:sz w:val="24"/>
          <w:szCs w:val="24"/>
        </w:rPr>
        <w:t>5</w:t>
      </w:r>
      <w:r w:rsidR="00D625FC" w:rsidRPr="00C829EF">
        <w:rPr>
          <w:rFonts w:ascii="Times New Roman" w:eastAsia="Times New Roman" w:hAnsi="Times New Roman"/>
          <w:sz w:val="24"/>
          <w:szCs w:val="24"/>
          <w:lang w:val="en-US" w:eastAsia="x-none"/>
        </w:rPr>
        <w:t>.</w:t>
      </w:r>
    </w:p>
    <w:p w14:paraId="060A69DD" w14:textId="77777777" w:rsidR="006249EC" w:rsidRDefault="00D625FC" w:rsidP="00AB515D">
      <w:pPr>
        <w:spacing w:after="0" w:line="240" w:lineRule="auto"/>
        <w:ind w:firstLine="720"/>
        <w:jc w:val="both"/>
        <w:rPr>
          <w:rFonts w:ascii="Times New Roman" w:eastAsia="Times New Roman" w:hAnsi="Times New Roman"/>
          <w:sz w:val="24"/>
          <w:szCs w:val="24"/>
          <w:lang w:eastAsia="x-none"/>
        </w:rPr>
      </w:pPr>
      <w:r w:rsidRPr="00C829EF">
        <w:rPr>
          <w:rFonts w:ascii="Times New Roman" w:eastAsia="Times New Roman" w:hAnsi="Times New Roman"/>
          <w:sz w:val="24"/>
          <w:szCs w:val="24"/>
          <w:lang w:val="en-US" w:eastAsia="x-none"/>
        </w:rPr>
        <w:t xml:space="preserve"> </w:t>
      </w:r>
    </w:p>
    <w:p w14:paraId="0AB79D56" w14:textId="1C845730" w:rsidR="005B04CC" w:rsidRPr="008A19AF" w:rsidRDefault="00623E2B"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4</w:t>
      </w:r>
      <w:r w:rsidR="005B04CC" w:rsidRPr="00F259A9">
        <w:rPr>
          <w:rFonts w:ascii="Times New Roman" w:eastAsia="Times New Roman" w:hAnsi="Times New Roman"/>
          <w:b/>
          <w:i/>
          <w:sz w:val="24"/>
          <w:szCs w:val="24"/>
          <w:lang w:val="x-none" w:eastAsia="x-none"/>
        </w:rPr>
        <w:t>.3</w:t>
      </w:r>
      <w:r w:rsidR="005B04CC" w:rsidRPr="00F259A9">
        <w:rPr>
          <w:rFonts w:ascii="Times New Roman" w:eastAsia="Times New Roman" w:hAnsi="Times New Roman"/>
          <w:b/>
          <w:i/>
          <w:sz w:val="24"/>
          <w:szCs w:val="24"/>
          <w:lang w:val="x-none" w:eastAsia="x-none"/>
        </w:rPr>
        <w:tab/>
        <w:t xml:space="preserve">Growth rates, (year-on-year), </w:t>
      </w:r>
      <w:r w:rsidR="00F43F94" w:rsidRPr="00F259A9">
        <w:rPr>
          <w:rFonts w:ascii="Times New Roman" w:eastAsia="Times New Roman" w:hAnsi="Times New Roman"/>
          <w:b/>
          <w:i/>
          <w:sz w:val="24"/>
          <w:szCs w:val="24"/>
          <w:lang w:val="x-none" w:eastAsia="x-none"/>
        </w:rPr>
        <w:t>Q</w:t>
      </w:r>
      <w:r w:rsidR="0052672B">
        <w:rPr>
          <w:rFonts w:ascii="Times New Roman" w:eastAsia="Times New Roman" w:hAnsi="Times New Roman"/>
          <w:b/>
          <w:i/>
          <w:sz w:val="24"/>
          <w:szCs w:val="24"/>
          <w:vertAlign w:val="subscript"/>
          <w:lang w:eastAsia="x-none"/>
        </w:rPr>
        <w:t>4</w:t>
      </w:r>
      <w:r w:rsidR="00F43F94">
        <w:rPr>
          <w:rFonts w:ascii="Times New Roman" w:eastAsia="Times New Roman" w:hAnsi="Times New Roman"/>
          <w:b/>
          <w:i/>
          <w:sz w:val="24"/>
          <w:szCs w:val="24"/>
          <w:lang w:val="x-none" w:eastAsia="x-none"/>
        </w:rPr>
        <w:t xml:space="preserve"> </w:t>
      </w:r>
      <w:r w:rsidR="008A19AF">
        <w:rPr>
          <w:rFonts w:ascii="Times New Roman" w:eastAsia="Times New Roman" w:hAnsi="Times New Roman"/>
          <w:b/>
          <w:i/>
          <w:sz w:val="24"/>
          <w:szCs w:val="24"/>
          <w:lang w:eastAsia="x-none"/>
        </w:rPr>
        <w:t>202</w:t>
      </w:r>
      <w:r w:rsidR="002843C6">
        <w:rPr>
          <w:rFonts w:ascii="Times New Roman" w:eastAsia="Times New Roman" w:hAnsi="Times New Roman"/>
          <w:b/>
          <w:i/>
          <w:sz w:val="24"/>
          <w:szCs w:val="24"/>
          <w:lang w:eastAsia="x-none"/>
        </w:rPr>
        <w:t>5</w:t>
      </w:r>
    </w:p>
    <w:p w14:paraId="411BAA95"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sz w:val="24"/>
          <w:szCs w:val="24"/>
          <w:lang w:val="en-US"/>
        </w:rPr>
        <w:tab/>
      </w:r>
    </w:p>
    <w:p w14:paraId="5D6BF4C3" w14:textId="00CAA6F2" w:rsidR="00CE57FC" w:rsidRDefault="00CE57FC" w:rsidP="006C390D">
      <w:pPr>
        <w:spacing w:after="0" w:line="240" w:lineRule="auto"/>
        <w:ind w:firstLine="720"/>
        <w:jc w:val="both"/>
        <w:rPr>
          <w:rFonts w:ascii="Times New Roman" w:hAnsi="Times New Roman"/>
          <w:sz w:val="24"/>
          <w:szCs w:val="24"/>
        </w:rPr>
      </w:pPr>
      <w:r>
        <w:rPr>
          <w:rFonts w:ascii="Times New Roman" w:hAnsi="Times New Roman"/>
          <w:sz w:val="24"/>
          <w:szCs w:val="24"/>
        </w:rPr>
        <w:t xml:space="preserve">Year-on-year growth rates for the </w:t>
      </w:r>
      <w:r w:rsidR="0052672B">
        <w:rPr>
          <w:rFonts w:ascii="Times New Roman" w:hAnsi="Times New Roman"/>
          <w:sz w:val="24"/>
          <w:szCs w:val="24"/>
        </w:rPr>
        <w:t>fourth</w:t>
      </w:r>
      <w:r w:rsidR="006379E4">
        <w:rPr>
          <w:rFonts w:ascii="Times New Roman" w:hAnsi="Times New Roman"/>
          <w:sz w:val="24"/>
          <w:szCs w:val="24"/>
        </w:rPr>
        <w:t xml:space="preserve"> quarter of 202</w:t>
      </w:r>
      <w:r w:rsidR="002843C6">
        <w:rPr>
          <w:rFonts w:ascii="Times New Roman" w:hAnsi="Times New Roman"/>
          <w:sz w:val="24"/>
          <w:szCs w:val="24"/>
        </w:rPr>
        <w:t>5</w:t>
      </w:r>
      <w:r>
        <w:rPr>
          <w:rFonts w:ascii="Times New Roman" w:hAnsi="Times New Roman"/>
          <w:sz w:val="24"/>
          <w:szCs w:val="24"/>
        </w:rPr>
        <w:t xml:space="preserve"> are compared with the year-on-year growths one quarter earlier.</w:t>
      </w:r>
    </w:p>
    <w:p w14:paraId="1199C67E" w14:textId="77777777" w:rsidR="00886AD9" w:rsidRDefault="00886AD9" w:rsidP="006C390D">
      <w:pPr>
        <w:spacing w:after="0" w:line="240" w:lineRule="auto"/>
        <w:ind w:firstLine="720"/>
        <w:jc w:val="both"/>
        <w:rPr>
          <w:rFonts w:ascii="Times New Roman" w:hAnsi="Times New Roman"/>
          <w:sz w:val="24"/>
          <w:szCs w:val="24"/>
        </w:rPr>
      </w:pPr>
    </w:p>
    <w:p w14:paraId="53608798" w14:textId="50957317" w:rsidR="005B04CC" w:rsidRPr="008A19AF" w:rsidRDefault="00CE57FC" w:rsidP="006C390D">
      <w:pPr>
        <w:spacing w:after="0" w:line="240" w:lineRule="auto"/>
        <w:ind w:firstLine="720"/>
        <w:jc w:val="both"/>
        <w:rPr>
          <w:rFonts w:ascii="Times New Roman" w:eastAsia="Times New Roman" w:hAnsi="Times New Roman"/>
          <w:sz w:val="24"/>
          <w:szCs w:val="24"/>
          <w:highlight w:val="yellow"/>
          <w:lang w:eastAsia="x-none"/>
        </w:rPr>
      </w:pPr>
      <w:r>
        <w:rPr>
          <w:rFonts w:ascii="Times New Roman" w:hAnsi="Times New Roman"/>
          <w:sz w:val="24"/>
          <w:szCs w:val="24"/>
        </w:rPr>
        <w:t xml:space="preserve">Total </w:t>
      </w:r>
      <w:r w:rsidR="00D65007">
        <w:rPr>
          <w:rFonts w:ascii="Times New Roman" w:hAnsi="Times New Roman"/>
          <w:sz w:val="24"/>
          <w:szCs w:val="24"/>
        </w:rPr>
        <w:t>GVA growth rate for the</w:t>
      </w:r>
      <w:r w:rsidR="00DC36CA">
        <w:rPr>
          <w:rFonts w:ascii="Times New Roman" w:hAnsi="Times New Roman"/>
          <w:sz w:val="24"/>
          <w:szCs w:val="24"/>
        </w:rPr>
        <w:t xml:space="preserve"> </w:t>
      </w:r>
      <w:r w:rsidR="0052672B">
        <w:rPr>
          <w:rFonts w:ascii="Times New Roman" w:hAnsi="Times New Roman"/>
          <w:sz w:val="24"/>
          <w:szCs w:val="24"/>
        </w:rPr>
        <w:t>fourth</w:t>
      </w:r>
      <w:r w:rsidR="005568F3">
        <w:rPr>
          <w:rFonts w:ascii="Times New Roman" w:hAnsi="Times New Roman"/>
          <w:sz w:val="24"/>
          <w:szCs w:val="24"/>
        </w:rPr>
        <w:t xml:space="preserve"> quarter of 202</w:t>
      </w:r>
      <w:r w:rsidR="002843C6">
        <w:rPr>
          <w:rFonts w:ascii="Times New Roman" w:hAnsi="Times New Roman"/>
          <w:sz w:val="24"/>
          <w:szCs w:val="24"/>
        </w:rPr>
        <w:t>5</w:t>
      </w:r>
      <w:r>
        <w:rPr>
          <w:rFonts w:ascii="Times New Roman" w:hAnsi="Times New Roman"/>
          <w:sz w:val="24"/>
          <w:szCs w:val="24"/>
        </w:rPr>
        <w:t xml:space="preserve"> over t</w:t>
      </w:r>
      <w:r w:rsidR="005568F3">
        <w:rPr>
          <w:rFonts w:ascii="Times New Roman" w:hAnsi="Times New Roman"/>
          <w:sz w:val="24"/>
          <w:szCs w:val="24"/>
        </w:rPr>
        <w:t>he corresponding quarter of 202</w:t>
      </w:r>
      <w:r w:rsidR="002843C6">
        <w:rPr>
          <w:rFonts w:ascii="Times New Roman" w:hAnsi="Times New Roman"/>
          <w:sz w:val="24"/>
          <w:szCs w:val="24"/>
        </w:rPr>
        <w:t>4</w:t>
      </w:r>
      <w:r>
        <w:rPr>
          <w:rFonts w:ascii="Times New Roman" w:hAnsi="Times New Roman"/>
          <w:sz w:val="24"/>
          <w:szCs w:val="24"/>
        </w:rPr>
        <w:t xml:space="preserve"> </w:t>
      </w:r>
      <w:r w:rsidR="00837601">
        <w:rPr>
          <w:rFonts w:ascii="Times New Roman" w:hAnsi="Times New Roman"/>
          <w:sz w:val="24"/>
          <w:szCs w:val="24"/>
        </w:rPr>
        <w:t>is estimated at</w:t>
      </w:r>
      <w:r w:rsidR="00D833D4">
        <w:rPr>
          <w:rFonts w:ascii="Times New Roman" w:hAnsi="Times New Roman"/>
          <w:sz w:val="24"/>
          <w:szCs w:val="24"/>
        </w:rPr>
        <w:t xml:space="preserve"> </w:t>
      </w:r>
      <w:r w:rsidR="00E32968">
        <w:rPr>
          <w:rFonts w:ascii="Times New Roman" w:hAnsi="Times New Roman"/>
          <w:sz w:val="24"/>
          <w:szCs w:val="24"/>
        </w:rPr>
        <w:t>3</w:t>
      </w:r>
      <w:r w:rsidR="00CF38E2">
        <w:rPr>
          <w:rFonts w:ascii="Times New Roman" w:hAnsi="Times New Roman"/>
          <w:sz w:val="24"/>
          <w:szCs w:val="24"/>
        </w:rPr>
        <w:t>.1</w:t>
      </w:r>
      <w:r w:rsidR="00886AD9">
        <w:rPr>
          <w:rFonts w:ascii="Times New Roman" w:hAnsi="Times New Roman"/>
          <w:sz w:val="24"/>
          <w:szCs w:val="24"/>
        </w:rPr>
        <w:t>%</w:t>
      </w:r>
      <w:r>
        <w:rPr>
          <w:rFonts w:ascii="Times New Roman" w:hAnsi="Times New Roman"/>
          <w:sz w:val="24"/>
          <w:szCs w:val="24"/>
        </w:rPr>
        <w:t>.</w:t>
      </w:r>
      <w:r w:rsidR="00886AD9" w:rsidRPr="00886AD9">
        <w:rPr>
          <w:rFonts w:ascii="Times New Roman" w:hAnsi="Times New Roman"/>
          <w:sz w:val="24"/>
          <w:szCs w:val="24"/>
        </w:rPr>
        <w:t xml:space="preserve"> </w:t>
      </w:r>
      <w:r w:rsidR="006C390D" w:rsidRPr="00C829EF">
        <w:rPr>
          <w:rFonts w:ascii="Times New Roman" w:eastAsia="Times New Roman" w:hAnsi="Times New Roman"/>
          <w:sz w:val="24"/>
          <w:szCs w:val="24"/>
          <w:lang w:eastAsia="x-none"/>
        </w:rPr>
        <w:t>Growth</w:t>
      </w:r>
      <w:r w:rsidR="006246EF" w:rsidRPr="00C829EF">
        <w:rPr>
          <w:rFonts w:ascii="Times New Roman" w:eastAsia="Times New Roman" w:hAnsi="Times New Roman"/>
          <w:sz w:val="24"/>
          <w:szCs w:val="24"/>
          <w:lang w:eastAsia="x-none"/>
        </w:rPr>
        <w:t xml:space="preserve"> rates by industry group were</w:t>
      </w:r>
      <w:r w:rsidR="006C390D" w:rsidRPr="00C829EF">
        <w:rPr>
          <w:rFonts w:ascii="Times New Roman" w:eastAsia="Times New Roman" w:hAnsi="Times New Roman"/>
          <w:sz w:val="24"/>
          <w:szCs w:val="24"/>
          <w:lang w:eastAsia="x-none"/>
        </w:rPr>
        <w:t xml:space="preserve"> as follows:</w:t>
      </w:r>
    </w:p>
    <w:p w14:paraId="393EB86C" w14:textId="77777777" w:rsidR="006C390D" w:rsidRPr="00C57BEF" w:rsidRDefault="006C390D" w:rsidP="006C390D">
      <w:pPr>
        <w:spacing w:after="0" w:line="240" w:lineRule="auto"/>
        <w:ind w:firstLine="720"/>
        <w:jc w:val="both"/>
        <w:rPr>
          <w:rFonts w:ascii="Times New Roman" w:eastAsia="Times New Roman" w:hAnsi="Times New Roman"/>
          <w:sz w:val="24"/>
          <w:szCs w:val="24"/>
          <w:lang w:eastAsia="x-none"/>
        </w:rPr>
      </w:pPr>
    </w:p>
    <w:p w14:paraId="4AA3F79C" w14:textId="580AEE3F" w:rsidR="005B04CC" w:rsidRDefault="00114FC4" w:rsidP="00114FC4">
      <w:pPr>
        <w:spacing w:after="0" w:line="240" w:lineRule="auto"/>
        <w:ind w:firstLine="720"/>
        <w:jc w:val="both"/>
        <w:rPr>
          <w:rFonts w:ascii="Times New Roman" w:eastAsia="Times New Roman" w:hAnsi="Times New Roman"/>
          <w:sz w:val="24"/>
          <w:szCs w:val="24"/>
          <w:lang w:eastAsia="x-none"/>
        </w:rPr>
      </w:pPr>
      <w:r w:rsidRPr="00D833D4">
        <w:rPr>
          <w:rFonts w:ascii="Times New Roman" w:eastAsia="Times New Roman" w:hAnsi="Times New Roman"/>
          <w:sz w:val="24"/>
          <w:szCs w:val="24"/>
          <w:lang w:eastAsia="x-none"/>
        </w:rPr>
        <w:t xml:space="preserve">The “Agriculture, forestry, and fishing” sector </w:t>
      </w:r>
      <w:r w:rsidR="00D833D4" w:rsidRPr="00D833D4">
        <w:rPr>
          <w:rFonts w:ascii="Times New Roman" w:eastAsia="Times New Roman" w:hAnsi="Times New Roman"/>
          <w:sz w:val="24"/>
          <w:szCs w:val="24"/>
          <w:lang w:eastAsia="x-none"/>
        </w:rPr>
        <w:t>expanded</w:t>
      </w:r>
      <w:r w:rsidRPr="00D833D4">
        <w:rPr>
          <w:rFonts w:ascii="Times New Roman" w:eastAsia="Times New Roman" w:hAnsi="Times New Roman"/>
          <w:sz w:val="24"/>
          <w:szCs w:val="24"/>
          <w:lang w:eastAsia="x-none"/>
        </w:rPr>
        <w:t xml:space="preserve"> by </w:t>
      </w:r>
      <w:r w:rsidR="00A53368">
        <w:rPr>
          <w:rFonts w:ascii="Times New Roman" w:eastAsia="Times New Roman" w:hAnsi="Times New Roman"/>
          <w:sz w:val="24"/>
          <w:szCs w:val="24"/>
          <w:lang w:eastAsia="x-none"/>
        </w:rPr>
        <w:t>4.</w:t>
      </w:r>
      <w:r w:rsidR="0052672B">
        <w:rPr>
          <w:rFonts w:ascii="Times New Roman" w:eastAsia="Times New Roman" w:hAnsi="Times New Roman"/>
          <w:sz w:val="24"/>
          <w:szCs w:val="24"/>
          <w:lang w:eastAsia="x-none"/>
        </w:rPr>
        <w:t>8</w:t>
      </w:r>
      <w:r w:rsidRPr="00D833D4">
        <w:rPr>
          <w:rFonts w:ascii="Times New Roman" w:eastAsia="Times New Roman" w:hAnsi="Times New Roman"/>
          <w:sz w:val="24"/>
          <w:szCs w:val="24"/>
          <w:lang w:eastAsia="x-none"/>
        </w:rPr>
        <w:t xml:space="preserve">%, </w:t>
      </w:r>
      <w:r w:rsidR="005A3795">
        <w:rPr>
          <w:rFonts w:ascii="Times New Roman" w:eastAsia="Times New Roman" w:hAnsi="Times New Roman"/>
          <w:sz w:val="24"/>
          <w:szCs w:val="24"/>
          <w:lang w:eastAsia="x-none"/>
        </w:rPr>
        <w:t xml:space="preserve">slightly lower than the </w:t>
      </w:r>
      <w:r w:rsidR="0052672B">
        <w:rPr>
          <w:rFonts w:ascii="Times New Roman" w:eastAsia="Times New Roman" w:hAnsi="Times New Roman"/>
          <w:sz w:val="24"/>
          <w:szCs w:val="24"/>
          <w:lang w:eastAsia="x-none"/>
        </w:rPr>
        <w:t>4.9</w:t>
      </w:r>
      <w:r w:rsidRPr="00D833D4">
        <w:rPr>
          <w:rFonts w:ascii="Times New Roman" w:eastAsia="Times New Roman" w:hAnsi="Times New Roman"/>
          <w:sz w:val="24"/>
          <w:szCs w:val="24"/>
          <w:lang w:eastAsia="x-none"/>
        </w:rPr>
        <w:t xml:space="preserve">% </w:t>
      </w:r>
      <w:r w:rsidR="005A3795">
        <w:rPr>
          <w:rFonts w:ascii="Times New Roman" w:eastAsia="Times New Roman" w:hAnsi="Times New Roman"/>
          <w:sz w:val="24"/>
          <w:szCs w:val="24"/>
          <w:lang w:eastAsia="x-none"/>
        </w:rPr>
        <w:t xml:space="preserve">growth recorded </w:t>
      </w:r>
      <w:r w:rsidRPr="00D833D4">
        <w:rPr>
          <w:rFonts w:ascii="Times New Roman" w:eastAsia="Times New Roman" w:hAnsi="Times New Roman"/>
          <w:sz w:val="24"/>
          <w:szCs w:val="24"/>
          <w:lang w:eastAsia="x-none"/>
        </w:rPr>
        <w:t xml:space="preserve">in the previous quarter. </w:t>
      </w:r>
      <w:r w:rsidR="00F65CA0">
        <w:rPr>
          <w:rFonts w:ascii="Times New Roman" w:eastAsia="Times New Roman" w:hAnsi="Times New Roman"/>
          <w:sz w:val="24"/>
          <w:szCs w:val="24"/>
          <w:lang w:eastAsia="x-none"/>
        </w:rPr>
        <w:t>Growth</w:t>
      </w:r>
      <w:r w:rsidRPr="00D833D4">
        <w:rPr>
          <w:rFonts w:ascii="Times New Roman" w:eastAsia="Times New Roman" w:hAnsi="Times New Roman"/>
          <w:sz w:val="24"/>
          <w:szCs w:val="24"/>
          <w:lang w:eastAsia="x-none"/>
        </w:rPr>
        <w:t xml:space="preserve"> was driven by a </w:t>
      </w:r>
      <w:r w:rsidR="00A53368">
        <w:rPr>
          <w:rFonts w:ascii="Times New Roman" w:eastAsia="Times New Roman" w:hAnsi="Times New Roman"/>
          <w:sz w:val="24"/>
          <w:szCs w:val="24"/>
          <w:lang w:eastAsia="x-none"/>
        </w:rPr>
        <w:t>5.</w:t>
      </w:r>
      <w:r w:rsidR="0052672B">
        <w:rPr>
          <w:rFonts w:ascii="Times New Roman" w:eastAsia="Times New Roman" w:hAnsi="Times New Roman"/>
          <w:sz w:val="24"/>
          <w:szCs w:val="24"/>
          <w:lang w:eastAsia="x-none"/>
        </w:rPr>
        <w:t>8</w:t>
      </w:r>
      <w:r w:rsidRPr="00D833D4">
        <w:rPr>
          <w:rFonts w:ascii="Times New Roman" w:eastAsia="Times New Roman" w:hAnsi="Times New Roman"/>
          <w:sz w:val="24"/>
          <w:szCs w:val="24"/>
          <w:lang w:eastAsia="x-none"/>
        </w:rPr>
        <w:t xml:space="preserve">% </w:t>
      </w:r>
      <w:r w:rsidR="00F65CA0">
        <w:rPr>
          <w:rFonts w:ascii="Times New Roman" w:eastAsia="Times New Roman" w:hAnsi="Times New Roman"/>
          <w:sz w:val="24"/>
          <w:szCs w:val="24"/>
          <w:lang w:eastAsia="x-none"/>
        </w:rPr>
        <w:t>increase</w:t>
      </w:r>
      <w:r w:rsidRPr="00D833D4">
        <w:rPr>
          <w:rFonts w:ascii="Times New Roman" w:eastAsia="Times New Roman" w:hAnsi="Times New Roman"/>
          <w:sz w:val="24"/>
          <w:szCs w:val="24"/>
          <w:lang w:eastAsia="x-none"/>
        </w:rPr>
        <w:t xml:space="preserve"> in "Other agriculture"</w:t>
      </w:r>
      <w:r w:rsidR="00F65CA0">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 xml:space="preserve">partly offset by a </w:t>
      </w:r>
      <w:r w:rsidR="0052672B">
        <w:rPr>
          <w:rFonts w:ascii="Times New Roman" w:eastAsia="Times New Roman" w:hAnsi="Times New Roman"/>
          <w:sz w:val="24"/>
          <w:szCs w:val="24"/>
          <w:lang w:eastAsia="x-none"/>
        </w:rPr>
        <w:t>5.4</w:t>
      </w:r>
      <w:r w:rsidRPr="00114FC4">
        <w:rPr>
          <w:rFonts w:ascii="Times New Roman" w:eastAsia="Times New Roman" w:hAnsi="Times New Roman"/>
          <w:sz w:val="24"/>
          <w:szCs w:val="24"/>
          <w:lang w:eastAsia="x-none"/>
        </w:rPr>
        <w:t>% decline in "Sugarcane"</w:t>
      </w:r>
      <w:r>
        <w:rPr>
          <w:rFonts w:ascii="Times New Roman" w:eastAsia="Times New Roman" w:hAnsi="Times New Roman"/>
          <w:sz w:val="24"/>
          <w:szCs w:val="24"/>
          <w:lang w:eastAsia="x-none"/>
        </w:rPr>
        <w:t>.</w:t>
      </w:r>
    </w:p>
    <w:p w14:paraId="7AEB8F3E" w14:textId="77777777" w:rsidR="00114FC4" w:rsidRPr="00A402C7" w:rsidRDefault="00114FC4" w:rsidP="00114FC4">
      <w:pPr>
        <w:spacing w:after="0" w:line="240" w:lineRule="auto"/>
        <w:ind w:firstLine="720"/>
        <w:jc w:val="both"/>
        <w:rPr>
          <w:rFonts w:ascii="Times New Roman" w:eastAsia="Times New Roman" w:hAnsi="Times New Roman"/>
          <w:sz w:val="24"/>
          <w:szCs w:val="24"/>
          <w:highlight w:val="yellow"/>
          <w:lang w:eastAsia="x-none"/>
        </w:rPr>
      </w:pPr>
    </w:p>
    <w:p w14:paraId="32838AB9" w14:textId="1E5ECB93"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Manufacturing</w:t>
      </w:r>
      <w:r>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expanded by 1.</w:t>
      </w:r>
      <w:r w:rsidR="0052672B">
        <w:rPr>
          <w:rFonts w:ascii="Times New Roman" w:eastAsia="Times New Roman" w:hAnsi="Times New Roman"/>
          <w:sz w:val="24"/>
          <w:szCs w:val="24"/>
          <w:lang w:eastAsia="x-none"/>
        </w:rPr>
        <w:t>4</w:t>
      </w:r>
      <w:r w:rsidRPr="00114FC4">
        <w:rPr>
          <w:rFonts w:ascii="Times New Roman" w:eastAsia="Times New Roman" w:hAnsi="Times New Roman"/>
          <w:sz w:val="24"/>
          <w:szCs w:val="24"/>
          <w:lang w:eastAsia="x-none"/>
        </w:rPr>
        <w:t>%</w:t>
      </w:r>
      <w:r w:rsidR="00F65CA0">
        <w:rPr>
          <w:rFonts w:ascii="Times New Roman" w:eastAsia="Times New Roman" w:hAnsi="Times New Roman"/>
          <w:sz w:val="24"/>
          <w:szCs w:val="24"/>
          <w:lang w:eastAsia="x-none"/>
        </w:rPr>
        <w:t xml:space="preserve"> compared with </w:t>
      </w:r>
      <w:r w:rsidR="00E32968">
        <w:rPr>
          <w:rFonts w:ascii="Times New Roman" w:eastAsia="Times New Roman" w:hAnsi="Times New Roman"/>
          <w:sz w:val="24"/>
          <w:szCs w:val="24"/>
          <w:lang w:eastAsia="x-none"/>
        </w:rPr>
        <w:t>1.</w:t>
      </w:r>
      <w:r w:rsidR="0052672B">
        <w:rPr>
          <w:rFonts w:ascii="Times New Roman" w:eastAsia="Times New Roman" w:hAnsi="Times New Roman"/>
          <w:sz w:val="24"/>
          <w:szCs w:val="24"/>
          <w:lang w:eastAsia="x-none"/>
        </w:rPr>
        <w:t>1</w:t>
      </w:r>
      <w:r w:rsidR="00E32968">
        <w:rPr>
          <w:rFonts w:ascii="Times New Roman" w:eastAsia="Times New Roman" w:hAnsi="Times New Roman"/>
          <w:sz w:val="24"/>
          <w:szCs w:val="24"/>
          <w:lang w:eastAsia="x-none"/>
        </w:rPr>
        <w:t xml:space="preserve">% in </w:t>
      </w:r>
      <w:r w:rsidRPr="00114FC4">
        <w:rPr>
          <w:rFonts w:ascii="Times New Roman" w:eastAsia="Times New Roman" w:hAnsi="Times New Roman"/>
          <w:sz w:val="24"/>
          <w:szCs w:val="24"/>
          <w:lang w:eastAsia="x-none"/>
        </w:rPr>
        <w:t>the pre</w:t>
      </w:r>
      <w:r w:rsidR="00251297">
        <w:rPr>
          <w:rFonts w:ascii="Times New Roman" w:eastAsia="Times New Roman" w:hAnsi="Times New Roman"/>
          <w:sz w:val="24"/>
          <w:szCs w:val="24"/>
          <w:lang w:eastAsia="x-none"/>
        </w:rPr>
        <w:t>ceding</w:t>
      </w:r>
      <w:r w:rsidRPr="00114FC4">
        <w:rPr>
          <w:rFonts w:ascii="Times New Roman" w:eastAsia="Times New Roman" w:hAnsi="Times New Roman"/>
          <w:sz w:val="24"/>
          <w:szCs w:val="24"/>
          <w:lang w:eastAsia="x-none"/>
        </w:rPr>
        <w:t xml:space="preserve"> quarter. </w:t>
      </w:r>
      <w:r w:rsidR="00F65CA0">
        <w:rPr>
          <w:rFonts w:ascii="Times New Roman" w:eastAsia="Times New Roman" w:hAnsi="Times New Roman"/>
          <w:sz w:val="24"/>
          <w:szCs w:val="24"/>
          <w:lang w:eastAsia="x-none"/>
        </w:rPr>
        <w:t xml:space="preserve">This </w:t>
      </w:r>
      <w:r w:rsidR="005A3795">
        <w:rPr>
          <w:rFonts w:ascii="Times New Roman" w:eastAsia="Times New Roman" w:hAnsi="Times New Roman"/>
          <w:sz w:val="24"/>
          <w:szCs w:val="24"/>
          <w:lang w:eastAsia="x-none"/>
        </w:rPr>
        <w:t>performance</w:t>
      </w:r>
      <w:r w:rsidR="00F65CA0">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 xml:space="preserve">was supported by </w:t>
      </w:r>
      <w:r w:rsidR="00F65CA0">
        <w:rPr>
          <w:rFonts w:ascii="Times New Roman" w:eastAsia="Times New Roman" w:hAnsi="Times New Roman"/>
          <w:sz w:val="24"/>
          <w:szCs w:val="24"/>
          <w:lang w:eastAsia="x-none"/>
        </w:rPr>
        <w:t xml:space="preserve">growth in </w:t>
      </w:r>
      <w:r w:rsidR="002843C6">
        <w:rPr>
          <w:rFonts w:ascii="Times New Roman" w:eastAsia="Times New Roman" w:hAnsi="Times New Roman"/>
          <w:sz w:val="24"/>
          <w:szCs w:val="24"/>
          <w:lang w:eastAsia="x-none"/>
        </w:rPr>
        <w:t>“Food (exc. sugar)”</w:t>
      </w:r>
      <w:r w:rsidR="00F65CA0">
        <w:rPr>
          <w:rFonts w:ascii="Times New Roman" w:eastAsia="Times New Roman" w:hAnsi="Times New Roman"/>
          <w:sz w:val="24"/>
          <w:szCs w:val="24"/>
          <w:lang w:eastAsia="x-none"/>
        </w:rPr>
        <w:t xml:space="preserve"> (0.</w:t>
      </w:r>
      <w:r w:rsidR="0052672B">
        <w:rPr>
          <w:rFonts w:ascii="Times New Roman" w:eastAsia="Times New Roman" w:hAnsi="Times New Roman"/>
          <w:sz w:val="24"/>
          <w:szCs w:val="24"/>
          <w:lang w:eastAsia="x-none"/>
        </w:rPr>
        <w:t>1</w:t>
      </w:r>
      <w:r w:rsidR="00F65CA0">
        <w:rPr>
          <w:rFonts w:ascii="Times New Roman" w:eastAsia="Times New Roman" w:hAnsi="Times New Roman"/>
          <w:sz w:val="24"/>
          <w:szCs w:val="24"/>
          <w:lang w:eastAsia="x-none"/>
        </w:rPr>
        <w:t>%)</w:t>
      </w:r>
      <w:r w:rsidR="00A53368">
        <w:rPr>
          <w:rFonts w:ascii="Times New Roman" w:eastAsia="Times New Roman" w:hAnsi="Times New Roman"/>
          <w:sz w:val="24"/>
          <w:szCs w:val="24"/>
          <w:lang w:eastAsia="x-none"/>
        </w:rPr>
        <w:t xml:space="preserve"> and “Other manufacturing” (</w:t>
      </w:r>
      <w:r w:rsidR="0052672B">
        <w:rPr>
          <w:rFonts w:ascii="Times New Roman" w:eastAsia="Times New Roman" w:hAnsi="Times New Roman"/>
          <w:sz w:val="24"/>
          <w:szCs w:val="24"/>
          <w:lang w:eastAsia="x-none"/>
        </w:rPr>
        <w:t>7</w:t>
      </w:r>
      <w:r w:rsidR="00A53368">
        <w:rPr>
          <w:rFonts w:ascii="Times New Roman" w:eastAsia="Times New Roman" w:hAnsi="Times New Roman"/>
          <w:sz w:val="24"/>
          <w:szCs w:val="24"/>
          <w:lang w:eastAsia="x-none"/>
        </w:rPr>
        <w:t>.0%)</w:t>
      </w:r>
      <w:r w:rsidR="002843C6">
        <w:rPr>
          <w:rFonts w:ascii="Times New Roman" w:eastAsia="Times New Roman" w:hAnsi="Times New Roman"/>
          <w:sz w:val="24"/>
          <w:szCs w:val="24"/>
          <w:lang w:eastAsia="x-none"/>
        </w:rPr>
        <w:t>,</w:t>
      </w:r>
      <w:r w:rsidR="00CD4B3E">
        <w:rPr>
          <w:rFonts w:ascii="Times New Roman" w:eastAsia="Times New Roman" w:hAnsi="Times New Roman"/>
          <w:sz w:val="24"/>
          <w:szCs w:val="24"/>
          <w:lang w:eastAsia="x-none"/>
        </w:rPr>
        <w:t xml:space="preserve"> part</w:t>
      </w:r>
      <w:r w:rsidR="00F65CA0">
        <w:rPr>
          <w:rFonts w:ascii="Times New Roman" w:eastAsia="Times New Roman" w:hAnsi="Times New Roman"/>
          <w:sz w:val="24"/>
          <w:szCs w:val="24"/>
          <w:lang w:eastAsia="x-none"/>
        </w:rPr>
        <w:t>ial</w:t>
      </w:r>
      <w:r w:rsidR="00CD4B3E">
        <w:rPr>
          <w:rFonts w:ascii="Times New Roman" w:eastAsia="Times New Roman" w:hAnsi="Times New Roman"/>
          <w:sz w:val="24"/>
          <w:szCs w:val="24"/>
          <w:lang w:eastAsia="x-none"/>
        </w:rPr>
        <w:t xml:space="preserve">ly offset by </w:t>
      </w:r>
      <w:r w:rsidR="00F65CA0">
        <w:rPr>
          <w:rFonts w:ascii="Times New Roman" w:eastAsia="Times New Roman" w:hAnsi="Times New Roman"/>
          <w:sz w:val="24"/>
          <w:szCs w:val="24"/>
          <w:lang w:eastAsia="x-none"/>
        </w:rPr>
        <w:t xml:space="preserve">contractions </w:t>
      </w:r>
      <w:r w:rsidR="00CD4B3E">
        <w:rPr>
          <w:rFonts w:ascii="Times New Roman" w:eastAsia="Times New Roman" w:hAnsi="Times New Roman"/>
          <w:sz w:val="24"/>
          <w:szCs w:val="24"/>
          <w:lang w:eastAsia="x-none"/>
        </w:rPr>
        <w:t xml:space="preserve">in </w:t>
      </w:r>
      <w:r w:rsidR="002843C6">
        <w:rPr>
          <w:rFonts w:ascii="Times New Roman" w:eastAsia="Times New Roman" w:hAnsi="Times New Roman"/>
          <w:sz w:val="24"/>
          <w:szCs w:val="24"/>
          <w:lang w:eastAsia="x-none"/>
        </w:rPr>
        <w:t>“</w:t>
      </w:r>
      <w:r w:rsidR="00CD4B3E">
        <w:rPr>
          <w:rFonts w:ascii="Times New Roman" w:eastAsia="Times New Roman" w:hAnsi="Times New Roman"/>
          <w:sz w:val="24"/>
          <w:szCs w:val="24"/>
          <w:lang w:eastAsia="x-none"/>
        </w:rPr>
        <w:t>Sugar</w:t>
      </w:r>
      <w:r w:rsidR="002843C6">
        <w:rPr>
          <w:rFonts w:ascii="Times New Roman" w:eastAsia="Times New Roman" w:hAnsi="Times New Roman"/>
          <w:sz w:val="24"/>
          <w:szCs w:val="24"/>
          <w:lang w:eastAsia="x-none"/>
        </w:rPr>
        <w:t>” (</w:t>
      </w:r>
      <w:r w:rsidR="00CD4B3E">
        <w:rPr>
          <w:rFonts w:ascii="Times New Roman" w:eastAsia="Times New Roman" w:hAnsi="Times New Roman"/>
          <w:sz w:val="24"/>
          <w:szCs w:val="24"/>
          <w:lang w:eastAsia="x-none"/>
        </w:rPr>
        <w:t>-</w:t>
      </w:r>
      <w:r w:rsidR="0052672B">
        <w:rPr>
          <w:rFonts w:ascii="Times New Roman" w:eastAsia="Times New Roman" w:hAnsi="Times New Roman"/>
          <w:sz w:val="24"/>
          <w:szCs w:val="24"/>
          <w:lang w:eastAsia="x-none"/>
        </w:rPr>
        <w:t>1.9</w:t>
      </w:r>
      <w:r w:rsidR="002843C6">
        <w:rPr>
          <w:rFonts w:ascii="Times New Roman" w:eastAsia="Times New Roman" w:hAnsi="Times New Roman"/>
          <w:sz w:val="24"/>
          <w:szCs w:val="24"/>
          <w:lang w:eastAsia="x-none"/>
        </w:rPr>
        <w:t>%)</w:t>
      </w:r>
      <w:r w:rsidR="00A53368">
        <w:rPr>
          <w:rFonts w:ascii="Times New Roman" w:eastAsia="Times New Roman" w:hAnsi="Times New Roman"/>
          <w:sz w:val="24"/>
          <w:szCs w:val="24"/>
          <w:lang w:eastAsia="x-none"/>
        </w:rPr>
        <w:t xml:space="preserve"> and</w:t>
      </w:r>
      <w:r w:rsidR="00CD4B3E">
        <w:rPr>
          <w:rFonts w:ascii="Times New Roman" w:eastAsia="Times New Roman" w:hAnsi="Times New Roman"/>
          <w:sz w:val="24"/>
          <w:szCs w:val="24"/>
          <w:lang w:eastAsia="x-none"/>
        </w:rPr>
        <w:t xml:space="preserve"> “Textile” (-</w:t>
      </w:r>
      <w:r w:rsidR="0052672B">
        <w:rPr>
          <w:rFonts w:ascii="Times New Roman" w:eastAsia="Times New Roman" w:hAnsi="Times New Roman"/>
          <w:sz w:val="24"/>
          <w:szCs w:val="24"/>
          <w:lang w:eastAsia="x-none"/>
        </w:rPr>
        <w:t>16.3</w:t>
      </w:r>
      <w:r w:rsidR="00CD4B3E">
        <w:rPr>
          <w:rFonts w:ascii="Times New Roman" w:eastAsia="Times New Roman" w:hAnsi="Times New Roman"/>
          <w:sz w:val="24"/>
          <w:szCs w:val="24"/>
          <w:lang w:eastAsia="x-none"/>
        </w:rPr>
        <w:t>%)</w:t>
      </w:r>
      <w:r w:rsidR="00A53368">
        <w:rPr>
          <w:rFonts w:ascii="Times New Roman" w:eastAsia="Times New Roman" w:hAnsi="Times New Roman"/>
          <w:sz w:val="24"/>
          <w:szCs w:val="24"/>
          <w:lang w:eastAsia="x-none"/>
        </w:rPr>
        <w:t>.</w:t>
      </w:r>
    </w:p>
    <w:p w14:paraId="7B6DB6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B0F3BCC" w14:textId="1BDA343E" w:rsidR="00114FC4" w:rsidRPr="00114FC4" w:rsidRDefault="00F86B4B"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Growth in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Electricity, </w:t>
      </w:r>
      <w:r w:rsidR="00997CB0">
        <w:rPr>
          <w:rFonts w:ascii="Times New Roman" w:eastAsia="Times New Roman" w:hAnsi="Times New Roman"/>
          <w:sz w:val="24"/>
          <w:szCs w:val="24"/>
          <w:lang w:eastAsia="x-none"/>
        </w:rPr>
        <w:t>g</w:t>
      </w:r>
      <w:r w:rsidR="00114FC4" w:rsidRPr="00114FC4">
        <w:rPr>
          <w:rFonts w:ascii="Times New Roman" w:eastAsia="Times New Roman" w:hAnsi="Times New Roman"/>
          <w:sz w:val="24"/>
          <w:szCs w:val="24"/>
          <w:lang w:eastAsia="x-none"/>
        </w:rPr>
        <w:t xml:space="preserve">as, </w:t>
      </w:r>
      <w:r w:rsidR="00997CB0">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team, and </w:t>
      </w:r>
      <w:r w:rsidR="00997CB0">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ir </w:t>
      </w:r>
      <w:r w:rsidR="00997CB0">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onditioning </w:t>
      </w:r>
      <w:r w:rsidR="00997CB0">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upply</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52672B">
        <w:rPr>
          <w:rFonts w:ascii="Times New Roman" w:eastAsia="Times New Roman" w:hAnsi="Times New Roman"/>
          <w:sz w:val="24"/>
          <w:szCs w:val="24"/>
          <w:lang w:eastAsia="x-none"/>
        </w:rPr>
        <w:t xml:space="preserve">increased by 1.2%, slightly higher than the </w:t>
      </w:r>
      <w:r w:rsidR="00A53368">
        <w:rPr>
          <w:rFonts w:ascii="Times New Roman" w:eastAsia="Times New Roman" w:hAnsi="Times New Roman"/>
          <w:sz w:val="24"/>
          <w:szCs w:val="24"/>
          <w:lang w:eastAsia="x-none"/>
        </w:rPr>
        <w:t>1.1</w:t>
      </w:r>
      <w:r w:rsidR="00114FC4" w:rsidRPr="00114FC4">
        <w:rPr>
          <w:rFonts w:ascii="Times New Roman" w:eastAsia="Times New Roman" w:hAnsi="Times New Roman"/>
          <w:sz w:val="24"/>
          <w:szCs w:val="24"/>
          <w:lang w:eastAsia="x-none"/>
        </w:rPr>
        <w:t>%</w:t>
      </w:r>
      <w:r>
        <w:rPr>
          <w:rFonts w:ascii="Times New Roman" w:eastAsia="Times New Roman" w:hAnsi="Times New Roman"/>
          <w:sz w:val="24"/>
          <w:szCs w:val="24"/>
          <w:lang w:eastAsia="x-none"/>
        </w:rPr>
        <w:t xml:space="preserve"> </w:t>
      </w:r>
      <w:r w:rsidR="0052672B">
        <w:rPr>
          <w:rFonts w:ascii="Times New Roman" w:eastAsia="Times New Roman" w:hAnsi="Times New Roman"/>
          <w:sz w:val="24"/>
          <w:szCs w:val="24"/>
          <w:lang w:eastAsia="x-none"/>
        </w:rPr>
        <w:t xml:space="preserve">registered </w:t>
      </w:r>
      <w:r w:rsidR="00114FC4" w:rsidRPr="00114FC4">
        <w:rPr>
          <w:rFonts w:ascii="Times New Roman" w:eastAsia="Times New Roman" w:hAnsi="Times New Roman"/>
          <w:sz w:val="24"/>
          <w:szCs w:val="24"/>
          <w:lang w:eastAsia="x-none"/>
        </w:rPr>
        <w:t xml:space="preserve">in </w:t>
      </w:r>
      <w:r w:rsidR="00997CB0">
        <w:rPr>
          <w:rFonts w:ascii="Times New Roman" w:eastAsia="Times New Roman" w:hAnsi="Times New Roman"/>
          <w:sz w:val="24"/>
          <w:szCs w:val="24"/>
          <w:lang w:eastAsia="x-none"/>
        </w:rPr>
        <w:t>the previous quarter</w:t>
      </w:r>
      <w:r w:rsidR="00114FC4" w:rsidRPr="00114FC4">
        <w:rPr>
          <w:rFonts w:ascii="Times New Roman" w:eastAsia="Times New Roman" w:hAnsi="Times New Roman"/>
          <w:sz w:val="24"/>
          <w:szCs w:val="24"/>
          <w:lang w:eastAsia="x-none"/>
        </w:rPr>
        <w:t>.</w:t>
      </w:r>
    </w:p>
    <w:p w14:paraId="5275E6A3"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01DD9C7" w14:textId="5975AD81"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Water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upply,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ewerage, </w:t>
      </w:r>
      <w:r>
        <w:rPr>
          <w:rFonts w:ascii="Times New Roman" w:eastAsia="Times New Roman" w:hAnsi="Times New Roman"/>
          <w:sz w:val="24"/>
          <w:szCs w:val="24"/>
          <w:lang w:eastAsia="x-none"/>
        </w:rPr>
        <w:t>wa</w:t>
      </w:r>
      <w:r w:rsidR="00114FC4" w:rsidRPr="00114FC4">
        <w:rPr>
          <w:rFonts w:ascii="Times New Roman" w:eastAsia="Times New Roman" w:hAnsi="Times New Roman"/>
          <w:sz w:val="24"/>
          <w:szCs w:val="24"/>
          <w:lang w:eastAsia="x-none"/>
        </w:rPr>
        <w:t xml:space="preserve">ste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anagement,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emediation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5A3795">
        <w:rPr>
          <w:rFonts w:ascii="Times New Roman" w:eastAsia="Times New Roman" w:hAnsi="Times New Roman"/>
          <w:sz w:val="24"/>
          <w:szCs w:val="24"/>
          <w:lang w:eastAsia="x-none"/>
        </w:rPr>
        <w:t>grew</w:t>
      </w:r>
      <w:r w:rsidR="00F86B4B">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1.</w:t>
      </w:r>
      <w:r w:rsidR="0052672B">
        <w:rPr>
          <w:rFonts w:ascii="Times New Roman" w:eastAsia="Times New Roman" w:hAnsi="Times New Roman"/>
          <w:sz w:val="24"/>
          <w:szCs w:val="24"/>
          <w:lang w:eastAsia="x-none"/>
        </w:rPr>
        <w:t>1</w:t>
      </w:r>
      <w:r w:rsidR="00114FC4" w:rsidRPr="00114FC4">
        <w:rPr>
          <w:rFonts w:ascii="Times New Roman" w:eastAsia="Times New Roman" w:hAnsi="Times New Roman"/>
          <w:sz w:val="24"/>
          <w:szCs w:val="24"/>
          <w:lang w:eastAsia="x-none"/>
        </w:rPr>
        <w:t>%</w:t>
      </w:r>
      <w:r w:rsidR="005A3795">
        <w:rPr>
          <w:rFonts w:ascii="Times New Roman" w:eastAsia="Times New Roman" w:hAnsi="Times New Roman"/>
          <w:sz w:val="24"/>
          <w:szCs w:val="24"/>
          <w:lang w:eastAsia="x-none"/>
        </w:rPr>
        <w:t xml:space="preserve">, marginally higher </w:t>
      </w:r>
      <w:r w:rsidR="0052672B">
        <w:rPr>
          <w:rFonts w:ascii="Times New Roman" w:eastAsia="Times New Roman" w:hAnsi="Times New Roman"/>
          <w:sz w:val="24"/>
          <w:szCs w:val="24"/>
          <w:lang w:eastAsia="x-none"/>
        </w:rPr>
        <w:t xml:space="preserve">that </w:t>
      </w:r>
      <w:r w:rsidR="005A3795">
        <w:rPr>
          <w:rFonts w:ascii="Times New Roman" w:eastAsia="Times New Roman" w:hAnsi="Times New Roman"/>
          <w:sz w:val="24"/>
          <w:szCs w:val="24"/>
          <w:lang w:eastAsia="x-none"/>
        </w:rPr>
        <w:t>the</w:t>
      </w:r>
      <w:r w:rsidR="0052672B">
        <w:rPr>
          <w:rFonts w:ascii="Times New Roman" w:eastAsia="Times New Roman" w:hAnsi="Times New Roman"/>
          <w:sz w:val="24"/>
          <w:szCs w:val="24"/>
          <w:lang w:eastAsia="x-none"/>
        </w:rPr>
        <w:t xml:space="preserve"> 1.0% </w:t>
      </w:r>
      <w:r w:rsidR="005A3795">
        <w:rPr>
          <w:rFonts w:ascii="Times New Roman" w:eastAsia="Times New Roman" w:hAnsi="Times New Roman"/>
          <w:sz w:val="24"/>
          <w:szCs w:val="24"/>
          <w:lang w:eastAsia="x-none"/>
        </w:rPr>
        <w:t xml:space="preserve">recorded </w:t>
      </w:r>
      <w:r w:rsidR="00A53368" w:rsidRPr="00114FC4">
        <w:rPr>
          <w:rFonts w:ascii="Times New Roman" w:eastAsia="Times New Roman" w:hAnsi="Times New Roman"/>
          <w:sz w:val="24"/>
          <w:szCs w:val="24"/>
          <w:lang w:eastAsia="x-none"/>
        </w:rPr>
        <w:t>in the pre</w:t>
      </w:r>
      <w:r w:rsidR="005A3795">
        <w:rPr>
          <w:rFonts w:ascii="Times New Roman" w:eastAsia="Times New Roman" w:hAnsi="Times New Roman"/>
          <w:sz w:val="24"/>
          <w:szCs w:val="24"/>
          <w:lang w:eastAsia="x-none"/>
        </w:rPr>
        <w:t>ceding</w:t>
      </w:r>
      <w:r w:rsidR="00A53368" w:rsidRPr="00114FC4">
        <w:rPr>
          <w:rFonts w:ascii="Times New Roman" w:eastAsia="Times New Roman" w:hAnsi="Times New Roman"/>
          <w:sz w:val="24"/>
          <w:szCs w:val="24"/>
          <w:lang w:eastAsia="x-none"/>
        </w:rPr>
        <w:t xml:space="preserve"> quarter</w:t>
      </w:r>
      <w:r w:rsidR="00114FC4" w:rsidRPr="00114FC4">
        <w:rPr>
          <w:rFonts w:ascii="Times New Roman" w:eastAsia="Times New Roman" w:hAnsi="Times New Roman"/>
          <w:sz w:val="24"/>
          <w:szCs w:val="24"/>
          <w:lang w:eastAsia="x-none"/>
        </w:rPr>
        <w:t>.</w:t>
      </w:r>
    </w:p>
    <w:p w14:paraId="6438639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25239FA" w14:textId="4CF7BEA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Construction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A6656E">
        <w:rPr>
          <w:rFonts w:ascii="Times New Roman" w:eastAsia="Times New Roman" w:hAnsi="Times New Roman"/>
          <w:sz w:val="24"/>
          <w:szCs w:val="24"/>
          <w:lang w:eastAsia="x-none"/>
        </w:rPr>
        <w:t>registered a lower growth of 1.0%</w:t>
      </w:r>
      <w:r w:rsidR="00F86B4B">
        <w:rPr>
          <w:rFonts w:ascii="Times New Roman" w:eastAsia="Times New Roman" w:hAnsi="Times New Roman"/>
          <w:sz w:val="24"/>
          <w:szCs w:val="24"/>
          <w:lang w:eastAsia="x-none"/>
        </w:rPr>
        <w:t xml:space="preserve"> </w:t>
      </w:r>
      <w:r w:rsidR="00A6656E">
        <w:rPr>
          <w:rFonts w:ascii="Times New Roman" w:eastAsia="Times New Roman" w:hAnsi="Times New Roman"/>
          <w:sz w:val="24"/>
          <w:szCs w:val="24"/>
          <w:lang w:eastAsia="x-none"/>
        </w:rPr>
        <w:t>compared to that of 1.3% observed</w:t>
      </w:r>
      <w:r w:rsidR="00EF24F9">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in the previous quarter.</w:t>
      </w:r>
    </w:p>
    <w:p w14:paraId="078711A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63BCE15F" w14:textId="47EFE727"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Wholesale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etail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rade;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 xml:space="preserve">epair of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 xml:space="preserve">otor </w:t>
      </w:r>
      <w:r>
        <w:rPr>
          <w:rFonts w:ascii="Times New Roman" w:eastAsia="Times New Roman" w:hAnsi="Times New Roman"/>
          <w:sz w:val="24"/>
          <w:szCs w:val="24"/>
          <w:lang w:eastAsia="x-none"/>
        </w:rPr>
        <w:t>v</w:t>
      </w:r>
      <w:r w:rsidR="00114FC4" w:rsidRPr="00114FC4">
        <w:rPr>
          <w:rFonts w:ascii="Times New Roman" w:eastAsia="Times New Roman" w:hAnsi="Times New Roman"/>
          <w:sz w:val="24"/>
          <w:szCs w:val="24"/>
          <w:lang w:eastAsia="x-none"/>
        </w:rPr>
        <w:t xml:space="preserve">ehicles and </w:t>
      </w:r>
      <w:r>
        <w:rPr>
          <w:rFonts w:ascii="Times New Roman" w:eastAsia="Times New Roman" w:hAnsi="Times New Roman"/>
          <w:sz w:val="24"/>
          <w:szCs w:val="24"/>
          <w:lang w:eastAsia="x-none"/>
        </w:rPr>
        <w:t>m</w:t>
      </w:r>
      <w:r w:rsidR="00114FC4" w:rsidRPr="00114FC4">
        <w:rPr>
          <w:rFonts w:ascii="Times New Roman" w:eastAsia="Times New Roman" w:hAnsi="Times New Roman"/>
          <w:sz w:val="24"/>
          <w:szCs w:val="24"/>
          <w:lang w:eastAsia="x-none"/>
        </w:rPr>
        <w:t>otorcycles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062626">
        <w:rPr>
          <w:rFonts w:ascii="Times New Roman" w:eastAsia="Times New Roman" w:hAnsi="Times New Roman"/>
          <w:sz w:val="24"/>
          <w:szCs w:val="24"/>
          <w:lang w:eastAsia="x-none"/>
        </w:rPr>
        <w:t>expanded</w:t>
      </w:r>
      <w:r w:rsidR="00114FC4" w:rsidRPr="00114FC4">
        <w:rPr>
          <w:rFonts w:ascii="Times New Roman" w:eastAsia="Times New Roman" w:hAnsi="Times New Roman"/>
          <w:sz w:val="24"/>
          <w:szCs w:val="24"/>
          <w:lang w:eastAsia="x-none"/>
        </w:rPr>
        <w:t xml:space="preserve"> by </w:t>
      </w:r>
      <w:r w:rsidR="00A6656E">
        <w:rPr>
          <w:rFonts w:ascii="Times New Roman" w:eastAsia="Times New Roman" w:hAnsi="Times New Roman"/>
          <w:sz w:val="24"/>
          <w:szCs w:val="24"/>
          <w:lang w:eastAsia="x-none"/>
        </w:rPr>
        <w:t>4.3</w:t>
      </w:r>
      <w:r w:rsidR="00114FC4" w:rsidRPr="00114FC4">
        <w:rPr>
          <w:rFonts w:ascii="Times New Roman" w:eastAsia="Times New Roman" w:hAnsi="Times New Roman"/>
          <w:sz w:val="24"/>
          <w:szCs w:val="24"/>
          <w:lang w:eastAsia="x-none"/>
        </w:rPr>
        <w:t xml:space="preserve">%, </w:t>
      </w:r>
      <w:r w:rsidR="00F86B4B">
        <w:rPr>
          <w:rFonts w:ascii="Times New Roman" w:eastAsia="Times New Roman" w:hAnsi="Times New Roman"/>
          <w:sz w:val="24"/>
          <w:szCs w:val="24"/>
          <w:lang w:eastAsia="x-none"/>
        </w:rPr>
        <w:t xml:space="preserve">compared with </w:t>
      </w:r>
      <w:r w:rsidR="00A53368">
        <w:rPr>
          <w:rFonts w:ascii="Times New Roman" w:eastAsia="Times New Roman" w:hAnsi="Times New Roman"/>
          <w:sz w:val="24"/>
          <w:szCs w:val="24"/>
          <w:lang w:eastAsia="x-none"/>
        </w:rPr>
        <w:t>2.</w:t>
      </w:r>
      <w:r w:rsidR="00A6656E">
        <w:rPr>
          <w:rFonts w:ascii="Times New Roman" w:eastAsia="Times New Roman" w:hAnsi="Times New Roman"/>
          <w:sz w:val="24"/>
          <w:szCs w:val="24"/>
          <w:lang w:eastAsia="x-none"/>
        </w:rPr>
        <w:t>3</w:t>
      </w:r>
      <w:r w:rsidR="00A53368">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601EF212"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1E398059" w14:textId="2A695609"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Transportation and </w:t>
      </w:r>
      <w:r w:rsidR="00997CB0">
        <w:rPr>
          <w:rFonts w:ascii="Times New Roman" w:eastAsia="Times New Roman" w:hAnsi="Times New Roman"/>
          <w:sz w:val="24"/>
          <w:szCs w:val="24"/>
          <w:lang w:eastAsia="x-none"/>
        </w:rPr>
        <w:t>s</w:t>
      </w:r>
      <w:r w:rsidRPr="00114FC4">
        <w:rPr>
          <w:rFonts w:ascii="Times New Roman" w:eastAsia="Times New Roman" w:hAnsi="Times New Roman"/>
          <w:sz w:val="24"/>
          <w:szCs w:val="24"/>
          <w:lang w:eastAsia="x-none"/>
        </w:rPr>
        <w:t>torage</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grew by </w:t>
      </w:r>
      <w:r w:rsidR="00A6656E">
        <w:rPr>
          <w:rFonts w:ascii="Times New Roman" w:eastAsia="Times New Roman" w:hAnsi="Times New Roman"/>
          <w:sz w:val="24"/>
          <w:szCs w:val="24"/>
          <w:lang w:eastAsia="x-none"/>
        </w:rPr>
        <w:t>5.1</w:t>
      </w:r>
      <w:r w:rsidRPr="00114FC4">
        <w:rPr>
          <w:rFonts w:ascii="Times New Roman" w:eastAsia="Times New Roman" w:hAnsi="Times New Roman"/>
          <w:sz w:val="24"/>
          <w:szCs w:val="24"/>
          <w:lang w:eastAsia="x-none"/>
        </w:rPr>
        <w:t xml:space="preserve">%, </w:t>
      </w:r>
      <w:r w:rsidR="00A6656E">
        <w:rPr>
          <w:rFonts w:ascii="Times New Roman" w:eastAsia="Times New Roman" w:hAnsi="Times New Roman"/>
          <w:sz w:val="24"/>
          <w:szCs w:val="24"/>
          <w:lang w:eastAsia="x-none"/>
        </w:rPr>
        <w:t xml:space="preserve">marginally higher than the 4.9% </w:t>
      </w:r>
      <w:r w:rsidR="00F86B4B">
        <w:rPr>
          <w:rFonts w:ascii="Times New Roman" w:eastAsia="Times New Roman" w:hAnsi="Times New Roman"/>
          <w:sz w:val="24"/>
          <w:szCs w:val="24"/>
          <w:lang w:eastAsia="x-none"/>
        </w:rPr>
        <w:t xml:space="preserve">recorded </w:t>
      </w:r>
      <w:r w:rsidRPr="00114FC4">
        <w:rPr>
          <w:rFonts w:ascii="Times New Roman" w:eastAsia="Times New Roman" w:hAnsi="Times New Roman"/>
          <w:sz w:val="24"/>
          <w:szCs w:val="24"/>
          <w:lang w:eastAsia="x-none"/>
        </w:rPr>
        <w:t>in the pre</w:t>
      </w:r>
      <w:r w:rsidR="00F86B4B">
        <w:rPr>
          <w:rFonts w:ascii="Times New Roman" w:eastAsia="Times New Roman" w:hAnsi="Times New Roman"/>
          <w:sz w:val="24"/>
          <w:szCs w:val="24"/>
          <w:lang w:eastAsia="x-none"/>
        </w:rPr>
        <w:t>ceding</w:t>
      </w:r>
      <w:r w:rsidRPr="00114FC4">
        <w:rPr>
          <w:rFonts w:ascii="Times New Roman" w:eastAsia="Times New Roman" w:hAnsi="Times New Roman"/>
          <w:sz w:val="24"/>
          <w:szCs w:val="24"/>
          <w:lang w:eastAsia="x-none"/>
        </w:rPr>
        <w:t xml:space="preserve"> quarter.</w:t>
      </w:r>
    </w:p>
    <w:p w14:paraId="1EFD87B6"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F4C1F7D" w14:textId="6D22EF22"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Accommodation and </w:t>
      </w:r>
      <w:r>
        <w:rPr>
          <w:rFonts w:ascii="Times New Roman" w:eastAsia="Times New Roman" w:hAnsi="Times New Roman"/>
          <w:sz w:val="24"/>
          <w:szCs w:val="24"/>
          <w:lang w:eastAsia="x-none"/>
        </w:rPr>
        <w:t>f</w:t>
      </w:r>
      <w:r w:rsidR="00114FC4" w:rsidRPr="00114FC4">
        <w:rPr>
          <w:rFonts w:ascii="Times New Roman" w:eastAsia="Times New Roman" w:hAnsi="Times New Roman"/>
          <w:sz w:val="24"/>
          <w:szCs w:val="24"/>
          <w:lang w:eastAsia="x-none"/>
        </w:rPr>
        <w:t xml:space="preserve">ood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 xml:space="preserve">increased by </w:t>
      </w:r>
      <w:r w:rsidR="009F5DE4">
        <w:rPr>
          <w:rFonts w:ascii="Times New Roman" w:eastAsia="Times New Roman" w:hAnsi="Times New Roman"/>
          <w:sz w:val="24"/>
          <w:szCs w:val="24"/>
          <w:lang w:eastAsia="x-none"/>
        </w:rPr>
        <w:t>5.6</w:t>
      </w:r>
      <w:r w:rsidR="00135B63">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F86B4B">
        <w:rPr>
          <w:rFonts w:ascii="Times New Roman" w:eastAsia="Times New Roman" w:hAnsi="Times New Roman"/>
          <w:sz w:val="24"/>
          <w:szCs w:val="24"/>
          <w:lang w:eastAsia="x-none"/>
        </w:rPr>
        <w:t xml:space="preserve">down from </w:t>
      </w:r>
      <w:r w:rsidR="009F5DE4">
        <w:rPr>
          <w:rFonts w:ascii="Times New Roman" w:eastAsia="Times New Roman" w:hAnsi="Times New Roman"/>
          <w:sz w:val="24"/>
          <w:szCs w:val="24"/>
          <w:lang w:eastAsia="x-none"/>
        </w:rPr>
        <w:t>6.1</w:t>
      </w:r>
      <w:r w:rsidR="00A53368">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w:t>
      </w:r>
      <w:r w:rsidR="00F86B4B">
        <w:rPr>
          <w:rFonts w:ascii="Times New Roman" w:eastAsia="Times New Roman" w:hAnsi="Times New Roman"/>
          <w:sz w:val="24"/>
          <w:szCs w:val="24"/>
          <w:lang w:eastAsia="x-none"/>
        </w:rPr>
        <w:t>vious</w:t>
      </w:r>
      <w:r w:rsidR="00114FC4" w:rsidRPr="00114FC4">
        <w:rPr>
          <w:rFonts w:ascii="Times New Roman" w:eastAsia="Times New Roman" w:hAnsi="Times New Roman"/>
          <w:sz w:val="24"/>
          <w:szCs w:val="24"/>
          <w:lang w:eastAsia="x-none"/>
        </w:rPr>
        <w:t xml:space="preserve"> quarter.</w:t>
      </w:r>
    </w:p>
    <w:p w14:paraId="2660FE7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20EDF0A" w14:textId="0E65ACD0"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Information and </w:t>
      </w:r>
      <w:r w:rsidR="00997CB0">
        <w:rPr>
          <w:rFonts w:ascii="Times New Roman" w:eastAsia="Times New Roman" w:hAnsi="Times New Roman"/>
          <w:sz w:val="24"/>
          <w:szCs w:val="24"/>
          <w:lang w:eastAsia="x-none"/>
        </w:rPr>
        <w:t>c</w:t>
      </w:r>
      <w:r w:rsidRPr="00114FC4">
        <w:rPr>
          <w:rFonts w:ascii="Times New Roman" w:eastAsia="Times New Roman" w:hAnsi="Times New Roman"/>
          <w:sz w:val="24"/>
          <w:szCs w:val="24"/>
          <w:lang w:eastAsia="x-none"/>
        </w:rPr>
        <w:t>ommunication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registered a </w:t>
      </w:r>
      <w:r w:rsidR="001D243B">
        <w:rPr>
          <w:rFonts w:ascii="Times New Roman" w:eastAsia="Times New Roman" w:hAnsi="Times New Roman"/>
          <w:sz w:val="24"/>
          <w:szCs w:val="24"/>
          <w:lang w:eastAsia="x-none"/>
        </w:rPr>
        <w:t xml:space="preserve">growth of </w:t>
      </w:r>
      <w:r w:rsidR="009F5DE4">
        <w:rPr>
          <w:rFonts w:ascii="Times New Roman" w:eastAsia="Times New Roman" w:hAnsi="Times New Roman"/>
          <w:sz w:val="24"/>
          <w:szCs w:val="24"/>
          <w:lang w:eastAsia="x-none"/>
        </w:rPr>
        <w:t>6.0</w:t>
      </w:r>
      <w:r w:rsidRPr="00114FC4">
        <w:rPr>
          <w:rFonts w:ascii="Times New Roman" w:eastAsia="Times New Roman" w:hAnsi="Times New Roman"/>
          <w:sz w:val="24"/>
          <w:szCs w:val="24"/>
          <w:lang w:eastAsia="x-none"/>
        </w:rPr>
        <w:t>%,</w:t>
      </w:r>
      <w:r w:rsidR="00883E34">
        <w:rPr>
          <w:rFonts w:ascii="Times New Roman" w:eastAsia="Times New Roman" w:hAnsi="Times New Roman"/>
          <w:sz w:val="24"/>
          <w:szCs w:val="24"/>
          <w:lang w:eastAsia="x-none"/>
        </w:rPr>
        <w:t xml:space="preserve"> </w:t>
      </w:r>
      <w:r w:rsidR="00135B63">
        <w:rPr>
          <w:rFonts w:ascii="Times New Roman" w:eastAsia="Times New Roman" w:hAnsi="Times New Roman"/>
          <w:sz w:val="24"/>
          <w:szCs w:val="24"/>
          <w:lang w:eastAsia="x-none"/>
        </w:rPr>
        <w:t>higher</w:t>
      </w:r>
      <w:r w:rsidRPr="00114FC4">
        <w:rPr>
          <w:rFonts w:ascii="Times New Roman" w:eastAsia="Times New Roman" w:hAnsi="Times New Roman"/>
          <w:sz w:val="24"/>
          <w:szCs w:val="24"/>
          <w:lang w:eastAsia="x-none"/>
        </w:rPr>
        <w:t xml:space="preserve"> than the </w:t>
      </w:r>
      <w:r w:rsidR="00883E34">
        <w:rPr>
          <w:rFonts w:ascii="Times New Roman" w:eastAsia="Times New Roman" w:hAnsi="Times New Roman"/>
          <w:sz w:val="24"/>
          <w:szCs w:val="24"/>
          <w:lang w:eastAsia="x-none"/>
        </w:rPr>
        <w:t>5.</w:t>
      </w:r>
      <w:r w:rsidR="009F5DE4">
        <w:rPr>
          <w:rFonts w:ascii="Times New Roman" w:eastAsia="Times New Roman" w:hAnsi="Times New Roman"/>
          <w:sz w:val="24"/>
          <w:szCs w:val="24"/>
          <w:lang w:eastAsia="x-none"/>
        </w:rPr>
        <w:t>3</w:t>
      </w:r>
      <w:r w:rsidRPr="00114FC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registered</w:t>
      </w:r>
      <w:r w:rsidRPr="00114FC4">
        <w:rPr>
          <w:rFonts w:ascii="Times New Roman" w:eastAsia="Times New Roman" w:hAnsi="Times New Roman"/>
          <w:sz w:val="24"/>
          <w:szCs w:val="24"/>
          <w:lang w:eastAsia="x-none"/>
        </w:rPr>
        <w:t xml:space="preserve"> in the previous quarter.</w:t>
      </w:r>
    </w:p>
    <w:p w14:paraId="3F8F6B3C"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7C11A626" w14:textId="12285441"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Financial and </w:t>
      </w:r>
      <w:r>
        <w:rPr>
          <w:rFonts w:ascii="Times New Roman" w:eastAsia="Times New Roman" w:hAnsi="Times New Roman"/>
          <w:sz w:val="24"/>
          <w:szCs w:val="24"/>
          <w:lang w:eastAsia="x-none"/>
        </w:rPr>
        <w:t>i</w:t>
      </w:r>
      <w:r w:rsidR="00114FC4" w:rsidRPr="00114FC4">
        <w:rPr>
          <w:rFonts w:ascii="Times New Roman" w:eastAsia="Times New Roman" w:hAnsi="Times New Roman"/>
          <w:sz w:val="24"/>
          <w:szCs w:val="24"/>
          <w:lang w:eastAsia="x-none"/>
        </w:rPr>
        <w:t xml:space="preserve">nsurance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883E34">
        <w:rPr>
          <w:rFonts w:ascii="Times New Roman" w:eastAsia="Times New Roman" w:hAnsi="Times New Roman"/>
          <w:sz w:val="24"/>
          <w:szCs w:val="24"/>
          <w:lang w:eastAsia="x-none"/>
        </w:rPr>
        <w:t xml:space="preserve">increased by </w:t>
      </w:r>
      <w:r w:rsidR="009F5DE4">
        <w:rPr>
          <w:rFonts w:ascii="Times New Roman" w:eastAsia="Times New Roman" w:hAnsi="Times New Roman"/>
          <w:sz w:val="24"/>
          <w:szCs w:val="24"/>
          <w:lang w:eastAsia="x-none"/>
        </w:rPr>
        <w:t>5.5</w:t>
      </w:r>
      <w:r w:rsidR="00883E3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 xml:space="preserve">compared with </w:t>
      </w:r>
      <w:r w:rsidR="009F5DE4">
        <w:rPr>
          <w:rFonts w:ascii="Times New Roman" w:eastAsia="Times New Roman" w:hAnsi="Times New Roman"/>
          <w:sz w:val="24"/>
          <w:szCs w:val="24"/>
          <w:lang w:eastAsia="x-none"/>
        </w:rPr>
        <w:t>5.0</w:t>
      </w:r>
      <w:r w:rsidR="00114FC4" w:rsidRPr="00114FC4">
        <w:rPr>
          <w:rFonts w:ascii="Times New Roman" w:eastAsia="Times New Roman" w:hAnsi="Times New Roman"/>
          <w:sz w:val="24"/>
          <w:szCs w:val="24"/>
          <w:lang w:eastAsia="x-none"/>
        </w:rPr>
        <w:t>% in the pre</w:t>
      </w:r>
      <w:r w:rsidR="001D243B">
        <w:rPr>
          <w:rFonts w:ascii="Times New Roman" w:eastAsia="Times New Roman" w:hAnsi="Times New Roman"/>
          <w:sz w:val="24"/>
          <w:szCs w:val="24"/>
          <w:lang w:eastAsia="x-none"/>
        </w:rPr>
        <w:t>ceding</w:t>
      </w:r>
      <w:r w:rsidR="00114FC4" w:rsidRPr="00114FC4">
        <w:rPr>
          <w:rFonts w:ascii="Times New Roman" w:eastAsia="Times New Roman" w:hAnsi="Times New Roman"/>
          <w:sz w:val="24"/>
          <w:szCs w:val="24"/>
          <w:lang w:eastAsia="x-none"/>
        </w:rPr>
        <w:t xml:space="preserve"> quarter.</w:t>
      </w:r>
    </w:p>
    <w:p w14:paraId="4C1FF95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1AD4A10" w14:textId="557379F5" w:rsidR="00114FC4" w:rsidRPr="00114FC4" w:rsidRDefault="001D243B"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Growth in</w:t>
      </w:r>
      <w:r w:rsidR="00114FC4" w:rsidRPr="00114FC4">
        <w:rPr>
          <w:rFonts w:ascii="Times New Roman" w:eastAsia="Times New Roman" w:hAnsi="Times New Roman"/>
          <w:sz w:val="24"/>
          <w:szCs w:val="24"/>
          <w:lang w:eastAsia="x-none"/>
        </w:rPr>
        <w:t xml:space="preserve"> </w:t>
      </w:r>
      <w:r w:rsidR="00997CB0">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Real </w:t>
      </w:r>
      <w:r w:rsidR="00997CB0">
        <w:rPr>
          <w:rFonts w:ascii="Times New Roman" w:eastAsia="Times New Roman" w:hAnsi="Times New Roman"/>
          <w:sz w:val="24"/>
          <w:szCs w:val="24"/>
          <w:lang w:eastAsia="x-none"/>
        </w:rPr>
        <w:t>e</w:t>
      </w:r>
      <w:r w:rsidR="00114FC4" w:rsidRPr="00114FC4">
        <w:rPr>
          <w:rFonts w:ascii="Times New Roman" w:eastAsia="Times New Roman" w:hAnsi="Times New Roman"/>
          <w:sz w:val="24"/>
          <w:szCs w:val="24"/>
          <w:lang w:eastAsia="x-none"/>
        </w:rPr>
        <w:t>state</w:t>
      </w:r>
      <w:r w:rsidR="00997CB0">
        <w:rPr>
          <w:rFonts w:ascii="Times New Roman" w:eastAsia="Times New Roman" w:hAnsi="Times New Roman"/>
          <w:sz w:val="24"/>
          <w:szCs w:val="24"/>
          <w:lang w:eastAsia="x-none"/>
        </w:rPr>
        <w:t xml:space="preserve"> activities”</w:t>
      </w:r>
      <w:r w:rsidR="00114FC4" w:rsidRPr="00114FC4">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moderated to </w:t>
      </w:r>
      <w:r w:rsidR="00883E34">
        <w:rPr>
          <w:rFonts w:ascii="Times New Roman" w:eastAsia="Times New Roman" w:hAnsi="Times New Roman"/>
          <w:sz w:val="24"/>
          <w:szCs w:val="24"/>
          <w:lang w:eastAsia="x-none"/>
        </w:rPr>
        <w:t>1.</w:t>
      </w:r>
      <w:r w:rsidR="009F5DE4">
        <w:rPr>
          <w:rFonts w:ascii="Times New Roman" w:eastAsia="Times New Roman" w:hAnsi="Times New Roman"/>
          <w:sz w:val="24"/>
          <w:szCs w:val="24"/>
          <w:lang w:eastAsia="x-none"/>
        </w:rPr>
        <w:t>3</w:t>
      </w:r>
      <w:r w:rsidR="00750B3C">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 xml:space="preserve">from </w:t>
      </w:r>
      <w:r w:rsidR="009F5DE4">
        <w:rPr>
          <w:rFonts w:ascii="Times New Roman" w:eastAsia="Times New Roman" w:hAnsi="Times New Roman"/>
          <w:sz w:val="24"/>
          <w:szCs w:val="24"/>
          <w:lang w:eastAsia="x-none"/>
        </w:rPr>
        <w:t>1.8</w:t>
      </w:r>
      <w:r w:rsidR="00750B3C">
        <w:rPr>
          <w:rFonts w:ascii="Times New Roman" w:eastAsia="Times New Roman" w:hAnsi="Times New Roman"/>
          <w:sz w:val="24"/>
          <w:szCs w:val="24"/>
          <w:lang w:eastAsia="x-none"/>
        </w:rPr>
        <w:t xml:space="preserve">% </w:t>
      </w:r>
      <w:r>
        <w:rPr>
          <w:rFonts w:ascii="Times New Roman" w:eastAsia="Times New Roman" w:hAnsi="Times New Roman"/>
          <w:sz w:val="24"/>
          <w:szCs w:val="24"/>
          <w:lang w:eastAsia="x-none"/>
        </w:rPr>
        <w:t>i</w:t>
      </w:r>
      <w:r w:rsidR="00750B3C">
        <w:rPr>
          <w:rFonts w:ascii="Times New Roman" w:eastAsia="Times New Roman" w:hAnsi="Times New Roman"/>
          <w:sz w:val="24"/>
          <w:szCs w:val="24"/>
          <w:lang w:eastAsia="x-none"/>
        </w:rPr>
        <w:t>n</w:t>
      </w:r>
      <w:r w:rsidR="00114FC4" w:rsidRPr="00114FC4">
        <w:rPr>
          <w:rFonts w:ascii="Times New Roman" w:eastAsia="Times New Roman" w:hAnsi="Times New Roman"/>
          <w:sz w:val="24"/>
          <w:szCs w:val="24"/>
          <w:lang w:eastAsia="x-none"/>
        </w:rPr>
        <w:t xml:space="preserve"> the previous quarter.</w:t>
      </w:r>
    </w:p>
    <w:p w14:paraId="6FFEF7EA"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2379BD61" w14:textId="6468A37E"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Professional,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cientific, and </w:t>
      </w:r>
      <w:r>
        <w:rPr>
          <w:rFonts w:ascii="Times New Roman" w:eastAsia="Times New Roman" w:hAnsi="Times New Roman"/>
          <w:sz w:val="24"/>
          <w:szCs w:val="24"/>
          <w:lang w:eastAsia="x-none"/>
        </w:rPr>
        <w:t>t</w:t>
      </w:r>
      <w:r w:rsidR="00114FC4" w:rsidRPr="00114FC4">
        <w:rPr>
          <w:rFonts w:ascii="Times New Roman" w:eastAsia="Times New Roman" w:hAnsi="Times New Roman"/>
          <w:sz w:val="24"/>
          <w:szCs w:val="24"/>
          <w:lang w:eastAsia="x-none"/>
        </w:rPr>
        <w:t xml:space="preserve">echnical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135B63">
        <w:rPr>
          <w:rFonts w:ascii="Times New Roman" w:eastAsia="Times New Roman" w:hAnsi="Times New Roman"/>
          <w:sz w:val="24"/>
          <w:szCs w:val="24"/>
          <w:lang w:eastAsia="x-none"/>
        </w:rPr>
        <w:t>4.</w:t>
      </w:r>
      <w:r w:rsidR="009F5DE4">
        <w:rPr>
          <w:rFonts w:ascii="Times New Roman" w:eastAsia="Times New Roman" w:hAnsi="Times New Roman"/>
          <w:sz w:val="24"/>
          <w:szCs w:val="24"/>
          <w:lang w:eastAsia="x-none"/>
        </w:rPr>
        <w:t>2</w:t>
      </w:r>
      <w:r w:rsidR="00114FC4" w:rsidRPr="00114FC4">
        <w:rPr>
          <w:rFonts w:ascii="Times New Roman" w:eastAsia="Times New Roman" w:hAnsi="Times New Roman"/>
          <w:sz w:val="24"/>
          <w:szCs w:val="24"/>
          <w:lang w:eastAsia="x-none"/>
        </w:rPr>
        <w:t xml:space="preserve">%, following </w:t>
      </w:r>
      <w:r w:rsidR="001D243B">
        <w:rPr>
          <w:rFonts w:ascii="Times New Roman" w:eastAsia="Times New Roman" w:hAnsi="Times New Roman"/>
          <w:sz w:val="24"/>
          <w:szCs w:val="24"/>
          <w:lang w:eastAsia="x-none"/>
        </w:rPr>
        <w:t>growth of</w:t>
      </w:r>
      <w:r w:rsidR="00114FC4" w:rsidRPr="00114FC4">
        <w:rPr>
          <w:rFonts w:ascii="Times New Roman" w:eastAsia="Times New Roman" w:hAnsi="Times New Roman"/>
          <w:sz w:val="24"/>
          <w:szCs w:val="24"/>
          <w:lang w:eastAsia="x-none"/>
        </w:rPr>
        <w:t xml:space="preserve"> </w:t>
      </w:r>
      <w:r w:rsidR="00883E34">
        <w:rPr>
          <w:rFonts w:ascii="Times New Roman" w:eastAsia="Times New Roman" w:hAnsi="Times New Roman"/>
          <w:sz w:val="24"/>
          <w:szCs w:val="24"/>
          <w:lang w:eastAsia="x-none"/>
        </w:rPr>
        <w:t>4</w:t>
      </w:r>
      <w:r w:rsidR="00135B63">
        <w:rPr>
          <w:rFonts w:ascii="Times New Roman" w:eastAsia="Times New Roman" w:hAnsi="Times New Roman"/>
          <w:sz w:val="24"/>
          <w:szCs w:val="24"/>
          <w:lang w:eastAsia="x-none"/>
        </w:rPr>
        <w:t>.</w:t>
      </w:r>
      <w:r w:rsidR="009F5DE4">
        <w:rPr>
          <w:rFonts w:ascii="Times New Roman" w:eastAsia="Times New Roman" w:hAnsi="Times New Roman"/>
          <w:sz w:val="24"/>
          <w:szCs w:val="24"/>
          <w:lang w:eastAsia="x-none"/>
        </w:rPr>
        <w:t>1</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9F5DE4">
        <w:rPr>
          <w:rFonts w:ascii="Times New Roman" w:eastAsia="Times New Roman" w:hAnsi="Times New Roman"/>
          <w:sz w:val="24"/>
          <w:szCs w:val="24"/>
          <w:lang w:eastAsia="x-none"/>
        </w:rPr>
        <w:t>third</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683A38">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1062F5E7"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F805338" w14:textId="0BA96826"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Administrative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upport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increased</w:t>
      </w:r>
      <w:r w:rsidR="00114FC4" w:rsidRPr="00114FC4">
        <w:rPr>
          <w:rFonts w:ascii="Times New Roman" w:eastAsia="Times New Roman" w:hAnsi="Times New Roman"/>
          <w:sz w:val="24"/>
          <w:szCs w:val="24"/>
          <w:lang w:eastAsia="x-none"/>
        </w:rPr>
        <w:t xml:space="preserve"> by </w:t>
      </w:r>
      <w:r w:rsidR="00883E34">
        <w:rPr>
          <w:rFonts w:ascii="Times New Roman" w:eastAsia="Times New Roman" w:hAnsi="Times New Roman"/>
          <w:sz w:val="24"/>
          <w:szCs w:val="24"/>
          <w:lang w:eastAsia="x-none"/>
        </w:rPr>
        <w:t>4.</w:t>
      </w:r>
      <w:r w:rsidR="008E0FE7">
        <w:rPr>
          <w:rFonts w:ascii="Times New Roman" w:eastAsia="Times New Roman" w:hAnsi="Times New Roman"/>
          <w:sz w:val="24"/>
          <w:szCs w:val="24"/>
          <w:lang w:eastAsia="x-none"/>
        </w:rPr>
        <w:t>2</w:t>
      </w:r>
      <w:r w:rsidR="00114FC4" w:rsidRPr="00114FC4">
        <w:rPr>
          <w:rFonts w:ascii="Times New Roman" w:eastAsia="Times New Roman" w:hAnsi="Times New Roman"/>
          <w:sz w:val="24"/>
          <w:szCs w:val="24"/>
          <w:lang w:eastAsia="x-none"/>
        </w:rPr>
        <w:t xml:space="preserve">% in </w:t>
      </w:r>
      <w:r>
        <w:rPr>
          <w:rFonts w:ascii="Times New Roman" w:eastAsia="Times New Roman" w:hAnsi="Times New Roman"/>
          <w:sz w:val="24"/>
          <w:szCs w:val="24"/>
          <w:lang w:eastAsia="x-none"/>
        </w:rPr>
        <w:t xml:space="preserve">the </w:t>
      </w:r>
      <w:r w:rsidR="008E0FE7">
        <w:rPr>
          <w:rFonts w:ascii="Times New Roman" w:eastAsia="Times New Roman" w:hAnsi="Times New Roman"/>
          <w:sz w:val="24"/>
          <w:szCs w:val="24"/>
          <w:lang w:eastAsia="x-none"/>
        </w:rPr>
        <w:t>fourth</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750B3C">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r w:rsidR="00135B63">
        <w:rPr>
          <w:rFonts w:ascii="Times New Roman" w:eastAsia="Times New Roman" w:hAnsi="Times New Roman"/>
          <w:sz w:val="24"/>
          <w:szCs w:val="24"/>
          <w:lang w:eastAsia="x-none"/>
        </w:rPr>
        <w:t xml:space="preserve"> </w:t>
      </w:r>
      <w:r w:rsidR="008E0FE7">
        <w:rPr>
          <w:rFonts w:ascii="Times New Roman" w:eastAsia="Times New Roman" w:hAnsi="Times New Roman"/>
          <w:sz w:val="24"/>
          <w:szCs w:val="24"/>
          <w:lang w:eastAsia="x-none"/>
        </w:rPr>
        <w:t xml:space="preserve">maintaining </w:t>
      </w:r>
      <w:r w:rsidR="005A3795">
        <w:rPr>
          <w:rFonts w:ascii="Times New Roman" w:eastAsia="Times New Roman" w:hAnsi="Times New Roman"/>
          <w:sz w:val="24"/>
          <w:szCs w:val="24"/>
          <w:lang w:eastAsia="x-none"/>
        </w:rPr>
        <w:t xml:space="preserve">the </w:t>
      </w:r>
      <w:r w:rsidR="008E0FE7">
        <w:rPr>
          <w:rFonts w:ascii="Times New Roman" w:eastAsia="Times New Roman" w:hAnsi="Times New Roman"/>
          <w:sz w:val="24"/>
          <w:szCs w:val="24"/>
          <w:lang w:eastAsia="x-none"/>
        </w:rPr>
        <w:t xml:space="preserve">same growth </w:t>
      </w:r>
      <w:r w:rsidR="005A3795">
        <w:rPr>
          <w:rFonts w:ascii="Times New Roman" w:eastAsia="Times New Roman" w:hAnsi="Times New Roman"/>
          <w:sz w:val="24"/>
          <w:szCs w:val="24"/>
          <w:lang w:eastAsia="x-none"/>
        </w:rPr>
        <w:t>observed</w:t>
      </w:r>
      <w:r w:rsidR="008E0FE7">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42CE72E2" w14:textId="77777777" w:rsidR="005B664D" w:rsidRDefault="005B664D" w:rsidP="00114FC4">
      <w:pPr>
        <w:spacing w:after="0" w:line="240" w:lineRule="auto"/>
        <w:ind w:firstLine="720"/>
        <w:jc w:val="both"/>
        <w:rPr>
          <w:rFonts w:ascii="Times New Roman" w:eastAsia="Times New Roman" w:hAnsi="Times New Roman"/>
          <w:sz w:val="24"/>
          <w:szCs w:val="24"/>
          <w:lang w:eastAsia="x-none"/>
        </w:rPr>
      </w:pPr>
    </w:p>
    <w:p w14:paraId="1DCB5BF9" w14:textId="3C5350D2"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Public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 xml:space="preserve">dministration and </w:t>
      </w:r>
      <w:r>
        <w:rPr>
          <w:rFonts w:ascii="Times New Roman" w:eastAsia="Times New Roman" w:hAnsi="Times New Roman"/>
          <w:sz w:val="24"/>
          <w:szCs w:val="24"/>
          <w:lang w:eastAsia="x-none"/>
        </w:rPr>
        <w:t>d</w:t>
      </w:r>
      <w:r w:rsidR="00114FC4" w:rsidRPr="00114FC4">
        <w:rPr>
          <w:rFonts w:ascii="Times New Roman" w:eastAsia="Times New Roman" w:hAnsi="Times New Roman"/>
          <w:sz w:val="24"/>
          <w:szCs w:val="24"/>
          <w:lang w:eastAsia="x-none"/>
        </w:rPr>
        <w:t xml:space="preserve">efence; </w:t>
      </w:r>
      <w:r>
        <w:rPr>
          <w:rFonts w:ascii="Times New Roman" w:eastAsia="Times New Roman" w:hAnsi="Times New Roman"/>
          <w:sz w:val="24"/>
          <w:szCs w:val="24"/>
          <w:lang w:eastAsia="x-none"/>
        </w:rPr>
        <w:t>c</w:t>
      </w:r>
      <w:r w:rsidR="00114FC4" w:rsidRPr="00114FC4">
        <w:rPr>
          <w:rFonts w:ascii="Times New Roman" w:eastAsia="Times New Roman" w:hAnsi="Times New Roman"/>
          <w:sz w:val="24"/>
          <w:szCs w:val="24"/>
          <w:lang w:eastAsia="x-none"/>
        </w:rPr>
        <w:t xml:space="preserve">ompulsory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ecurity</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8E0FE7">
        <w:rPr>
          <w:rFonts w:ascii="Times New Roman" w:eastAsia="Times New Roman" w:hAnsi="Times New Roman"/>
          <w:sz w:val="24"/>
          <w:szCs w:val="24"/>
          <w:lang w:eastAsia="x-none"/>
        </w:rPr>
        <w:t>further contracted</w:t>
      </w:r>
      <w:r w:rsidR="008D1906">
        <w:rPr>
          <w:rFonts w:ascii="Times New Roman" w:eastAsia="Times New Roman" w:hAnsi="Times New Roman"/>
          <w:sz w:val="24"/>
          <w:szCs w:val="24"/>
          <w:lang w:eastAsia="x-none"/>
        </w:rPr>
        <w:t xml:space="preserve"> by</w:t>
      </w:r>
      <w:r w:rsidR="008E0FE7">
        <w:rPr>
          <w:rFonts w:ascii="Times New Roman" w:eastAsia="Times New Roman" w:hAnsi="Times New Roman"/>
          <w:sz w:val="24"/>
          <w:szCs w:val="24"/>
          <w:lang w:eastAsia="x-none"/>
        </w:rPr>
        <w:t xml:space="preserve"> 3.3</w:t>
      </w:r>
      <w:r w:rsidR="00135B63">
        <w:rPr>
          <w:rFonts w:ascii="Times New Roman" w:eastAsia="Times New Roman" w:hAnsi="Times New Roman"/>
          <w:sz w:val="24"/>
          <w:szCs w:val="24"/>
          <w:lang w:eastAsia="x-none"/>
        </w:rPr>
        <w:t>%</w:t>
      </w:r>
      <w:r w:rsidR="00883E34">
        <w:rPr>
          <w:rFonts w:ascii="Times New Roman" w:eastAsia="Times New Roman" w:hAnsi="Times New Roman"/>
          <w:sz w:val="24"/>
          <w:szCs w:val="24"/>
          <w:lang w:eastAsia="x-none"/>
        </w:rPr>
        <w:t xml:space="preserve">, </w:t>
      </w:r>
      <w:r w:rsidR="001D243B">
        <w:rPr>
          <w:rFonts w:ascii="Times New Roman" w:eastAsia="Times New Roman" w:hAnsi="Times New Roman"/>
          <w:sz w:val="24"/>
          <w:szCs w:val="24"/>
          <w:lang w:eastAsia="x-none"/>
        </w:rPr>
        <w:t xml:space="preserve">following </w:t>
      </w:r>
      <w:r w:rsidR="008E0FE7">
        <w:rPr>
          <w:rFonts w:ascii="Times New Roman" w:eastAsia="Times New Roman" w:hAnsi="Times New Roman"/>
          <w:sz w:val="24"/>
          <w:szCs w:val="24"/>
          <w:lang w:eastAsia="x-none"/>
        </w:rPr>
        <w:t>that of 0.4</w:t>
      </w:r>
      <w:r w:rsidR="00883E34">
        <w:rPr>
          <w:rFonts w:ascii="Times New Roman" w:eastAsia="Times New Roman" w:hAnsi="Times New Roman"/>
          <w:sz w:val="24"/>
          <w:szCs w:val="24"/>
          <w:lang w:eastAsia="x-none"/>
        </w:rPr>
        <w:t xml:space="preserve">% </w:t>
      </w:r>
      <w:r w:rsidR="00114FC4" w:rsidRPr="00114FC4">
        <w:rPr>
          <w:rFonts w:ascii="Times New Roman" w:eastAsia="Times New Roman" w:hAnsi="Times New Roman"/>
          <w:sz w:val="24"/>
          <w:szCs w:val="24"/>
          <w:lang w:eastAsia="x-none"/>
        </w:rPr>
        <w:t>in the previous quarter.</w:t>
      </w:r>
    </w:p>
    <w:p w14:paraId="1D9431CE"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59477736" w14:textId="530E25C5"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r w:rsidRPr="00114FC4">
        <w:rPr>
          <w:rFonts w:ascii="Times New Roman" w:eastAsia="Times New Roman" w:hAnsi="Times New Roman"/>
          <w:sz w:val="24"/>
          <w:szCs w:val="24"/>
          <w:lang w:eastAsia="x-none"/>
        </w:rPr>
        <w:t xml:space="preserve">The </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Education</w:t>
      </w:r>
      <w:r w:rsidR="00997CB0">
        <w:rPr>
          <w:rFonts w:ascii="Times New Roman" w:eastAsia="Times New Roman" w:hAnsi="Times New Roman"/>
          <w:sz w:val="24"/>
          <w:szCs w:val="24"/>
          <w:lang w:eastAsia="x-none"/>
        </w:rPr>
        <w:t>’</w:t>
      </w:r>
      <w:r w:rsidRPr="00114FC4">
        <w:rPr>
          <w:rFonts w:ascii="Times New Roman" w:eastAsia="Times New Roman" w:hAnsi="Times New Roman"/>
          <w:sz w:val="24"/>
          <w:szCs w:val="24"/>
          <w:lang w:eastAsia="x-none"/>
        </w:rPr>
        <w:t xml:space="preserve"> sector </w:t>
      </w:r>
      <w:r w:rsidR="001D243B">
        <w:rPr>
          <w:rFonts w:ascii="Times New Roman" w:eastAsia="Times New Roman" w:hAnsi="Times New Roman"/>
          <w:sz w:val="24"/>
          <w:szCs w:val="24"/>
          <w:lang w:eastAsia="x-none"/>
        </w:rPr>
        <w:t>grew</w:t>
      </w:r>
      <w:r w:rsidR="00883E34">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 xml:space="preserve">by </w:t>
      </w:r>
      <w:r w:rsidR="00A572AC">
        <w:rPr>
          <w:rFonts w:ascii="Times New Roman" w:eastAsia="Times New Roman" w:hAnsi="Times New Roman"/>
          <w:sz w:val="24"/>
          <w:szCs w:val="24"/>
          <w:lang w:eastAsia="x-none"/>
        </w:rPr>
        <w:t>0.4</w:t>
      </w:r>
      <w:r w:rsidRPr="00114FC4">
        <w:rPr>
          <w:rFonts w:ascii="Times New Roman" w:eastAsia="Times New Roman" w:hAnsi="Times New Roman"/>
          <w:sz w:val="24"/>
          <w:szCs w:val="24"/>
          <w:lang w:eastAsia="x-none"/>
        </w:rPr>
        <w:t xml:space="preserve">%, </w:t>
      </w:r>
      <w:r w:rsidR="00A572AC">
        <w:rPr>
          <w:rFonts w:ascii="Times New Roman" w:eastAsia="Times New Roman" w:hAnsi="Times New Roman"/>
          <w:sz w:val="24"/>
          <w:szCs w:val="24"/>
          <w:lang w:eastAsia="x-none"/>
        </w:rPr>
        <w:t>much lower than the growth of 5.5% registered</w:t>
      </w:r>
      <w:r w:rsidR="00750B3C">
        <w:rPr>
          <w:rFonts w:ascii="Times New Roman" w:eastAsia="Times New Roman" w:hAnsi="Times New Roman"/>
          <w:sz w:val="24"/>
          <w:szCs w:val="24"/>
          <w:lang w:eastAsia="x-none"/>
        </w:rPr>
        <w:t xml:space="preserve"> </w:t>
      </w:r>
      <w:r w:rsidRPr="00114FC4">
        <w:rPr>
          <w:rFonts w:ascii="Times New Roman" w:eastAsia="Times New Roman" w:hAnsi="Times New Roman"/>
          <w:sz w:val="24"/>
          <w:szCs w:val="24"/>
          <w:lang w:eastAsia="x-none"/>
        </w:rPr>
        <w:t>in the previous quarter.</w:t>
      </w:r>
    </w:p>
    <w:p w14:paraId="25B5487B"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36AA65CF" w14:textId="61574D04"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Human </w:t>
      </w:r>
      <w:r>
        <w:rPr>
          <w:rFonts w:ascii="Times New Roman" w:eastAsia="Times New Roman" w:hAnsi="Times New Roman"/>
          <w:sz w:val="24"/>
          <w:szCs w:val="24"/>
          <w:lang w:eastAsia="x-none"/>
        </w:rPr>
        <w:t>h</w:t>
      </w:r>
      <w:r w:rsidR="00114FC4" w:rsidRPr="00114FC4">
        <w:rPr>
          <w:rFonts w:ascii="Times New Roman" w:eastAsia="Times New Roman" w:hAnsi="Times New Roman"/>
          <w:sz w:val="24"/>
          <w:szCs w:val="24"/>
          <w:lang w:eastAsia="x-none"/>
        </w:rPr>
        <w:t xml:space="preserve">ealth and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ocial </w:t>
      </w:r>
      <w:r>
        <w:rPr>
          <w:rFonts w:ascii="Times New Roman" w:eastAsia="Times New Roman" w:hAnsi="Times New Roman"/>
          <w:sz w:val="24"/>
          <w:szCs w:val="24"/>
          <w:lang w:eastAsia="x-none"/>
        </w:rPr>
        <w:t>w</w:t>
      </w:r>
      <w:r w:rsidR="00114FC4" w:rsidRPr="00114FC4">
        <w:rPr>
          <w:rFonts w:ascii="Times New Roman" w:eastAsia="Times New Roman" w:hAnsi="Times New Roman"/>
          <w:sz w:val="24"/>
          <w:szCs w:val="24"/>
          <w:lang w:eastAsia="x-none"/>
        </w:rPr>
        <w:t xml:space="preserve">ork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A572AC">
        <w:rPr>
          <w:rFonts w:ascii="Times New Roman" w:eastAsia="Times New Roman" w:hAnsi="Times New Roman"/>
          <w:sz w:val="24"/>
          <w:szCs w:val="24"/>
          <w:lang w:eastAsia="x-none"/>
        </w:rPr>
        <w:t>registered a lower growth of 0.2% compared 5.0</w:t>
      </w:r>
      <w:r w:rsidR="00114FC4" w:rsidRPr="00114FC4">
        <w:rPr>
          <w:rFonts w:ascii="Times New Roman" w:eastAsia="Times New Roman" w:hAnsi="Times New Roman"/>
          <w:sz w:val="24"/>
          <w:szCs w:val="24"/>
          <w:lang w:eastAsia="x-none"/>
        </w:rPr>
        <w:t xml:space="preserve">% </w:t>
      </w:r>
      <w:r w:rsidR="004B351A">
        <w:rPr>
          <w:rFonts w:ascii="Times New Roman" w:eastAsia="Times New Roman" w:hAnsi="Times New Roman"/>
          <w:sz w:val="24"/>
          <w:szCs w:val="24"/>
          <w:lang w:eastAsia="x-none"/>
        </w:rPr>
        <w:t xml:space="preserve">growth recorded </w:t>
      </w:r>
      <w:r w:rsidR="00114FC4" w:rsidRPr="00114FC4">
        <w:rPr>
          <w:rFonts w:ascii="Times New Roman" w:eastAsia="Times New Roman" w:hAnsi="Times New Roman"/>
          <w:sz w:val="24"/>
          <w:szCs w:val="24"/>
          <w:lang w:eastAsia="x-none"/>
        </w:rPr>
        <w:t xml:space="preserve">in </w:t>
      </w:r>
      <w:r>
        <w:rPr>
          <w:rFonts w:ascii="Times New Roman" w:eastAsia="Times New Roman" w:hAnsi="Times New Roman"/>
          <w:sz w:val="24"/>
          <w:szCs w:val="24"/>
          <w:lang w:eastAsia="x-none"/>
        </w:rPr>
        <w:t xml:space="preserve">the </w:t>
      </w:r>
      <w:r w:rsidR="00A572AC">
        <w:rPr>
          <w:rFonts w:ascii="Times New Roman" w:eastAsia="Times New Roman" w:hAnsi="Times New Roman"/>
          <w:sz w:val="24"/>
          <w:szCs w:val="24"/>
          <w:lang w:eastAsia="x-none"/>
        </w:rPr>
        <w:t>third</w:t>
      </w:r>
      <w:r>
        <w:rPr>
          <w:rFonts w:ascii="Times New Roman" w:eastAsia="Times New Roman" w:hAnsi="Times New Roman"/>
          <w:sz w:val="24"/>
          <w:szCs w:val="24"/>
          <w:lang w:eastAsia="x-none"/>
        </w:rPr>
        <w:t xml:space="preserve"> quarter of </w:t>
      </w:r>
      <w:r w:rsidR="00114FC4" w:rsidRPr="00114FC4">
        <w:rPr>
          <w:rFonts w:ascii="Times New Roman" w:eastAsia="Times New Roman" w:hAnsi="Times New Roman"/>
          <w:sz w:val="24"/>
          <w:szCs w:val="24"/>
          <w:lang w:eastAsia="x-none"/>
        </w:rPr>
        <w:t>202</w:t>
      </w:r>
      <w:r w:rsidR="00414793">
        <w:rPr>
          <w:rFonts w:ascii="Times New Roman" w:eastAsia="Times New Roman" w:hAnsi="Times New Roman"/>
          <w:sz w:val="24"/>
          <w:szCs w:val="24"/>
          <w:lang w:eastAsia="x-none"/>
        </w:rPr>
        <w:t>5</w:t>
      </w:r>
      <w:r w:rsidR="00114FC4" w:rsidRPr="00114FC4">
        <w:rPr>
          <w:rFonts w:ascii="Times New Roman" w:eastAsia="Times New Roman" w:hAnsi="Times New Roman"/>
          <w:sz w:val="24"/>
          <w:szCs w:val="24"/>
          <w:lang w:eastAsia="x-none"/>
        </w:rPr>
        <w:t>.</w:t>
      </w:r>
    </w:p>
    <w:p w14:paraId="421088D8"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F5EADB9" w14:textId="1CB7AA56"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Arts, </w:t>
      </w:r>
      <w:r>
        <w:rPr>
          <w:rFonts w:ascii="Times New Roman" w:eastAsia="Times New Roman" w:hAnsi="Times New Roman"/>
          <w:sz w:val="24"/>
          <w:szCs w:val="24"/>
          <w:lang w:eastAsia="x-none"/>
        </w:rPr>
        <w:t>e</w:t>
      </w:r>
      <w:r w:rsidR="00114FC4" w:rsidRPr="00114FC4">
        <w:rPr>
          <w:rFonts w:ascii="Times New Roman" w:eastAsia="Times New Roman" w:hAnsi="Times New Roman"/>
          <w:sz w:val="24"/>
          <w:szCs w:val="24"/>
          <w:lang w:eastAsia="x-none"/>
        </w:rPr>
        <w:t xml:space="preserve">ntertainment, and </w:t>
      </w:r>
      <w:r>
        <w:rPr>
          <w:rFonts w:ascii="Times New Roman" w:eastAsia="Times New Roman" w:hAnsi="Times New Roman"/>
          <w:sz w:val="24"/>
          <w:szCs w:val="24"/>
          <w:lang w:eastAsia="x-none"/>
        </w:rPr>
        <w:t>r</w:t>
      </w:r>
      <w:r w:rsidR="00114FC4" w:rsidRPr="00114FC4">
        <w:rPr>
          <w:rFonts w:ascii="Times New Roman" w:eastAsia="Times New Roman" w:hAnsi="Times New Roman"/>
          <w:sz w:val="24"/>
          <w:szCs w:val="24"/>
          <w:lang w:eastAsia="x-none"/>
        </w:rPr>
        <w:t>ecreation</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w:t>
      </w:r>
      <w:r w:rsidR="004B351A">
        <w:rPr>
          <w:rFonts w:ascii="Times New Roman" w:eastAsia="Times New Roman" w:hAnsi="Times New Roman"/>
          <w:sz w:val="24"/>
          <w:szCs w:val="24"/>
          <w:lang w:eastAsia="x-none"/>
        </w:rPr>
        <w:t>grew</w:t>
      </w:r>
      <w:r w:rsidR="00114FC4" w:rsidRPr="00114FC4">
        <w:rPr>
          <w:rFonts w:ascii="Times New Roman" w:eastAsia="Times New Roman" w:hAnsi="Times New Roman"/>
          <w:sz w:val="24"/>
          <w:szCs w:val="24"/>
          <w:lang w:eastAsia="x-none"/>
        </w:rPr>
        <w:t xml:space="preserve"> by </w:t>
      </w:r>
      <w:r w:rsidR="00A572AC">
        <w:rPr>
          <w:rFonts w:ascii="Times New Roman" w:eastAsia="Times New Roman" w:hAnsi="Times New Roman"/>
          <w:sz w:val="24"/>
          <w:szCs w:val="24"/>
          <w:lang w:eastAsia="x-none"/>
        </w:rPr>
        <w:t>5.</w:t>
      </w:r>
      <w:r w:rsidR="008D1906">
        <w:rPr>
          <w:rFonts w:ascii="Times New Roman" w:eastAsia="Times New Roman" w:hAnsi="Times New Roman"/>
          <w:sz w:val="24"/>
          <w:szCs w:val="24"/>
          <w:lang w:eastAsia="x-none"/>
        </w:rPr>
        <w:t>3</w:t>
      </w:r>
      <w:r w:rsidR="00114FC4" w:rsidRPr="00114FC4">
        <w:rPr>
          <w:rFonts w:ascii="Times New Roman" w:eastAsia="Times New Roman" w:hAnsi="Times New Roman"/>
          <w:sz w:val="24"/>
          <w:szCs w:val="24"/>
          <w:lang w:eastAsia="x-none"/>
        </w:rPr>
        <w:t xml:space="preserve">%, </w:t>
      </w:r>
      <w:r w:rsidR="00A572AC">
        <w:rPr>
          <w:rFonts w:ascii="Times New Roman" w:eastAsia="Times New Roman" w:hAnsi="Times New Roman"/>
          <w:sz w:val="24"/>
          <w:szCs w:val="24"/>
          <w:lang w:eastAsia="x-none"/>
        </w:rPr>
        <w:t>higher</w:t>
      </w:r>
      <w:r w:rsidR="004B351A">
        <w:rPr>
          <w:rFonts w:ascii="Times New Roman" w:eastAsia="Times New Roman" w:hAnsi="Times New Roman"/>
          <w:sz w:val="24"/>
          <w:szCs w:val="24"/>
          <w:lang w:eastAsia="x-none"/>
        </w:rPr>
        <w:t xml:space="preserve"> than the </w:t>
      </w:r>
      <w:r w:rsidR="00883E34">
        <w:rPr>
          <w:rFonts w:ascii="Times New Roman" w:eastAsia="Times New Roman" w:hAnsi="Times New Roman"/>
          <w:sz w:val="24"/>
          <w:szCs w:val="24"/>
          <w:lang w:eastAsia="x-none"/>
        </w:rPr>
        <w:t>4.</w:t>
      </w:r>
      <w:r w:rsidR="00A572AC">
        <w:rPr>
          <w:rFonts w:ascii="Times New Roman" w:eastAsia="Times New Roman" w:hAnsi="Times New Roman"/>
          <w:sz w:val="24"/>
          <w:szCs w:val="24"/>
          <w:lang w:eastAsia="x-none"/>
        </w:rPr>
        <w:t>0</w:t>
      </w:r>
      <w:r w:rsidR="00114FC4" w:rsidRPr="00114FC4">
        <w:rPr>
          <w:rFonts w:ascii="Times New Roman" w:eastAsia="Times New Roman" w:hAnsi="Times New Roman"/>
          <w:sz w:val="24"/>
          <w:szCs w:val="24"/>
          <w:lang w:eastAsia="x-none"/>
        </w:rPr>
        <w:t>%</w:t>
      </w:r>
      <w:r w:rsidR="004B351A">
        <w:rPr>
          <w:rFonts w:ascii="Times New Roman" w:eastAsia="Times New Roman" w:hAnsi="Times New Roman"/>
          <w:sz w:val="24"/>
          <w:szCs w:val="24"/>
          <w:lang w:eastAsia="x-none"/>
        </w:rPr>
        <w:t xml:space="preserve"> registered </w:t>
      </w:r>
      <w:r w:rsidR="00114FC4" w:rsidRPr="00114FC4">
        <w:rPr>
          <w:rFonts w:ascii="Times New Roman" w:eastAsia="Times New Roman" w:hAnsi="Times New Roman"/>
          <w:sz w:val="24"/>
          <w:szCs w:val="24"/>
          <w:lang w:eastAsia="x-none"/>
        </w:rPr>
        <w:t>in the previous quarter.</w:t>
      </w:r>
    </w:p>
    <w:p w14:paraId="3E3B5139" w14:textId="77777777" w:rsidR="00114FC4" w:rsidRPr="00114FC4" w:rsidRDefault="00114FC4" w:rsidP="00114FC4">
      <w:pPr>
        <w:spacing w:after="0" w:line="240" w:lineRule="auto"/>
        <w:ind w:firstLine="720"/>
        <w:jc w:val="both"/>
        <w:rPr>
          <w:rFonts w:ascii="Times New Roman" w:eastAsia="Times New Roman" w:hAnsi="Times New Roman"/>
          <w:sz w:val="24"/>
          <w:szCs w:val="24"/>
          <w:lang w:eastAsia="x-none"/>
        </w:rPr>
      </w:pPr>
    </w:p>
    <w:p w14:paraId="04A7C855" w14:textId="329F15E4" w:rsidR="00114FC4" w:rsidRPr="00114FC4" w:rsidRDefault="00997CB0" w:rsidP="00114FC4">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lastRenderedPageBreak/>
        <w:t>“</w:t>
      </w:r>
      <w:r w:rsidR="00114FC4" w:rsidRPr="00114FC4">
        <w:rPr>
          <w:rFonts w:ascii="Times New Roman" w:eastAsia="Times New Roman" w:hAnsi="Times New Roman"/>
          <w:sz w:val="24"/>
          <w:szCs w:val="24"/>
          <w:lang w:eastAsia="x-none"/>
        </w:rPr>
        <w:t xml:space="preserve">Other </w:t>
      </w:r>
      <w:r>
        <w:rPr>
          <w:rFonts w:ascii="Times New Roman" w:eastAsia="Times New Roman" w:hAnsi="Times New Roman"/>
          <w:sz w:val="24"/>
          <w:szCs w:val="24"/>
          <w:lang w:eastAsia="x-none"/>
        </w:rPr>
        <w:t>s</w:t>
      </w:r>
      <w:r w:rsidR="00114FC4" w:rsidRPr="00114FC4">
        <w:rPr>
          <w:rFonts w:ascii="Times New Roman" w:eastAsia="Times New Roman" w:hAnsi="Times New Roman"/>
          <w:sz w:val="24"/>
          <w:szCs w:val="24"/>
          <w:lang w:eastAsia="x-none"/>
        </w:rPr>
        <w:t xml:space="preserve">ervice </w:t>
      </w:r>
      <w:r>
        <w:rPr>
          <w:rFonts w:ascii="Times New Roman" w:eastAsia="Times New Roman" w:hAnsi="Times New Roman"/>
          <w:sz w:val="24"/>
          <w:szCs w:val="24"/>
          <w:lang w:eastAsia="x-none"/>
        </w:rPr>
        <w:t>a</w:t>
      </w:r>
      <w:r w:rsidR="00114FC4" w:rsidRPr="00114FC4">
        <w:rPr>
          <w:rFonts w:ascii="Times New Roman" w:eastAsia="Times New Roman" w:hAnsi="Times New Roman"/>
          <w:sz w:val="24"/>
          <w:szCs w:val="24"/>
          <w:lang w:eastAsia="x-none"/>
        </w:rPr>
        <w:t>ctivities</w:t>
      </w:r>
      <w:r>
        <w:rPr>
          <w:rFonts w:ascii="Times New Roman" w:eastAsia="Times New Roman" w:hAnsi="Times New Roman"/>
          <w:sz w:val="24"/>
          <w:szCs w:val="24"/>
          <w:lang w:eastAsia="x-none"/>
        </w:rPr>
        <w:t>”</w:t>
      </w:r>
      <w:r w:rsidR="00114FC4" w:rsidRPr="00114FC4">
        <w:rPr>
          <w:rFonts w:ascii="Times New Roman" w:eastAsia="Times New Roman" w:hAnsi="Times New Roman"/>
          <w:sz w:val="24"/>
          <w:szCs w:val="24"/>
          <w:lang w:eastAsia="x-none"/>
        </w:rPr>
        <w:t xml:space="preserve"> grew by </w:t>
      </w:r>
      <w:r w:rsidR="00414793">
        <w:rPr>
          <w:rFonts w:ascii="Times New Roman" w:eastAsia="Times New Roman" w:hAnsi="Times New Roman"/>
          <w:sz w:val="24"/>
          <w:szCs w:val="24"/>
          <w:lang w:eastAsia="x-none"/>
        </w:rPr>
        <w:t>2.</w:t>
      </w:r>
      <w:r w:rsidR="00A572AC">
        <w:rPr>
          <w:rFonts w:ascii="Times New Roman" w:eastAsia="Times New Roman" w:hAnsi="Times New Roman"/>
          <w:sz w:val="24"/>
          <w:szCs w:val="24"/>
          <w:lang w:eastAsia="x-none"/>
        </w:rPr>
        <w:t>1</w:t>
      </w:r>
      <w:r w:rsidR="00114FC4" w:rsidRPr="00114FC4">
        <w:rPr>
          <w:rFonts w:ascii="Times New Roman" w:eastAsia="Times New Roman" w:hAnsi="Times New Roman"/>
          <w:sz w:val="24"/>
          <w:szCs w:val="24"/>
          <w:lang w:eastAsia="x-none"/>
        </w:rPr>
        <w:t>%</w:t>
      </w:r>
      <w:r w:rsidR="00883E34">
        <w:rPr>
          <w:rFonts w:ascii="Times New Roman" w:eastAsia="Times New Roman" w:hAnsi="Times New Roman"/>
          <w:sz w:val="24"/>
          <w:szCs w:val="24"/>
          <w:lang w:eastAsia="x-none"/>
        </w:rPr>
        <w:t xml:space="preserve">, </w:t>
      </w:r>
      <w:r w:rsidR="00A572AC">
        <w:rPr>
          <w:rFonts w:ascii="Times New Roman" w:eastAsia="Times New Roman" w:hAnsi="Times New Roman"/>
          <w:sz w:val="24"/>
          <w:szCs w:val="24"/>
          <w:lang w:eastAsia="x-none"/>
        </w:rPr>
        <w:t xml:space="preserve">lower that the growth of 2.4% registered </w:t>
      </w:r>
      <w:r w:rsidR="00114FC4" w:rsidRPr="00114FC4">
        <w:rPr>
          <w:rFonts w:ascii="Times New Roman" w:eastAsia="Times New Roman" w:hAnsi="Times New Roman"/>
          <w:sz w:val="24"/>
          <w:szCs w:val="24"/>
          <w:lang w:eastAsia="x-none"/>
        </w:rPr>
        <w:t>in the previous quarter.</w:t>
      </w:r>
    </w:p>
    <w:p w14:paraId="7ADCBEF7" w14:textId="77777777" w:rsidR="005B04CC" w:rsidRPr="00F259A9" w:rsidRDefault="005B04CC" w:rsidP="005B04CC">
      <w:pPr>
        <w:spacing w:after="0" w:line="260" w:lineRule="exact"/>
        <w:jc w:val="both"/>
        <w:rPr>
          <w:rFonts w:ascii="Times New Roman" w:eastAsia="Times New Roman" w:hAnsi="Times New Roman"/>
          <w:sz w:val="24"/>
          <w:szCs w:val="24"/>
          <w:lang w:eastAsia="x-none"/>
        </w:rPr>
      </w:pPr>
    </w:p>
    <w:p w14:paraId="0197066A" w14:textId="77777777" w:rsidR="005B04CC" w:rsidRPr="00F259A9" w:rsidRDefault="005B04CC" w:rsidP="00B30ED2">
      <w:pPr>
        <w:spacing w:after="0" w:line="120" w:lineRule="auto"/>
        <w:jc w:val="both"/>
        <w:rPr>
          <w:rFonts w:ascii="Times New Roman" w:eastAsia="Times New Roman" w:hAnsi="Times New Roman"/>
          <w:sz w:val="24"/>
          <w:szCs w:val="24"/>
          <w:lang w:eastAsia="x-none"/>
        </w:rPr>
      </w:pPr>
    </w:p>
    <w:p w14:paraId="19DDCD94" w14:textId="6E12E164" w:rsidR="005B04CC" w:rsidRPr="00F259A9" w:rsidRDefault="004168E7" w:rsidP="005B04CC">
      <w:pPr>
        <w:spacing w:after="0" w:line="240" w:lineRule="auto"/>
        <w:jc w:val="both"/>
        <w:rPr>
          <w:rFonts w:ascii="Times New Roman" w:eastAsia="Times New Roman" w:hAnsi="Times New Roman"/>
          <w:b/>
          <w:i/>
          <w:sz w:val="24"/>
          <w:szCs w:val="24"/>
          <w:lang w:val="en-US"/>
        </w:rPr>
      </w:pPr>
      <w:r>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.4</w:t>
      </w:r>
      <w:r w:rsidR="005B04CC" w:rsidRPr="00F259A9">
        <w:rPr>
          <w:rFonts w:ascii="Times New Roman" w:eastAsia="Times New Roman" w:hAnsi="Times New Roman"/>
          <w:b/>
          <w:i/>
          <w:sz w:val="24"/>
          <w:szCs w:val="24"/>
          <w:lang w:val="en-US"/>
        </w:rPr>
        <w:tab/>
        <w:t>Contribution of industry groups to</w:t>
      </w:r>
      <w:r w:rsidR="00CA3995">
        <w:rPr>
          <w:rFonts w:ascii="Times New Roman" w:eastAsia="Times New Roman" w:hAnsi="Times New Roman"/>
          <w:b/>
          <w:i/>
          <w:sz w:val="24"/>
          <w:szCs w:val="24"/>
          <w:lang w:val="en-US"/>
        </w:rPr>
        <w:t xml:space="preserve"> GVA growth, </w:t>
      </w:r>
      <w:r w:rsidR="003B136B">
        <w:rPr>
          <w:rFonts w:ascii="Times New Roman" w:eastAsia="Times New Roman" w:hAnsi="Times New Roman"/>
          <w:b/>
          <w:i/>
          <w:sz w:val="24"/>
          <w:szCs w:val="24"/>
          <w:lang w:val="en-US"/>
        </w:rPr>
        <w:t>fourth</w:t>
      </w:r>
      <w:r w:rsidR="00052C21">
        <w:rPr>
          <w:rFonts w:ascii="Times New Roman" w:eastAsia="Times New Roman" w:hAnsi="Times New Roman"/>
          <w:b/>
          <w:i/>
          <w:sz w:val="24"/>
          <w:szCs w:val="24"/>
          <w:lang w:val="en-US"/>
        </w:rPr>
        <w:t xml:space="preserve"> quarter 202</w:t>
      </w:r>
      <w:r w:rsidR="009A0666">
        <w:rPr>
          <w:rFonts w:ascii="Times New Roman" w:eastAsia="Times New Roman" w:hAnsi="Times New Roman"/>
          <w:b/>
          <w:i/>
          <w:sz w:val="24"/>
          <w:szCs w:val="24"/>
          <w:lang w:val="en-US"/>
        </w:rPr>
        <w:t>5</w:t>
      </w:r>
    </w:p>
    <w:p w14:paraId="6D245BAA" w14:textId="77777777" w:rsidR="005B04CC" w:rsidRPr="00F259A9" w:rsidRDefault="005B04CC" w:rsidP="005B04CC">
      <w:pPr>
        <w:spacing w:after="0" w:line="240" w:lineRule="exact"/>
        <w:jc w:val="both"/>
        <w:rPr>
          <w:rFonts w:ascii="Times New Roman" w:eastAsia="Times New Roman" w:hAnsi="Times New Roman"/>
          <w:sz w:val="20"/>
          <w:szCs w:val="20"/>
          <w:lang w:val="en-US"/>
        </w:rPr>
      </w:pPr>
    </w:p>
    <w:p w14:paraId="26DD773E" w14:textId="6533DB63"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r w:rsidRPr="00F259A9">
        <w:rPr>
          <w:rFonts w:ascii="Times New Roman" w:eastAsia="Times New Roman" w:hAnsi="Times New Roman"/>
          <w:sz w:val="24"/>
          <w:szCs w:val="24"/>
          <w:lang w:eastAsia="x-none"/>
        </w:rPr>
        <w:t>The contribution of an industry to GVA growth depends on two factors, namely, its share in GVA and the change in its real value added. From Table A and Figur</w:t>
      </w:r>
      <w:r w:rsidR="006B0380">
        <w:rPr>
          <w:rFonts w:ascii="Times New Roman" w:eastAsia="Times New Roman" w:hAnsi="Times New Roman"/>
          <w:sz w:val="24"/>
          <w:szCs w:val="24"/>
          <w:lang w:eastAsia="x-none"/>
        </w:rPr>
        <w:t xml:space="preserve">e </w:t>
      </w:r>
      <w:r w:rsidR="00BE6698">
        <w:rPr>
          <w:rFonts w:ascii="Times New Roman" w:eastAsia="Times New Roman" w:hAnsi="Times New Roman"/>
          <w:sz w:val="24"/>
          <w:szCs w:val="24"/>
          <w:lang w:eastAsia="x-none"/>
        </w:rPr>
        <w:t>3, it</w:t>
      </w:r>
      <w:r w:rsidR="0085004F">
        <w:rPr>
          <w:rFonts w:ascii="Times New Roman" w:eastAsia="Times New Roman" w:hAnsi="Times New Roman"/>
          <w:sz w:val="24"/>
          <w:szCs w:val="24"/>
          <w:lang w:eastAsia="x-none"/>
        </w:rPr>
        <w:t xml:space="preserve"> i</w:t>
      </w:r>
      <w:r w:rsidR="00274913">
        <w:rPr>
          <w:rFonts w:ascii="Times New Roman" w:eastAsia="Times New Roman" w:hAnsi="Times New Roman"/>
          <w:sz w:val="24"/>
          <w:szCs w:val="24"/>
          <w:lang w:eastAsia="x-none"/>
        </w:rPr>
        <w:t>s observed that the</w:t>
      </w:r>
      <w:r w:rsidR="00D833D4">
        <w:rPr>
          <w:rFonts w:ascii="Times New Roman" w:eastAsia="Times New Roman" w:hAnsi="Times New Roman"/>
          <w:sz w:val="24"/>
          <w:szCs w:val="24"/>
          <w:lang w:eastAsia="x-none"/>
        </w:rPr>
        <w:t xml:space="preserve"> </w:t>
      </w:r>
      <w:r w:rsidR="00DE4BCE">
        <w:rPr>
          <w:rFonts w:ascii="Times New Roman" w:eastAsia="Times New Roman" w:hAnsi="Times New Roman"/>
          <w:sz w:val="24"/>
          <w:szCs w:val="24"/>
          <w:lang w:eastAsia="x-none"/>
        </w:rPr>
        <w:t>3</w:t>
      </w:r>
      <w:r w:rsidR="00CF38E2">
        <w:rPr>
          <w:rFonts w:ascii="Times New Roman" w:eastAsia="Times New Roman" w:hAnsi="Times New Roman"/>
          <w:sz w:val="24"/>
          <w:szCs w:val="24"/>
          <w:lang w:eastAsia="x-none"/>
        </w:rPr>
        <w:t>.</w:t>
      </w:r>
      <w:r w:rsidR="003B136B">
        <w:rPr>
          <w:rFonts w:ascii="Times New Roman" w:eastAsia="Times New Roman" w:hAnsi="Times New Roman"/>
          <w:sz w:val="24"/>
          <w:szCs w:val="24"/>
          <w:lang w:eastAsia="x-none"/>
        </w:rPr>
        <w:t>1</w:t>
      </w:r>
      <w:r w:rsidRPr="00F259A9">
        <w:rPr>
          <w:rFonts w:ascii="Times New Roman" w:eastAsia="Times New Roman" w:hAnsi="Times New Roman"/>
          <w:sz w:val="24"/>
          <w:szCs w:val="24"/>
          <w:lang w:eastAsia="x-none"/>
        </w:rPr>
        <w:t xml:space="preserve">% </w:t>
      </w:r>
      <w:r w:rsidR="007324F3">
        <w:rPr>
          <w:rFonts w:ascii="Times New Roman" w:eastAsia="Times New Roman" w:hAnsi="Times New Roman"/>
          <w:sz w:val="24"/>
          <w:szCs w:val="24"/>
          <w:lang w:eastAsia="x-none"/>
        </w:rPr>
        <w:t>growth</w:t>
      </w:r>
      <w:r w:rsidRPr="00F259A9">
        <w:rPr>
          <w:rFonts w:ascii="Times New Roman" w:eastAsia="Times New Roman" w:hAnsi="Times New Roman"/>
          <w:sz w:val="24"/>
          <w:szCs w:val="24"/>
          <w:lang w:eastAsia="x-none"/>
        </w:rPr>
        <w:t xml:space="preserve"> in GVA d</w:t>
      </w:r>
      <w:r w:rsidR="00AA6128">
        <w:rPr>
          <w:rFonts w:ascii="Times New Roman" w:eastAsia="Times New Roman" w:hAnsi="Times New Roman"/>
          <w:sz w:val="24"/>
          <w:szCs w:val="24"/>
          <w:lang w:eastAsia="x-none"/>
        </w:rPr>
        <w:t>uring the</w:t>
      </w:r>
      <w:r w:rsidR="00375EDF">
        <w:rPr>
          <w:rFonts w:ascii="Times New Roman" w:eastAsia="Times New Roman" w:hAnsi="Times New Roman"/>
          <w:sz w:val="24"/>
          <w:szCs w:val="24"/>
          <w:lang w:eastAsia="x-none"/>
        </w:rPr>
        <w:t xml:space="preserve"> </w:t>
      </w:r>
      <w:r w:rsidR="003B136B">
        <w:rPr>
          <w:rFonts w:ascii="Times New Roman" w:eastAsia="Times New Roman" w:hAnsi="Times New Roman"/>
          <w:sz w:val="24"/>
          <w:szCs w:val="24"/>
          <w:lang w:eastAsia="x-none"/>
        </w:rPr>
        <w:t>fourth</w:t>
      </w:r>
      <w:r w:rsidR="00241BFC">
        <w:rPr>
          <w:rFonts w:ascii="Times New Roman" w:eastAsia="Times New Roman" w:hAnsi="Times New Roman"/>
          <w:sz w:val="24"/>
          <w:szCs w:val="24"/>
          <w:lang w:eastAsia="x-none"/>
        </w:rPr>
        <w:t xml:space="preserve"> </w:t>
      </w:r>
      <w:r w:rsidR="00052C21">
        <w:rPr>
          <w:rFonts w:ascii="Times New Roman" w:eastAsia="Times New Roman" w:hAnsi="Times New Roman"/>
          <w:sz w:val="24"/>
          <w:szCs w:val="24"/>
          <w:lang w:eastAsia="x-none"/>
        </w:rPr>
        <w:t>quarter of 202</w:t>
      </w:r>
      <w:r w:rsidR="009A0666">
        <w:rPr>
          <w:rFonts w:ascii="Times New Roman" w:eastAsia="Times New Roman" w:hAnsi="Times New Roman"/>
          <w:sz w:val="24"/>
          <w:szCs w:val="24"/>
          <w:lang w:eastAsia="x-none"/>
        </w:rPr>
        <w:t>5</w:t>
      </w:r>
      <w:r w:rsidRPr="00F259A9">
        <w:rPr>
          <w:rFonts w:ascii="Times New Roman" w:eastAsia="Times New Roman" w:hAnsi="Times New Roman"/>
          <w:sz w:val="24"/>
          <w:szCs w:val="24"/>
          <w:lang w:eastAsia="x-none"/>
        </w:rPr>
        <w:t xml:space="preserve"> was mainly due to:</w:t>
      </w:r>
    </w:p>
    <w:p w14:paraId="193445BD" w14:textId="77777777" w:rsidR="005B04CC" w:rsidRPr="00F259A9" w:rsidRDefault="005B04CC" w:rsidP="005B04CC">
      <w:pPr>
        <w:spacing w:after="0" w:line="240" w:lineRule="auto"/>
        <w:ind w:firstLine="720"/>
        <w:jc w:val="both"/>
        <w:rPr>
          <w:rFonts w:ascii="Times New Roman" w:eastAsia="Times New Roman" w:hAnsi="Times New Roman"/>
          <w:sz w:val="24"/>
          <w:szCs w:val="24"/>
          <w:lang w:eastAsia="x-none"/>
        </w:rPr>
      </w:pPr>
    </w:p>
    <w:p w14:paraId="6168AED8" w14:textId="6701156B" w:rsidR="00E07B60" w:rsidRDefault="0085230C"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sidRPr="00BF152A">
        <w:rPr>
          <w:rFonts w:ascii="Times New Roman" w:eastAsia="Times New Roman" w:hAnsi="Times New Roman"/>
          <w:sz w:val="24"/>
          <w:szCs w:val="24"/>
          <w:lang w:eastAsia="x-none"/>
        </w:rPr>
        <w:t xml:space="preserve">  </w:t>
      </w:r>
      <w:r w:rsidR="00E07B60" w:rsidRPr="00BF152A">
        <w:rPr>
          <w:rFonts w:ascii="Times New Roman" w:eastAsia="Times New Roman" w:hAnsi="Times New Roman"/>
          <w:sz w:val="24"/>
          <w:szCs w:val="24"/>
          <w:lang w:eastAsia="x-none"/>
        </w:rPr>
        <w:t>“Financial and insurance activities” (0.</w:t>
      </w:r>
      <w:r w:rsidR="003B136B">
        <w:rPr>
          <w:rFonts w:ascii="Times New Roman" w:eastAsia="Times New Roman" w:hAnsi="Times New Roman"/>
          <w:sz w:val="24"/>
          <w:szCs w:val="24"/>
          <w:lang w:eastAsia="x-none"/>
        </w:rPr>
        <w:t>7</w:t>
      </w:r>
      <w:r w:rsidR="00E07B60" w:rsidRPr="00BF152A">
        <w:rPr>
          <w:rFonts w:ascii="Times New Roman" w:eastAsia="Times New Roman" w:hAnsi="Times New Roman"/>
          <w:sz w:val="24"/>
          <w:szCs w:val="24"/>
          <w:lang w:eastAsia="x-none"/>
        </w:rPr>
        <w:t xml:space="preserve"> percentage point);</w:t>
      </w:r>
    </w:p>
    <w:p w14:paraId="6AE14B2F" w14:textId="72FE66E6" w:rsidR="003B136B" w:rsidRDefault="003B136B" w:rsidP="003B136B">
      <w:pPr>
        <w:numPr>
          <w:ilvl w:val="0"/>
          <w:numId w:val="38"/>
        </w:numPr>
        <w:tabs>
          <w:tab w:val="left" w:pos="993"/>
        </w:tabs>
        <w:spacing w:after="120" w:line="240" w:lineRule="auto"/>
        <w:ind w:left="993" w:hanging="567"/>
        <w:jc w:val="both"/>
        <w:rPr>
          <w:rFonts w:ascii="Times New Roman" w:eastAsia="Times New Roman" w:hAnsi="Times New Roman"/>
          <w:sz w:val="24"/>
          <w:szCs w:val="24"/>
          <w:lang w:eastAsia="x-none"/>
        </w:rPr>
      </w:pPr>
      <w:r w:rsidRPr="00A911CA">
        <w:rPr>
          <w:rFonts w:ascii="Times New Roman" w:eastAsia="Times New Roman" w:hAnsi="Times New Roman"/>
          <w:sz w:val="24"/>
          <w:szCs w:val="24"/>
          <w:lang w:eastAsia="x-none"/>
        </w:rPr>
        <w:t>“Wholesale and retail trade; repair of motor vehicles and motorcycles” (0.</w:t>
      </w:r>
      <w:r>
        <w:rPr>
          <w:rFonts w:ascii="Times New Roman" w:eastAsia="Times New Roman" w:hAnsi="Times New Roman"/>
          <w:sz w:val="24"/>
          <w:szCs w:val="24"/>
          <w:lang w:eastAsia="x-none"/>
        </w:rPr>
        <w:t>6</w:t>
      </w:r>
      <w:r w:rsidRPr="00A911CA">
        <w:rPr>
          <w:rFonts w:ascii="Times New Roman" w:eastAsia="Times New Roman" w:hAnsi="Times New Roman"/>
          <w:sz w:val="24"/>
          <w:szCs w:val="24"/>
          <w:lang w:eastAsia="x-none"/>
        </w:rPr>
        <w:t xml:space="preserve"> percentage </w:t>
      </w:r>
      <w:r>
        <w:rPr>
          <w:rFonts w:ascii="Times New Roman" w:eastAsia="Times New Roman" w:hAnsi="Times New Roman"/>
          <w:sz w:val="24"/>
          <w:szCs w:val="24"/>
          <w:lang w:eastAsia="x-none"/>
        </w:rPr>
        <w:t xml:space="preserve">   </w:t>
      </w:r>
      <w:r w:rsidRPr="00A911CA">
        <w:rPr>
          <w:rFonts w:ascii="Times New Roman" w:eastAsia="Times New Roman" w:hAnsi="Times New Roman"/>
          <w:sz w:val="24"/>
          <w:szCs w:val="24"/>
          <w:lang w:eastAsia="x-none"/>
        </w:rPr>
        <w:t>point);</w:t>
      </w:r>
    </w:p>
    <w:p w14:paraId="0CFEBA1F" w14:textId="6EA4D590" w:rsidR="00E07B60" w:rsidRDefault="004D4B29" w:rsidP="00E07B60">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E07B60">
        <w:rPr>
          <w:rFonts w:ascii="Times New Roman" w:eastAsia="Times New Roman" w:hAnsi="Times New Roman"/>
          <w:sz w:val="24"/>
          <w:szCs w:val="24"/>
          <w:lang w:eastAsia="x-none"/>
        </w:rPr>
        <w:t>“Accommodation and food service activities” (0.</w:t>
      </w:r>
      <w:r w:rsidR="00611BC3">
        <w:rPr>
          <w:rFonts w:ascii="Times New Roman" w:eastAsia="Times New Roman" w:hAnsi="Times New Roman"/>
          <w:sz w:val="24"/>
          <w:szCs w:val="24"/>
          <w:lang w:eastAsia="x-none"/>
        </w:rPr>
        <w:t>4</w:t>
      </w:r>
      <w:r w:rsidR="00E07B60">
        <w:rPr>
          <w:rFonts w:ascii="Times New Roman" w:eastAsia="Times New Roman" w:hAnsi="Times New Roman"/>
          <w:sz w:val="24"/>
          <w:szCs w:val="24"/>
          <w:lang w:eastAsia="x-none"/>
        </w:rPr>
        <w:t xml:space="preserve"> percentage point);</w:t>
      </w:r>
    </w:p>
    <w:p w14:paraId="0FFC2CAD" w14:textId="634AA3FE" w:rsidR="003B136B" w:rsidRDefault="003B136B" w:rsidP="003B136B">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Pr="00195B91">
        <w:rPr>
          <w:rFonts w:ascii="Times New Roman" w:eastAsia="Times New Roman" w:hAnsi="Times New Roman"/>
          <w:sz w:val="24"/>
          <w:szCs w:val="24"/>
          <w:lang w:eastAsia="x-none"/>
        </w:rPr>
        <w:t>“Transport and storage” (0.</w:t>
      </w:r>
      <w:r>
        <w:rPr>
          <w:rFonts w:ascii="Times New Roman" w:eastAsia="Times New Roman" w:hAnsi="Times New Roman"/>
          <w:sz w:val="24"/>
          <w:szCs w:val="24"/>
          <w:lang w:eastAsia="x-none"/>
        </w:rPr>
        <w:t>3</w:t>
      </w:r>
      <w:r w:rsidRPr="00195B91">
        <w:rPr>
          <w:rFonts w:ascii="Times New Roman" w:eastAsia="Times New Roman" w:hAnsi="Times New Roman"/>
          <w:sz w:val="24"/>
          <w:szCs w:val="24"/>
          <w:lang w:eastAsia="x-none"/>
        </w:rPr>
        <w:t xml:space="preserve"> percentage point)</w:t>
      </w:r>
      <w:r>
        <w:rPr>
          <w:rFonts w:ascii="Times New Roman" w:eastAsia="Times New Roman" w:hAnsi="Times New Roman"/>
          <w:sz w:val="24"/>
          <w:szCs w:val="24"/>
          <w:lang w:eastAsia="x-none"/>
        </w:rPr>
        <w:t>;</w:t>
      </w:r>
    </w:p>
    <w:p w14:paraId="733B22F8" w14:textId="3B992DA6" w:rsidR="003B136B" w:rsidRDefault="003B136B" w:rsidP="003B136B">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“Agriculture, forestry and fishing” (0.2 percentage point);</w:t>
      </w:r>
    </w:p>
    <w:p w14:paraId="20BC9F77" w14:textId="13FAFFB8" w:rsidR="003B136B" w:rsidRPr="00135800" w:rsidRDefault="003B136B" w:rsidP="003B136B">
      <w:pPr>
        <w:numPr>
          <w:ilvl w:val="0"/>
          <w:numId w:val="38"/>
        </w:numPr>
        <w:tabs>
          <w:tab w:val="left" w:pos="851"/>
        </w:tabs>
        <w:spacing w:after="120" w:line="240" w:lineRule="auto"/>
        <w:ind w:left="567" w:hanging="141"/>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“Manufacturing” (0.2 percentage point);</w:t>
      </w:r>
      <w:r w:rsidRPr="00A911CA">
        <w:rPr>
          <w:rFonts w:ascii="Times New Roman" w:eastAsia="Times New Roman" w:hAnsi="Times New Roman"/>
          <w:sz w:val="24"/>
          <w:szCs w:val="24"/>
          <w:lang w:eastAsia="x-none"/>
        </w:rPr>
        <w:t xml:space="preserve"> </w:t>
      </w:r>
    </w:p>
    <w:p w14:paraId="2ADE220B" w14:textId="77777777" w:rsidR="003B136B" w:rsidRDefault="003B136B" w:rsidP="003B136B">
      <w:pPr>
        <w:numPr>
          <w:ilvl w:val="0"/>
          <w:numId w:val="38"/>
        </w:numPr>
        <w:tabs>
          <w:tab w:val="left" w:pos="851"/>
        </w:tabs>
        <w:spacing w:after="120" w:line="240" w:lineRule="auto"/>
        <w:ind w:left="993" w:hanging="567"/>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“Information and communication” (0.2 percentage point); </w:t>
      </w:r>
    </w:p>
    <w:p w14:paraId="749B97D4" w14:textId="0E27E08C" w:rsidR="00A911CA" w:rsidRPr="003B136B" w:rsidRDefault="00A911CA" w:rsidP="003B136B">
      <w:pPr>
        <w:numPr>
          <w:ilvl w:val="0"/>
          <w:numId w:val="38"/>
        </w:numPr>
        <w:tabs>
          <w:tab w:val="left" w:pos="851"/>
        </w:tabs>
        <w:spacing w:after="120" w:line="240" w:lineRule="auto"/>
        <w:ind w:left="993" w:hanging="567"/>
        <w:jc w:val="both"/>
        <w:rPr>
          <w:rFonts w:ascii="Times New Roman" w:eastAsia="Times New Roman" w:hAnsi="Times New Roman"/>
          <w:sz w:val="24"/>
          <w:szCs w:val="24"/>
          <w:lang w:eastAsia="x-none"/>
        </w:rPr>
      </w:pPr>
      <w:r w:rsidRPr="003B136B">
        <w:rPr>
          <w:rFonts w:ascii="Times New Roman" w:eastAsia="Times New Roman" w:hAnsi="Times New Roman"/>
          <w:sz w:val="24"/>
          <w:szCs w:val="24"/>
          <w:lang w:eastAsia="x-none"/>
        </w:rPr>
        <w:t>“Professional, scientific and technical activities” (0.</w:t>
      </w:r>
      <w:r w:rsidR="00135800" w:rsidRPr="003B136B">
        <w:rPr>
          <w:rFonts w:ascii="Times New Roman" w:eastAsia="Times New Roman" w:hAnsi="Times New Roman"/>
          <w:sz w:val="24"/>
          <w:szCs w:val="24"/>
          <w:lang w:eastAsia="x-none"/>
        </w:rPr>
        <w:t>2</w:t>
      </w:r>
      <w:r w:rsidRPr="003B136B">
        <w:rPr>
          <w:rFonts w:ascii="Times New Roman" w:eastAsia="Times New Roman" w:hAnsi="Times New Roman"/>
          <w:sz w:val="24"/>
          <w:szCs w:val="24"/>
          <w:lang w:eastAsia="x-none"/>
        </w:rPr>
        <w:t xml:space="preserve"> percentage point);</w:t>
      </w:r>
      <w:r w:rsidR="00135800" w:rsidRPr="003B136B">
        <w:rPr>
          <w:rFonts w:ascii="Times New Roman" w:eastAsia="Times New Roman" w:hAnsi="Times New Roman"/>
          <w:sz w:val="24"/>
          <w:szCs w:val="24"/>
          <w:lang w:eastAsia="x-none"/>
        </w:rPr>
        <w:t xml:space="preserve"> and</w:t>
      </w:r>
    </w:p>
    <w:p w14:paraId="344B01ED" w14:textId="361E0C75" w:rsidR="00A911CA" w:rsidRDefault="004D4B29" w:rsidP="006422CC">
      <w:pPr>
        <w:numPr>
          <w:ilvl w:val="0"/>
          <w:numId w:val="38"/>
        </w:numPr>
        <w:tabs>
          <w:tab w:val="left" w:pos="851"/>
        </w:tabs>
        <w:spacing w:after="120" w:line="240" w:lineRule="auto"/>
        <w:ind w:left="1134" w:hanging="708"/>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 xml:space="preserve">  </w:t>
      </w:r>
      <w:r w:rsidR="00A911CA">
        <w:rPr>
          <w:rFonts w:ascii="Times New Roman" w:eastAsia="Times New Roman" w:hAnsi="Times New Roman"/>
          <w:sz w:val="24"/>
          <w:szCs w:val="24"/>
          <w:lang w:eastAsia="x-none"/>
        </w:rPr>
        <w:t>“</w:t>
      </w:r>
      <w:r w:rsidR="003B136B">
        <w:rPr>
          <w:rFonts w:ascii="Times New Roman" w:eastAsia="Times New Roman" w:hAnsi="Times New Roman"/>
          <w:sz w:val="24"/>
          <w:szCs w:val="24"/>
          <w:lang w:eastAsia="x-none"/>
        </w:rPr>
        <w:t>Arts, entertainment and recreation</w:t>
      </w:r>
      <w:r w:rsidR="00A911CA">
        <w:rPr>
          <w:rFonts w:ascii="Times New Roman" w:eastAsia="Times New Roman" w:hAnsi="Times New Roman"/>
          <w:sz w:val="24"/>
          <w:szCs w:val="24"/>
          <w:lang w:eastAsia="x-none"/>
        </w:rPr>
        <w:t>” (0.2 percentage point)</w:t>
      </w:r>
      <w:r w:rsidR="00135800">
        <w:rPr>
          <w:rFonts w:ascii="Times New Roman" w:eastAsia="Times New Roman" w:hAnsi="Times New Roman"/>
          <w:sz w:val="24"/>
          <w:szCs w:val="24"/>
          <w:lang w:eastAsia="x-none"/>
        </w:rPr>
        <w:t>.</w:t>
      </w:r>
    </w:p>
    <w:p w14:paraId="54959AD0"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0A60F801"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4516FB0E"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1DAA26DF" w14:textId="77777777" w:rsidR="001C3BA3" w:rsidRDefault="001C3BA3" w:rsidP="00C65FC3">
      <w:pPr>
        <w:spacing w:after="120" w:line="120" w:lineRule="auto"/>
        <w:ind w:left="567"/>
        <w:jc w:val="both"/>
        <w:rPr>
          <w:rFonts w:ascii="Times New Roman" w:eastAsia="Times New Roman" w:hAnsi="Times New Roman"/>
          <w:sz w:val="24"/>
          <w:szCs w:val="24"/>
          <w:lang w:eastAsia="x-none"/>
        </w:rPr>
      </w:pPr>
    </w:p>
    <w:p w14:paraId="23A20A3C" w14:textId="1BB9A4BD" w:rsidR="001C3BA3" w:rsidRDefault="001C3BA3" w:rsidP="00C65FC3">
      <w:pPr>
        <w:spacing w:after="120" w:line="120" w:lineRule="auto"/>
        <w:ind w:left="567"/>
        <w:jc w:val="both"/>
        <w:rPr>
          <w:rFonts w:ascii="Times New Roman" w:eastAsia="Times New Roman" w:hAnsi="Times New Roman"/>
          <w:sz w:val="24"/>
          <w:szCs w:val="24"/>
          <w:lang w:eastAsia="x-none"/>
        </w:rPr>
      </w:pPr>
    </w:p>
    <w:p w14:paraId="3BF1AC58" w14:textId="416D82F6"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145ECCA" w14:textId="1299B78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E23A8F0" w14:textId="2914DDAC"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088EB33" w14:textId="3FB3C397"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E635D4E" w14:textId="74FF774A"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79038C3" w14:textId="42DE537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6344EF9" w14:textId="7FC68B6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7EDE2223" w14:textId="2AD09C8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0113AEA" w14:textId="500DD70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3DFE43D0" w14:textId="5E7C6577"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54D7D70" w14:textId="68D23183" w:rsidR="00911F79" w:rsidRDefault="00911F79" w:rsidP="00C65FC3">
      <w:pPr>
        <w:spacing w:after="120" w:line="120" w:lineRule="auto"/>
        <w:ind w:left="567"/>
        <w:jc w:val="both"/>
        <w:rPr>
          <w:rFonts w:ascii="Times New Roman" w:eastAsia="Times New Roman" w:hAnsi="Times New Roman"/>
          <w:sz w:val="24"/>
          <w:szCs w:val="24"/>
          <w:lang w:eastAsia="x-none"/>
        </w:rPr>
      </w:pPr>
    </w:p>
    <w:p w14:paraId="62C26A25" w14:textId="576EFB6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57B0C40A" w14:textId="335D90FF"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790468D" w14:textId="64EF66BD"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F45407E" w14:textId="2EC807D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AE112A0" w14:textId="694972E2" w:rsidR="00911F79" w:rsidRDefault="00911F79" w:rsidP="00C65FC3">
      <w:pPr>
        <w:spacing w:after="120" w:line="120" w:lineRule="auto"/>
        <w:ind w:left="567"/>
        <w:jc w:val="both"/>
        <w:rPr>
          <w:rFonts w:ascii="Times New Roman" w:eastAsia="Times New Roman" w:hAnsi="Times New Roman"/>
          <w:sz w:val="24"/>
          <w:szCs w:val="24"/>
          <w:lang w:eastAsia="x-none"/>
        </w:rPr>
      </w:pPr>
    </w:p>
    <w:p w14:paraId="41C941A3" w14:textId="60E7D584" w:rsidR="004356EF" w:rsidRDefault="004356EF" w:rsidP="00C65FC3">
      <w:pPr>
        <w:spacing w:after="120" w:line="120" w:lineRule="auto"/>
        <w:ind w:left="567"/>
        <w:jc w:val="both"/>
        <w:rPr>
          <w:rFonts w:ascii="Times New Roman" w:eastAsia="Times New Roman" w:hAnsi="Times New Roman"/>
          <w:sz w:val="24"/>
          <w:szCs w:val="24"/>
          <w:lang w:eastAsia="x-none"/>
        </w:rPr>
      </w:pPr>
    </w:p>
    <w:p w14:paraId="38F717D9" w14:textId="77777777" w:rsidR="004356EF" w:rsidRDefault="004356EF" w:rsidP="00C65FC3">
      <w:pPr>
        <w:spacing w:after="120" w:line="120" w:lineRule="auto"/>
        <w:ind w:left="567"/>
        <w:jc w:val="both"/>
        <w:rPr>
          <w:rFonts w:ascii="Times New Roman" w:eastAsia="Times New Roman" w:hAnsi="Times New Roman"/>
          <w:sz w:val="24"/>
          <w:szCs w:val="24"/>
          <w:lang w:eastAsia="x-none"/>
        </w:rPr>
      </w:pPr>
    </w:p>
    <w:p w14:paraId="54A5DEB7" w14:textId="7A5E060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419CB1B" w14:textId="6C9183D4"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57B3EA0" w14:textId="041E351A" w:rsidR="00911F79" w:rsidRDefault="00911F79" w:rsidP="00C65FC3">
      <w:pPr>
        <w:spacing w:after="120" w:line="120" w:lineRule="auto"/>
        <w:ind w:left="567"/>
        <w:jc w:val="both"/>
        <w:rPr>
          <w:rFonts w:ascii="Times New Roman" w:eastAsia="Times New Roman" w:hAnsi="Times New Roman"/>
          <w:sz w:val="24"/>
          <w:szCs w:val="24"/>
          <w:lang w:eastAsia="x-none"/>
        </w:rPr>
      </w:pPr>
    </w:p>
    <w:p w14:paraId="15E7EA09" w14:textId="7D0A0899" w:rsidR="00911F79" w:rsidRDefault="00911F79" w:rsidP="00C65FC3">
      <w:pPr>
        <w:spacing w:after="120" w:line="120" w:lineRule="auto"/>
        <w:ind w:left="567"/>
        <w:jc w:val="both"/>
        <w:rPr>
          <w:rFonts w:ascii="Times New Roman" w:eastAsia="Times New Roman" w:hAnsi="Times New Roman"/>
          <w:sz w:val="24"/>
          <w:szCs w:val="24"/>
          <w:lang w:eastAsia="x-none"/>
        </w:rPr>
      </w:pPr>
    </w:p>
    <w:p w14:paraId="04F8D1AB" w14:textId="589038CE" w:rsidR="00911F79" w:rsidRDefault="00911F79" w:rsidP="00C65FC3">
      <w:pPr>
        <w:spacing w:after="120" w:line="120" w:lineRule="auto"/>
        <w:ind w:left="567"/>
        <w:jc w:val="both"/>
        <w:rPr>
          <w:rFonts w:ascii="Times New Roman" w:eastAsia="Times New Roman" w:hAnsi="Times New Roman"/>
          <w:sz w:val="24"/>
          <w:szCs w:val="24"/>
          <w:lang w:eastAsia="x-none"/>
        </w:rPr>
      </w:pPr>
    </w:p>
    <w:p w14:paraId="2FE00CB4" w14:textId="77777777" w:rsidR="00911F79" w:rsidRDefault="00911F79" w:rsidP="00C65FC3">
      <w:pPr>
        <w:spacing w:after="120" w:line="120" w:lineRule="auto"/>
        <w:ind w:left="567"/>
        <w:jc w:val="both"/>
        <w:rPr>
          <w:rFonts w:ascii="Times New Roman" w:eastAsia="Times New Roman" w:hAnsi="Times New Roman"/>
          <w:sz w:val="24"/>
          <w:szCs w:val="24"/>
          <w:lang w:eastAsia="x-none"/>
        </w:rPr>
      </w:pPr>
    </w:p>
    <w:p w14:paraId="1A6F75BE" w14:textId="5CB3DAA2" w:rsidR="001C3BA3" w:rsidRDefault="001C3BA3" w:rsidP="00C65FC3">
      <w:pPr>
        <w:spacing w:after="120" w:line="120" w:lineRule="auto"/>
        <w:ind w:left="567"/>
        <w:jc w:val="both"/>
        <w:rPr>
          <w:rFonts w:ascii="Times New Roman" w:eastAsia="Times New Roman" w:hAnsi="Times New Roman"/>
          <w:sz w:val="24"/>
          <w:szCs w:val="24"/>
          <w:lang w:eastAsia="x-none"/>
        </w:rPr>
      </w:pPr>
    </w:p>
    <w:p w14:paraId="7AD753E3" w14:textId="31BA1FE8" w:rsidR="00DE2C6D" w:rsidRDefault="00DE2C6D" w:rsidP="00C65FC3">
      <w:pPr>
        <w:spacing w:after="120" w:line="120" w:lineRule="auto"/>
        <w:ind w:left="567"/>
        <w:jc w:val="both"/>
        <w:rPr>
          <w:rFonts w:ascii="Times New Roman" w:eastAsia="Times New Roman" w:hAnsi="Times New Roman"/>
          <w:sz w:val="24"/>
          <w:szCs w:val="24"/>
          <w:lang w:eastAsia="x-none"/>
        </w:rPr>
      </w:pPr>
    </w:p>
    <w:p w14:paraId="4C66C53F" w14:textId="1DA9E40C" w:rsidR="00DE2C6D" w:rsidRDefault="00DE2C6D" w:rsidP="00C65FC3">
      <w:pPr>
        <w:spacing w:after="120" w:line="120" w:lineRule="auto"/>
        <w:ind w:left="567"/>
        <w:jc w:val="both"/>
        <w:rPr>
          <w:rFonts w:ascii="Times New Roman" w:eastAsia="Times New Roman" w:hAnsi="Times New Roman"/>
          <w:sz w:val="24"/>
          <w:szCs w:val="24"/>
          <w:lang w:eastAsia="x-none"/>
        </w:rPr>
      </w:pPr>
    </w:p>
    <w:p w14:paraId="199E51E4" w14:textId="77777777" w:rsidR="00DE2C6D" w:rsidRDefault="00DE2C6D" w:rsidP="00C65FC3">
      <w:pPr>
        <w:spacing w:after="120" w:line="120" w:lineRule="auto"/>
        <w:ind w:left="567"/>
        <w:jc w:val="both"/>
        <w:rPr>
          <w:rFonts w:ascii="Times New Roman" w:eastAsia="Times New Roman" w:hAnsi="Times New Roman"/>
          <w:sz w:val="24"/>
          <w:szCs w:val="24"/>
          <w:lang w:eastAsia="x-none"/>
        </w:rPr>
      </w:pPr>
    </w:p>
    <w:p w14:paraId="4104BA9D" w14:textId="04E999BC" w:rsidR="00365E70" w:rsidRDefault="00365E70" w:rsidP="00365E70">
      <w:pPr>
        <w:spacing w:after="120" w:line="240" w:lineRule="auto"/>
        <w:jc w:val="both"/>
        <w:rPr>
          <w:rFonts w:ascii="Times New Roman" w:eastAsia="Times New Roman" w:hAnsi="Times New Roman"/>
          <w:b/>
          <w:noProof/>
          <w:sz w:val="23"/>
          <w:szCs w:val="23"/>
          <w:lang w:eastAsia="en-GB"/>
        </w:rPr>
      </w:pPr>
      <w:r w:rsidRPr="0047104E">
        <w:rPr>
          <w:rFonts w:ascii="Times New Roman" w:eastAsia="Times New Roman" w:hAnsi="Times New Roman"/>
          <w:b/>
          <w:noProof/>
          <w:sz w:val="23"/>
          <w:szCs w:val="23"/>
          <w:lang w:eastAsia="en-GB"/>
        </w:rPr>
        <w:lastRenderedPageBreak/>
        <w:t>Table A: Contribution of industry groups to GVA growth (percentage point), Q</w:t>
      </w:r>
      <w:r w:rsidRPr="000A791A">
        <w:rPr>
          <w:rFonts w:ascii="Times New Roman" w:eastAsia="Times New Roman" w:hAnsi="Times New Roman"/>
          <w:b/>
          <w:noProof/>
          <w:sz w:val="23"/>
          <w:szCs w:val="23"/>
          <w:vertAlign w:val="subscript"/>
          <w:lang w:eastAsia="en-GB"/>
        </w:rPr>
        <w:t>1</w:t>
      </w:r>
      <w:r w:rsidR="0085230C">
        <w:rPr>
          <w:rFonts w:ascii="Times New Roman" w:eastAsia="Times New Roman" w:hAnsi="Times New Roman"/>
          <w:b/>
          <w:noProof/>
          <w:sz w:val="23"/>
          <w:szCs w:val="23"/>
          <w:lang w:eastAsia="en-GB"/>
        </w:rPr>
        <w:t xml:space="preserve"> 202</w:t>
      </w:r>
      <w:r w:rsidR="00605C76">
        <w:rPr>
          <w:rFonts w:ascii="Times New Roman" w:eastAsia="Times New Roman" w:hAnsi="Times New Roman"/>
          <w:b/>
          <w:noProof/>
          <w:sz w:val="23"/>
          <w:szCs w:val="23"/>
          <w:lang w:eastAsia="en-GB"/>
        </w:rPr>
        <w:t>5</w:t>
      </w:r>
      <w:r w:rsidR="00F7646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w:t>
      </w:r>
      <w:r w:rsidR="00F76465">
        <w:rPr>
          <w:rFonts w:ascii="Times New Roman" w:eastAsia="Times New Roman" w:hAnsi="Times New Roman"/>
          <w:b/>
          <w:noProof/>
          <w:sz w:val="23"/>
          <w:szCs w:val="23"/>
          <w:lang w:eastAsia="en-GB"/>
        </w:rPr>
        <w:t xml:space="preserve"> </w:t>
      </w:r>
      <w:r w:rsidR="00340DC5" w:rsidRPr="0047104E">
        <w:rPr>
          <w:rFonts w:ascii="Times New Roman" w:eastAsia="Times New Roman" w:hAnsi="Times New Roman"/>
          <w:b/>
          <w:noProof/>
          <w:sz w:val="23"/>
          <w:szCs w:val="23"/>
          <w:lang w:eastAsia="en-GB"/>
        </w:rPr>
        <w:t>Q</w:t>
      </w:r>
      <w:r w:rsidR="00605C76">
        <w:rPr>
          <w:rFonts w:ascii="Times New Roman" w:eastAsia="Times New Roman" w:hAnsi="Times New Roman"/>
          <w:b/>
          <w:noProof/>
          <w:sz w:val="23"/>
          <w:szCs w:val="23"/>
          <w:vertAlign w:val="subscript"/>
          <w:lang w:eastAsia="en-GB"/>
        </w:rPr>
        <w:t>4</w:t>
      </w:r>
      <w:r w:rsidR="00340DC5">
        <w:rPr>
          <w:rFonts w:ascii="Times New Roman" w:eastAsia="Times New Roman" w:hAnsi="Times New Roman"/>
          <w:b/>
          <w:noProof/>
          <w:sz w:val="23"/>
          <w:szCs w:val="23"/>
          <w:lang w:eastAsia="en-GB"/>
        </w:rPr>
        <w:t xml:space="preserve"> </w:t>
      </w:r>
      <w:r w:rsidR="003D28C3">
        <w:rPr>
          <w:rFonts w:ascii="Times New Roman" w:eastAsia="Times New Roman" w:hAnsi="Times New Roman"/>
          <w:b/>
          <w:noProof/>
          <w:sz w:val="23"/>
          <w:szCs w:val="23"/>
          <w:lang w:eastAsia="en-GB"/>
        </w:rPr>
        <w:t>202</w:t>
      </w:r>
      <w:r w:rsidR="009A0666">
        <w:rPr>
          <w:rFonts w:ascii="Times New Roman" w:eastAsia="Times New Roman" w:hAnsi="Times New Roman"/>
          <w:b/>
          <w:noProof/>
          <w:sz w:val="23"/>
          <w:szCs w:val="23"/>
          <w:lang w:eastAsia="en-GB"/>
        </w:rPr>
        <w:t>5</w:t>
      </w:r>
    </w:p>
    <w:p w14:paraId="6D77E28A" w14:textId="0109AD9A" w:rsidR="00274795" w:rsidRPr="0047104E" w:rsidRDefault="00605C76" w:rsidP="005B04CC">
      <w:pPr>
        <w:spacing w:after="120" w:line="240" w:lineRule="auto"/>
        <w:jc w:val="both"/>
        <w:rPr>
          <w:rFonts w:ascii="Times New Roman" w:eastAsia="Times New Roman" w:hAnsi="Times New Roman"/>
          <w:b/>
          <w:noProof/>
          <w:sz w:val="23"/>
          <w:szCs w:val="23"/>
          <w:lang w:eastAsia="en-GB"/>
        </w:rPr>
      </w:pPr>
      <w:r w:rsidRPr="00605C76">
        <w:rPr>
          <w:noProof/>
        </w:rPr>
        <w:drawing>
          <wp:inline distT="0" distB="0" distL="0" distR="0" wp14:anchorId="2521A97C" wp14:editId="6230ACC5">
            <wp:extent cx="6151245" cy="509778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1245" cy="5097780"/>
                    </a:xfrm>
                    <a:prstGeom prst="rect">
                      <a:avLst/>
                    </a:prstGeom>
                    <a:noFill/>
                    <a:ln>
                      <a:noFill/>
                    </a:ln>
                  </pic:spPr>
                </pic:pic>
              </a:graphicData>
            </a:graphic>
          </wp:inline>
        </w:drawing>
      </w:r>
    </w:p>
    <w:p w14:paraId="2B3AA93E" w14:textId="77777777" w:rsidR="005B04CC" w:rsidRPr="00C2332A"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val="x-none" w:eastAsia="x-none"/>
        </w:rPr>
        <w:t>Contri</w:t>
      </w:r>
      <w:r w:rsidR="00FA055A">
        <w:rPr>
          <w:rFonts w:ascii="Times New Roman" w:eastAsia="Times New Roman" w:hAnsi="Times New Roman"/>
          <w:sz w:val="17"/>
          <w:szCs w:val="17"/>
          <w:lang w:val="x-none" w:eastAsia="x-none"/>
        </w:rPr>
        <w:t>bution of an industry</w:t>
      </w:r>
      <w:r w:rsidR="00912B5E">
        <w:rPr>
          <w:rFonts w:ascii="Times New Roman" w:eastAsia="Times New Roman" w:hAnsi="Times New Roman"/>
          <w:sz w:val="17"/>
          <w:szCs w:val="17"/>
          <w:lang w:eastAsia="x-none"/>
        </w:rPr>
        <w:t xml:space="preserve"> group</w:t>
      </w:r>
      <w:r w:rsidR="00FA055A">
        <w:rPr>
          <w:rFonts w:ascii="Times New Roman" w:eastAsia="Times New Roman" w:hAnsi="Times New Roman"/>
          <w:sz w:val="17"/>
          <w:szCs w:val="17"/>
          <w:lang w:val="x-none" w:eastAsia="x-none"/>
        </w:rPr>
        <w:t xml:space="preserve"> to </w:t>
      </w:r>
      <w:r w:rsidR="00D85FAE">
        <w:rPr>
          <w:rFonts w:ascii="Times New Roman" w:eastAsia="Times New Roman" w:hAnsi="Times New Roman"/>
          <w:sz w:val="17"/>
          <w:szCs w:val="17"/>
          <w:lang w:val="x-none" w:eastAsia="x-none"/>
        </w:rPr>
        <w:t>GVA</w:t>
      </w:r>
      <w:r w:rsidRPr="00F259A9">
        <w:rPr>
          <w:rFonts w:ascii="Times New Roman" w:eastAsia="Times New Roman" w:hAnsi="Times New Roman"/>
          <w:sz w:val="17"/>
          <w:szCs w:val="17"/>
          <w:lang w:val="x-none" w:eastAsia="x-none"/>
        </w:rPr>
        <w:t xml:space="preserve"> growth is calculated as the product of its share in the economy and the y</w:t>
      </w:r>
      <w:r w:rsidR="00FA055A">
        <w:rPr>
          <w:rFonts w:ascii="Times New Roman" w:eastAsia="Times New Roman" w:hAnsi="Times New Roman"/>
          <w:sz w:val="17"/>
          <w:szCs w:val="17"/>
          <w:lang w:val="x-none" w:eastAsia="x-none"/>
        </w:rPr>
        <w:t>ear-on-</w:t>
      </w:r>
      <w:r w:rsidRPr="00F259A9">
        <w:rPr>
          <w:rFonts w:ascii="Times New Roman" w:eastAsia="Times New Roman" w:hAnsi="Times New Roman"/>
          <w:sz w:val="17"/>
          <w:szCs w:val="17"/>
          <w:lang w:val="x-none" w:eastAsia="x-none"/>
        </w:rPr>
        <w:t>year growth rate</w:t>
      </w:r>
      <w:r w:rsidR="00C2332A">
        <w:rPr>
          <w:rFonts w:ascii="Times New Roman" w:eastAsia="Times New Roman" w:hAnsi="Times New Roman"/>
          <w:sz w:val="17"/>
          <w:szCs w:val="17"/>
          <w:lang w:eastAsia="x-none"/>
        </w:rPr>
        <w:t>.</w:t>
      </w:r>
    </w:p>
    <w:p w14:paraId="047B7297" w14:textId="77777777" w:rsidR="005B04CC" w:rsidRDefault="005B04CC" w:rsidP="005B04CC">
      <w:pPr>
        <w:spacing w:after="120" w:line="240" w:lineRule="auto"/>
        <w:jc w:val="both"/>
        <w:rPr>
          <w:rFonts w:ascii="Times New Roman" w:eastAsia="Times New Roman" w:hAnsi="Times New Roman"/>
          <w:sz w:val="17"/>
          <w:szCs w:val="17"/>
          <w:lang w:eastAsia="x-none"/>
        </w:rPr>
      </w:pPr>
      <w:r w:rsidRPr="00F259A9">
        <w:rPr>
          <w:rFonts w:ascii="Times New Roman" w:eastAsia="Times New Roman" w:hAnsi="Times New Roman"/>
          <w:sz w:val="17"/>
          <w:szCs w:val="17"/>
          <w:lang w:eastAsia="x-none"/>
        </w:rPr>
        <w:t>Note: Figures may not add up to totals due to rounding</w:t>
      </w:r>
      <w:r w:rsidR="00C2332A">
        <w:rPr>
          <w:rFonts w:ascii="Times New Roman" w:eastAsia="Times New Roman" w:hAnsi="Times New Roman"/>
          <w:sz w:val="17"/>
          <w:szCs w:val="17"/>
          <w:lang w:eastAsia="x-none"/>
        </w:rPr>
        <w:t>.</w:t>
      </w:r>
    </w:p>
    <w:p w14:paraId="0EE7ADC6" w14:textId="77777777" w:rsidR="001C3BA3" w:rsidRDefault="001C3BA3" w:rsidP="005B04CC">
      <w:pPr>
        <w:spacing w:after="120" w:line="240" w:lineRule="auto"/>
        <w:jc w:val="both"/>
        <w:rPr>
          <w:rFonts w:ascii="Times New Roman" w:eastAsia="Times New Roman" w:hAnsi="Times New Roman"/>
          <w:sz w:val="17"/>
          <w:szCs w:val="17"/>
          <w:lang w:eastAsia="x-none"/>
        </w:rPr>
      </w:pPr>
    </w:p>
    <w:p w14:paraId="69025121" w14:textId="7FD10400" w:rsidR="005B04CC" w:rsidRDefault="005B04CC" w:rsidP="005B04CC">
      <w:pPr>
        <w:spacing w:after="120" w:line="240" w:lineRule="auto"/>
        <w:jc w:val="both"/>
        <w:rPr>
          <w:rFonts w:ascii="Times New Roman" w:eastAsia="Times New Roman" w:hAnsi="Times New Roman"/>
          <w:b/>
          <w:sz w:val="23"/>
          <w:szCs w:val="23"/>
          <w:lang w:eastAsia="x-none"/>
        </w:rPr>
      </w:pPr>
      <w:r w:rsidRPr="00F259A9">
        <w:rPr>
          <w:rFonts w:ascii="Times New Roman" w:eastAsia="Times New Roman" w:hAnsi="Times New Roman"/>
          <w:b/>
          <w:sz w:val="23"/>
          <w:szCs w:val="23"/>
          <w:lang w:eastAsia="x-none"/>
        </w:rPr>
        <w:t xml:space="preserve">Fig 3: Contribution of industry groups to GVA </w:t>
      </w:r>
      <w:r w:rsidR="00182236">
        <w:rPr>
          <w:rFonts w:ascii="Times New Roman" w:eastAsia="Times New Roman" w:hAnsi="Times New Roman"/>
          <w:b/>
          <w:sz w:val="23"/>
          <w:szCs w:val="23"/>
          <w:lang w:eastAsia="x-none"/>
        </w:rPr>
        <w:t>growth</w:t>
      </w:r>
      <w:r w:rsidR="00340961">
        <w:rPr>
          <w:rFonts w:ascii="Times New Roman" w:eastAsia="Times New Roman" w:hAnsi="Times New Roman"/>
          <w:b/>
          <w:sz w:val="23"/>
          <w:szCs w:val="23"/>
          <w:lang w:eastAsia="x-none"/>
        </w:rPr>
        <w:t xml:space="preserve"> (percentage point)</w:t>
      </w:r>
      <w:r w:rsidR="0051457C">
        <w:rPr>
          <w:rFonts w:ascii="Times New Roman" w:eastAsia="Times New Roman" w:hAnsi="Times New Roman"/>
          <w:b/>
          <w:sz w:val="23"/>
          <w:szCs w:val="23"/>
          <w:lang w:eastAsia="x-none"/>
        </w:rPr>
        <w:t xml:space="preserve">, </w:t>
      </w:r>
      <w:r w:rsidR="00605C76">
        <w:rPr>
          <w:rFonts w:ascii="Times New Roman" w:eastAsia="Times New Roman" w:hAnsi="Times New Roman"/>
          <w:b/>
          <w:sz w:val="23"/>
          <w:szCs w:val="23"/>
          <w:lang w:eastAsia="x-none"/>
        </w:rPr>
        <w:t>fourth</w:t>
      </w:r>
      <w:r w:rsidR="003D28C3">
        <w:rPr>
          <w:rFonts w:ascii="Times New Roman" w:eastAsia="Times New Roman" w:hAnsi="Times New Roman"/>
          <w:b/>
          <w:sz w:val="23"/>
          <w:szCs w:val="23"/>
          <w:lang w:eastAsia="x-none"/>
        </w:rPr>
        <w:t xml:space="preserve"> quarter 202</w:t>
      </w:r>
      <w:r w:rsidR="009A0666">
        <w:rPr>
          <w:rFonts w:ascii="Times New Roman" w:eastAsia="Times New Roman" w:hAnsi="Times New Roman"/>
          <w:b/>
          <w:sz w:val="23"/>
          <w:szCs w:val="23"/>
          <w:lang w:eastAsia="x-none"/>
        </w:rPr>
        <w:t>5</w:t>
      </w:r>
    </w:p>
    <w:p w14:paraId="2DBCB98A" w14:textId="1E66931A" w:rsidR="00A71078" w:rsidRDefault="00605C76" w:rsidP="005D013E">
      <w:pPr>
        <w:spacing w:after="120" w:line="240" w:lineRule="auto"/>
        <w:jc w:val="both"/>
        <w:rPr>
          <w:rFonts w:ascii="Times New Roman" w:eastAsia="Times New Roman" w:hAnsi="Times New Roman"/>
          <w:b/>
          <w:lang w:val="x-none" w:eastAsia="x-none"/>
        </w:rPr>
      </w:pPr>
      <w:r w:rsidRPr="00605C76">
        <w:rPr>
          <w:noProof/>
        </w:rPr>
        <w:drawing>
          <wp:inline distT="0" distB="0" distL="0" distR="0" wp14:anchorId="0288742C" wp14:editId="4D428E1F">
            <wp:extent cx="6151245" cy="3024505"/>
            <wp:effectExtent l="0" t="0" r="1905"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51245" cy="3024505"/>
                    </a:xfrm>
                    <a:prstGeom prst="rect">
                      <a:avLst/>
                    </a:prstGeom>
                    <a:noFill/>
                    <a:ln>
                      <a:noFill/>
                    </a:ln>
                  </pic:spPr>
                </pic:pic>
              </a:graphicData>
            </a:graphic>
          </wp:inline>
        </w:drawing>
      </w:r>
    </w:p>
    <w:p w14:paraId="30941E73" w14:textId="69B84DC6" w:rsidR="005B04CC" w:rsidRPr="003D317C" w:rsidRDefault="004168E7"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5</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Quarterly GDP by expenditure</w:t>
      </w:r>
    </w:p>
    <w:p w14:paraId="3D60F88B"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4C2BD35F" w14:textId="324D0AC0" w:rsidR="005B04CC" w:rsidRPr="003D317C" w:rsidRDefault="00905203"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5</w:t>
      </w:r>
      <w:r w:rsidR="005B04CC" w:rsidRPr="003D317C">
        <w:rPr>
          <w:rFonts w:ascii="Times New Roman" w:eastAsia="Times New Roman" w:hAnsi="Times New Roman"/>
          <w:b/>
          <w:i/>
          <w:sz w:val="24"/>
          <w:szCs w:val="24"/>
          <w:lang w:eastAsia="x-none"/>
        </w:rPr>
        <w:t>.1</w:t>
      </w:r>
      <w:r w:rsidR="005B04CC" w:rsidRPr="003D317C">
        <w:rPr>
          <w:rFonts w:ascii="Times New Roman" w:eastAsia="Times New Roman" w:hAnsi="Times New Roman"/>
          <w:b/>
          <w:i/>
          <w:sz w:val="24"/>
          <w:szCs w:val="24"/>
          <w:lang w:eastAsia="x-none"/>
        </w:rPr>
        <w:tab/>
        <w:t>Quarterly expenditure components at current prices</w:t>
      </w:r>
    </w:p>
    <w:p w14:paraId="4858CC69"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11A6BD60" w14:textId="5573EF95"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D</w:t>
      </w:r>
      <w:r w:rsidR="00D75BFB" w:rsidRPr="003D317C">
        <w:rPr>
          <w:rFonts w:ascii="Times New Roman" w:eastAsia="Times New Roman" w:hAnsi="Times New Roman"/>
          <w:sz w:val="24"/>
          <w:szCs w:val="24"/>
          <w:lang w:eastAsia="x-none"/>
        </w:rPr>
        <w:t xml:space="preserve">uring the </w:t>
      </w:r>
      <w:r w:rsidR="006631FB">
        <w:rPr>
          <w:rFonts w:ascii="Times New Roman" w:eastAsia="Times New Roman" w:hAnsi="Times New Roman"/>
          <w:sz w:val="24"/>
          <w:szCs w:val="24"/>
          <w:lang w:eastAsia="x-none"/>
        </w:rPr>
        <w:t>fourth</w:t>
      </w:r>
      <w:r w:rsidR="00F4587B" w:rsidRPr="003D317C">
        <w:rPr>
          <w:rFonts w:ascii="Times New Roman" w:eastAsia="Times New Roman" w:hAnsi="Times New Roman"/>
          <w:sz w:val="24"/>
          <w:szCs w:val="24"/>
          <w:lang w:eastAsia="x-none"/>
        </w:rPr>
        <w:t xml:space="preserve"> quarter of</w:t>
      </w:r>
      <w:r w:rsidR="00A85650">
        <w:rPr>
          <w:rFonts w:ascii="Times New Roman" w:eastAsia="Times New Roman" w:hAnsi="Times New Roman"/>
          <w:sz w:val="24"/>
          <w:szCs w:val="24"/>
          <w:lang w:eastAsia="x-none"/>
        </w:rPr>
        <w:t xml:space="preserve"> 202</w:t>
      </w:r>
      <w:r w:rsidR="009A0666">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xml:space="preserve">, final consumption expenditure which comprises </w:t>
      </w:r>
      <w:r w:rsidR="00A85650">
        <w:rPr>
          <w:rFonts w:ascii="Times New Roman" w:eastAsia="Times New Roman" w:hAnsi="Times New Roman"/>
          <w:sz w:val="24"/>
          <w:szCs w:val="24"/>
          <w:lang w:eastAsia="x-none"/>
        </w:rPr>
        <w:t xml:space="preserve">of </w:t>
      </w:r>
      <w:r w:rsidRPr="003D317C">
        <w:rPr>
          <w:rFonts w:ascii="Times New Roman" w:eastAsia="Times New Roman" w:hAnsi="Times New Roman"/>
          <w:sz w:val="24"/>
          <w:szCs w:val="24"/>
          <w:lang w:eastAsia="x-none"/>
        </w:rPr>
        <w:t>consumption expenditure of households and ge</w:t>
      </w:r>
      <w:r w:rsidR="000C4518" w:rsidRPr="003D317C">
        <w:rPr>
          <w:rFonts w:ascii="Times New Roman" w:eastAsia="Times New Roman" w:hAnsi="Times New Roman"/>
          <w:sz w:val="24"/>
          <w:szCs w:val="24"/>
          <w:lang w:eastAsia="x-none"/>
        </w:rPr>
        <w:t>neral government, amounted to R</w:t>
      </w:r>
      <w:r w:rsidR="00C921E2">
        <w:rPr>
          <w:rFonts w:ascii="Times New Roman" w:eastAsia="Times New Roman" w:hAnsi="Times New Roman"/>
          <w:sz w:val="24"/>
          <w:szCs w:val="24"/>
          <w:lang w:eastAsia="x-none"/>
        </w:rPr>
        <w:t>1</w:t>
      </w:r>
      <w:r w:rsidR="007E69C5">
        <w:rPr>
          <w:rFonts w:ascii="Times New Roman" w:eastAsia="Times New Roman" w:hAnsi="Times New Roman"/>
          <w:sz w:val="24"/>
          <w:szCs w:val="24"/>
          <w:lang w:eastAsia="x-none"/>
        </w:rPr>
        <w:t>79,112</w:t>
      </w:r>
      <w:r w:rsidR="00D75BFB" w:rsidRPr="003D317C">
        <w:rPr>
          <w:rFonts w:ascii="Times New Roman" w:eastAsia="Times New Roman" w:hAnsi="Times New Roman"/>
          <w:sz w:val="24"/>
          <w:szCs w:val="24"/>
          <w:lang w:eastAsia="x-none"/>
        </w:rPr>
        <w:t xml:space="preserve"> million, </w:t>
      </w:r>
      <w:r w:rsidR="00ED43F6" w:rsidRPr="003D317C">
        <w:rPr>
          <w:rFonts w:ascii="Times New Roman" w:eastAsia="Times New Roman" w:hAnsi="Times New Roman"/>
          <w:sz w:val="24"/>
          <w:szCs w:val="24"/>
          <w:lang w:eastAsia="x-none"/>
        </w:rPr>
        <w:t xml:space="preserve">representing </w:t>
      </w:r>
      <w:r w:rsidR="00BC177A">
        <w:rPr>
          <w:rFonts w:ascii="Times New Roman" w:eastAsia="Times New Roman" w:hAnsi="Times New Roman"/>
          <w:sz w:val="24"/>
          <w:szCs w:val="24"/>
          <w:lang w:eastAsia="x-none"/>
        </w:rPr>
        <w:t>8</w:t>
      </w:r>
      <w:r w:rsidR="007E69C5">
        <w:rPr>
          <w:rFonts w:ascii="Times New Roman" w:eastAsia="Times New Roman" w:hAnsi="Times New Roman"/>
          <w:sz w:val="24"/>
          <w:szCs w:val="24"/>
          <w:lang w:eastAsia="x-none"/>
        </w:rPr>
        <w:t>4</w:t>
      </w:r>
      <w:r w:rsidRPr="003D317C">
        <w:rPr>
          <w:rFonts w:ascii="Times New Roman" w:eastAsia="Times New Roman" w:hAnsi="Times New Roman"/>
          <w:sz w:val="24"/>
          <w:szCs w:val="24"/>
          <w:lang w:eastAsia="x-none"/>
        </w:rPr>
        <w:t xml:space="preserve">% of the quarterly GDP at market prices. </w:t>
      </w:r>
      <w:r w:rsidR="004D2A02">
        <w:rPr>
          <w:rFonts w:ascii="Times New Roman" w:eastAsia="Times New Roman" w:hAnsi="Times New Roman"/>
          <w:sz w:val="24"/>
          <w:szCs w:val="24"/>
          <w:lang w:eastAsia="x-none"/>
        </w:rPr>
        <w:t xml:space="preserve">Of the </w:t>
      </w:r>
      <w:r w:rsidR="00BC177A">
        <w:rPr>
          <w:rFonts w:ascii="Times New Roman" w:eastAsia="Times New Roman" w:hAnsi="Times New Roman"/>
          <w:sz w:val="24"/>
          <w:szCs w:val="24"/>
          <w:lang w:eastAsia="x-none"/>
        </w:rPr>
        <w:t>8</w:t>
      </w:r>
      <w:r w:rsidR="007E69C5">
        <w:rPr>
          <w:rFonts w:ascii="Times New Roman" w:eastAsia="Times New Roman" w:hAnsi="Times New Roman"/>
          <w:sz w:val="24"/>
          <w:szCs w:val="24"/>
          <w:lang w:eastAsia="x-none"/>
        </w:rPr>
        <w:t>4</w:t>
      </w:r>
      <w:r w:rsidR="00E16C8A">
        <w:rPr>
          <w:rFonts w:ascii="Times New Roman" w:eastAsia="Times New Roman" w:hAnsi="Times New Roman"/>
          <w:sz w:val="24"/>
          <w:szCs w:val="24"/>
          <w:lang w:eastAsia="x-none"/>
        </w:rPr>
        <w:t>% of the quarterly GDP, f</w:t>
      </w:r>
      <w:r w:rsidRPr="003D317C">
        <w:rPr>
          <w:rFonts w:ascii="Times New Roman" w:eastAsia="Times New Roman" w:hAnsi="Times New Roman"/>
          <w:sz w:val="24"/>
          <w:szCs w:val="24"/>
          <w:lang w:eastAsia="x-none"/>
        </w:rPr>
        <w:t>inal consumptio</w:t>
      </w:r>
      <w:r w:rsidR="00D75BFB" w:rsidRPr="003D317C">
        <w:rPr>
          <w:rFonts w:ascii="Times New Roman" w:eastAsia="Times New Roman" w:hAnsi="Times New Roman"/>
          <w:sz w:val="24"/>
          <w:szCs w:val="24"/>
          <w:lang w:eastAsia="x-none"/>
        </w:rPr>
        <w:t xml:space="preserve">n of </w:t>
      </w:r>
      <w:r w:rsidR="001559AE" w:rsidRPr="003D317C">
        <w:rPr>
          <w:rFonts w:ascii="Times New Roman" w:eastAsia="Times New Roman" w:hAnsi="Times New Roman"/>
          <w:sz w:val="24"/>
          <w:szCs w:val="24"/>
          <w:lang w:eastAsia="x-none"/>
        </w:rPr>
        <w:t xml:space="preserve">households </w:t>
      </w:r>
      <w:r w:rsidRPr="003D317C">
        <w:rPr>
          <w:rFonts w:ascii="Times New Roman" w:eastAsia="Times New Roman" w:hAnsi="Times New Roman"/>
          <w:sz w:val="24"/>
          <w:szCs w:val="24"/>
          <w:lang w:eastAsia="x-none"/>
        </w:rPr>
        <w:t>repre</w:t>
      </w:r>
      <w:r w:rsidR="00ED43F6" w:rsidRPr="003D317C">
        <w:rPr>
          <w:rFonts w:ascii="Times New Roman" w:eastAsia="Times New Roman" w:hAnsi="Times New Roman"/>
          <w:sz w:val="24"/>
          <w:szCs w:val="24"/>
          <w:lang w:eastAsia="x-none"/>
        </w:rPr>
        <w:t xml:space="preserve">sented </w:t>
      </w:r>
      <w:r w:rsidR="007E69C5">
        <w:rPr>
          <w:rFonts w:ascii="Times New Roman" w:eastAsia="Times New Roman" w:hAnsi="Times New Roman"/>
          <w:sz w:val="24"/>
          <w:szCs w:val="24"/>
          <w:lang w:eastAsia="x-none"/>
        </w:rPr>
        <w:t>71</w:t>
      </w:r>
      <w:r w:rsidRPr="003D317C">
        <w:rPr>
          <w:rFonts w:ascii="Times New Roman" w:eastAsia="Times New Roman" w:hAnsi="Times New Roman"/>
          <w:sz w:val="24"/>
          <w:szCs w:val="24"/>
          <w:lang w:eastAsia="x-none"/>
        </w:rPr>
        <w:t xml:space="preserve">% </w:t>
      </w:r>
      <w:r w:rsidR="00A85650">
        <w:rPr>
          <w:rFonts w:ascii="Times New Roman" w:eastAsia="Times New Roman" w:hAnsi="Times New Roman"/>
          <w:sz w:val="24"/>
          <w:szCs w:val="24"/>
          <w:lang w:eastAsia="x-none"/>
        </w:rPr>
        <w:t>or R</w:t>
      </w:r>
      <w:r w:rsidR="001F2AA3">
        <w:rPr>
          <w:rFonts w:ascii="Times New Roman" w:eastAsia="Times New Roman" w:hAnsi="Times New Roman"/>
          <w:sz w:val="24"/>
          <w:szCs w:val="24"/>
          <w:lang w:eastAsia="x-none"/>
        </w:rPr>
        <w:t>1</w:t>
      </w:r>
      <w:r w:rsidR="007E69C5">
        <w:rPr>
          <w:rFonts w:ascii="Times New Roman" w:eastAsia="Times New Roman" w:hAnsi="Times New Roman"/>
          <w:sz w:val="24"/>
          <w:szCs w:val="24"/>
          <w:lang w:eastAsia="x-none"/>
        </w:rPr>
        <w:t>51,964</w:t>
      </w:r>
      <w:r w:rsidR="00E32819">
        <w:rPr>
          <w:rFonts w:ascii="Times New Roman" w:eastAsia="Times New Roman" w:hAnsi="Times New Roman"/>
          <w:sz w:val="24"/>
          <w:szCs w:val="24"/>
          <w:lang w:eastAsia="x-none"/>
        </w:rPr>
        <w:t xml:space="preserve"> million </w:t>
      </w:r>
      <w:r w:rsidRPr="003D317C">
        <w:rPr>
          <w:rFonts w:ascii="Times New Roman" w:eastAsia="Times New Roman" w:hAnsi="Times New Roman"/>
          <w:sz w:val="24"/>
          <w:szCs w:val="24"/>
          <w:lang w:eastAsia="x-none"/>
        </w:rPr>
        <w:t>and that of gen</w:t>
      </w:r>
      <w:r w:rsidR="000C4518" w:rsidRPr="003D317C">
        <w:rPr>
          <w:rFonts w:ascii="Times New Roman" w:eastAsia="Times New Roman" w:hAnsi="Times New Roman"/>
          <w:sz w:val="24"/>
          <w:szCs w:val="24"/>
          <w:lang w:eastAsia="x-none"/>
        </w:rPr>
        <w:t>eral government</w:t>
      </w:r>
      <w:r w:rsidR="00C921E2">
        <w:rPr>
          <w:rFonts w:ascii="Times New Roman" w:eastAsia="Times New Roman" w:hAnsi="Times New Roman"/>
          <w:sz w:val="24"/>
          <w:szCs w:val="24"/>
          <w:lang w:eastAsia="x-none"/>
        </w:rPr>
        <w:t xml:space="preserve"> 1</w:t>
      </w:r>
      <w:r w:rsidR="007E69C5">
        <w:rPr>
          <w:rFonts w:ascii="Times New Roman" w:eastAsia="Times New Roman" w:hAnsi="Times New Roman"/>
          <w:sz w:val="24"/>
          <w:szCs w:val="24"/>
          <w:lang w:eastAsia="x-none"/>
        </w:rPr>
        <w:t>3</w:t>
      </w:r>
      <w:r w:rsidR="008B5966" w:rsidRPr="003D317C">
        <w:rPr>
          <w:rFonts w:ascii="Times New Roman" w:eastAsia="Times New Roman" w:hAnsi="Times New Roman"/>
          <w:sz w:val="24"/>
          <w:szCs w:val="24"/>
          <w:lang w:eastAsia="x-none"/>
        </w:rPr>
        <w:t>% or R</w:t>
      </w:r>
      <w:r w:rsidR="001F2AA3">
        <w:rPr>
          <w:rFonts w:ascii="Times New Roman" w:eastAsia="Times New Roman" w:hAnsi="Times New Roman"/>
          <w:sz w:val="24"/>
          <w:szCs w:val="24"/>
          <w:lang w:eastAsia="x-none"/>
        </w:rPr>
        <w:t>2</w:t>
      </w:r>
      <w:r w:rsidR="007E69C5">
        <w:rPr>
          <w:rFonts w:ascii="Times New Roman" w:eastAsia="Times New Roman" w:hAnsi="Times New Roman"/>
          <w:sz w:val="24"/>
          <w:szCs w:val="24"/>
          <w:lang w:eastAsia="x-none"/>
        </w:rPr>
        <w:t>7,148</w:t>
      </w:r>
      <w:r w:rsidR="008B5966" w:rsidRPr="003D317C">
        <w:rPr>
          <w:rFonts w:ascii="Times New Roman" w:eastAsia="Times New Roman" w:hAnsi="Times New Roman"/>
          <w:sz w:val="24"/>
          <w:szCs w:val="24"/>
          <w:lang w:eastAsia="x-none"/>
        </w:rPr>
        <w:t xml:space="preserve"> million</w:t>
      </w:r>
      <w:r w:rsidRPr="003D317C">
        <w:rPr>
          <w:rFonts w:ascii="Times New Roman" w:eastAsia="Times New Roman" w:hAnsi="Times New Roman"/>
          <w:sz w:val="24"/>
          <w:szCs w:val="24"/>
          <w:lang w:eastAsia="x-none"/>
        </w:rPr>
        <w:t xml:space="preserve"> (Table 3).</w:t>
      </w:r>
    </w:p>
    <w:p w14:paraId="44BBCE90" w14:textId="77777777" w:rsidR="008B5966" w:rsidRPr="003D317C" w:rsidRDefault="008B5966" w:rsidP="005B04CC">
      <w:pPr>
        <w:spacing w:after="0" w:line="240" w:lineRule="auto"/>
        <w:ind w:firstLine="720"/>
        <w:jc w:val="both"/>
        <w:rPr>
          <w:rFonts w:ascii="Times New Roman" w:eastAsia="Times New Roman" w:hAnsi="Times New Roman"/>
          <w:sz w:val="24"/>
          <w:szCs w:val="24"/>
          <w:lang w:eastAsia="x-none"/>
        </w:rPr>
      </w:pPr>
    </w:p>
    <w:p w14:paraId="73F0371C" w14:textId="278E3712"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Analysis of quarterly data shows seasonality in household consumption expenditure with highest consumption occurring dur</w:t>
      </w:r>
      <w:r w:rsidR="00C921E2">
        <w:rPr>
          <w:rFonts w:ascii="Times New Roman" w:eastAsia="Times New Roman" w:hAnsi="Times New Roman"/>
          <w:sz w:val="24"/>
          <w:szCs w:val="24"/>
          <w:lang w:eastAsia="x-none"/>
        </w:rPr>
        <w:t>ing the fourth quarters. In 202</w:t>
      </w:r>
      <w:r w:rsidR="001F64CC">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xml:space="preserve">, it is noted that household consumption expenditure during the fourth quarter represented </w:t>
      </w:r>
      <w:r w:rsidR="00C921E2">
        <w:rPr>
          <w:rFonts w:ascii="Times New Roman" w:eastAsia="Times New Roman" w:hAnsi="Times New Roman"/>
          <w:sz w:val="24"/>
          <w:szCs w:val="24"/>
          <w:lang w:eastAsia="x-none"/>
        </w:rPr>
        <w:t>3</w:t>
      </w:r>
      <w:r w:rsidR="00F77B45">
        <w:rPr>
          <w:rFonts w:ascii="Times New Roman" w:eastAsia="Times New Roman" w:hAnsi="Times New Roman"/>
          <w:sz w:val="24"/>
          <w:szCs w:val="24"/>
          <w:lang w:eastAsia="x-none"/>
        </w:rPr>
        <w:t>0</w:t>
      </w:r>
      <w:r w:rsidRPr="003D317C">
        <w:rPr>
          <w:rFonts w:ascii="Times New Roman" w:eastAsia="Times New Roman" w:hAnsi="Times New Roman"/>
          <w:sz w:val="24"/>
          <w:szCs w:val="24"/>
          <w:lang w:eastAsia="x-none"/>
        </w:rPr>
        <w:t xml:space="preserve">% of the yearly total compared to </w:t>
      </w:r>
      <w:r w:rsidR="00C921E2">
        <w:rPr>
          <w:rFonts w:ascii="Times New Roman" w:eastAsia="Times New Roman" w:hAnsi="Times New Roman"/>
          <w:sz w:val="24"/>
          <w:szCs w:val="24"/>
          <w:lang w:eastAsia="x-none"/>
        </w:rPr>
        <w:t>2</w:t>
      </w:r>
      <w:r w:rsidR="00DC79C9">
        <w:rPr>
          <w:rFonts w:ascii="Times New Roman" w:eastAsia="Times New Roman" w:hAnsi="Times New Roman"/>
          <w:sz w:val="24"/>
          <w:szCs w:val="24"/>
          <w:lang w:eastAsia="x-none"/>
        </w:rPr>
        <w:t>2</w:t>
      </w:r>
      <w:r w:rsidRPr="003D317C">
        <w:rPr>
          <w:rFonts w:ascii="Times New Roman" w:eastAsia="Times New Roman" w:hAnsi="Times New Roman"/>
          <w:sz w:val="24"/>
          <w:szCs w:val="24"/>
          <w:lang w:eastAsia="x-none"/>
        </w:rPr>
        <w:t>% in the first</w:t>
      </w:r>
      <w:r w:rsidR="0030672F">
        <w:rPr>
          <w:rFonts w:ascii="Times New Roman" w:eastAsia="Times New Roman" w:hAnsi="Times New Roman"/>
          <w:sz w:val="24"/>
          <w:szCs w:val="24"/>
          <w:lang w:eastAsia="x-none"/>
        </w:rPr>
        <w:t xml:space="preserve"> quarter, 23% in the </w:t>
      </w:r>
      <w:r w:rsidR="00F77B45">
        <w:rPr>
          <w:rFonts w:ascii="Times New Roman" w:eastAsia="Times New Roman" w:hAnsi="Times New Roman"/>
          <w:sz w:val="24"/>
          <w:szCs w:val="24"/>
          <w:lang w:eastAsia="x-none"/>
        </w:rPr>
        <w:t xml:space="preserve">second </w:t>
      </w:r>
      <w:r w:rsidRPr="003D317C">
        <w:rPr>
          <w:rFonts w:ascii="Times New Roman" w:eastAsia="Times New Roman" w:hAnsi="Times New Roman"/>
          <w:sz w:val="24"/>
          <w:szCs w:val="24"/>
          <w:lang w:eastAsia="x-none"/>
        </w:rPr>
        <w:t>quarter</w:t>
      </w:r>
      <w:r w:rsidR="00F77B45">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 xml:space="preserve">, and </w:t>
      </w:r>
      <w:r w:rsidR="00B2351A">
        <w:rPr>
          <w:rFonts w:ascii="Times New Roman" w:eastAsia="Times New Roman" w:hAnsi="Times New Roman"/>
          <w:sz w:val="24"/>
          <w:szCs w:val="24"/>
          <w:lang w:eastAsia="x-none"/>
        </w:rPr>
        <w:t>2</w:t>
      </w:r>
      <w:r w:rsidR="0030672F">
        <w:rPr>
          <w:rFonts w:ascii="Times New Roman" w:eastAsia="Times New Roman" w:hAnsi="Times New Roman"/>
          <w:sz w:val="24"/>
          <w:szCs w:val="24"/>
          <w:lang w:eastAsia="x-none"/>
        </w:rPr>
        <w:t>5</w:t>
      </w:r>
      <w:r w:rsidRPr="003D317C">
        <w:rPr>
          <w:rFonts w:ascii="Times New Roman" w:eastAsia="Times New Roman" w:hAnsi="Times New Roman"/>
          <w:sz w:val="24"/>
          <w:szCs w:val="24"/>
          <w:lang w:eastAsia="x-none"/>
        </w:rPr>
        <w:t>% in the third quarter.</w:t>
      </w:r>
    </w:p>
    <w:p w14:paraId="617F3457"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6807E184" w14:textId="2B874054"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“Exports of goods”</w:t>
      </w:r>
      <w:r w:rsidR="00972EFB" w:rsidRPr="003D317C">
        <w:rPr>
          <w:rFonts w:ascii="Times New Roman" w:eastAsia="Times New Roman" w:hAnsi="Times New Roman"/>
          <w:sz w:val="24"/>
          <w:szCs w:val="24"/>
          <w:lang w:eastAsia="x-none"/>
        </w:rPr>
        <w:t xml:space="preserve"> are generally lowest in the first quarters</w:t>
      </w:r>
      <w:r w:rsidR="00590F30" w:rsidRPr="003D317C">
        <w:rPr>
          <w:rFonts w:ascii="Times New Roman" w:eastAsia="Times New Roman" w:hAnsi="Times New Roman"/>
          <w:sz w:val="24"/>
          <w:szCs w:val="24"/>
          <w:lang w:eastAsia="x-none"/>
        </w:rPr>
        <w:t>.</w:t>
      </w:r>
      <w:r w:rsidR="00290CF1" w:rsidRPr="003D317C">
        <w:rPr>
          <w:rFonts w:ascii="Times New Roman" w:eastAsia="Times New Roman" w:hAnsi="Times New Roman"/>
          <w:color w:val="FF0000"/>
          <w:sz w:val="24"/>
          <w:szCs w:val="24"/>
          <w:lang w:eastAsia="x-none"/>
        </w:rPr>
        <w:t xml:space="preserve"> </w:t>
      </w:r>
      <w:r w:rsidRPr="003D317C">
        <w:rPr>
          <w:rFonts w:ascii="Times New Roman" w:eastAsia="Times New Roman" w:hAnsi="Times New Roman"/>
          <w:sz w:val="24"/>
          <w:szCs w:val="24"/>
          <w:lang w:eastAsia="x-none"/>
        </w:rPr>
        <w:t>“Exports of services”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which comprises mainly tourist earnings and revenue of the national airline from foreign travellers</w:t>
      </w:r>
      <w:r w:rsidR="00B3763A">
        <w:rPr>
          <w:rFonts w:ascii="Times New Roman" w:eastAsia="Times New Roman" w:hAnsi="Times New Roman"/>
          <w:sz w:val="24"/>
          <w:szCs w:val="24"/>
          <w:lang w:eastAsia="x-none"/>
        </w:rPr>
        <w:t>,</w:t>
      </w:r>
      <w:r w:rsidRPr="003D317C">
        <w:rPr>
          <w:rFonts w:ascii="Times New Roman" w:eastAsia="Times New Roman" w:hAnsi="Times New Roman"/>
          <w:sz w:val="24"/>
          <w:szCs w:val="24"/>
          <w:lang w:eastAsia="x-none"/>
        </w:rPr>
        <w:t xml:space="preserve"> are normally highest during the fourth quarter</w:t>
      </w:r>
      <w:r w:rsidR="006870CA">
        <w:rPr>
          <w:rFonts w:ascii="Times New Roman" w:eastAsia="Times New Roman" w:hAnsi="Times New Roman"/>
          <w:sz w:val="24"/>
          <w:szCs w:val="24"/>
          <w:lang w:eastAsia="x-none"/>
        </w:rPr>
        <w:t>s</w:t>
      </w:r>
      <w:r w:rsidRPr="003D317C">
        <w:rPr>
          <w:rFonts w:ascii="Times New Roman" w:eastAsia="Times New Roman" w:hAnsi="Times New Roman"/>
          <w:sz w:val="24"/>
          <w:szCs w:val="24"/>
          <w:lang w:eastAsia="x-none"/>
        </w:rPr>
        <w:t>.</w:t>
      </w:r>
    </w:p>
    <w:p w14:paraId="11638515"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31F54155"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 xml:space="preserve">Imports of goods are highest in the fourth quarters, mainly explained by high consumption at the end of the year. Import of services are generally highest in the fourth quarters. </w:t>
      </w:r>
    </w:p>
    <w:p w14:paraId="28D83764"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09D1C52F"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There is no distinct seasonal pattern in the data for general government consumption expenditure and Gross Fixed Capital Formation (GFCF).</w:t>
      </w:r>
    </w:p>
    <w:p w14:paraId="4F8644FC" w14:textId="77777777" w:rsidR="005B04CC" w:rsidRPr="003D317C" w:rsidRDefault="005B04CC" w:rsidP="005B04CC">
      <w:pPr>
        <w:spacing w:after="0" w:line="240" w:lineRule="auto"/>
        <w:jc w:val="both"/>
        <w:rPr>
          <w:rFonts w:ascii="Times New Roman" w:eastAsia="Times New Roman" w:hAnsi="Times New Roman"/>
          <w:b/>
          <w:i/>
          <w:sz w:val="24"/>
          <w:szCs w:val="24"/>
          <w:lang w:eastAsia="x-none"/>
        </w:rPr>
      </w:pPr>
    </w:p>
    <w:p w14:paraId="6D115821" w14:textId="77777777" w:rsidR="005B04CC" w:rsidRDefault="005B04CC" w:rsidP="005B04CC">
      <w:pPr>
        <w:spacing w:after="0" w:line="240" w:lineRule="auto"/>
        <w:jc w:val="both"/>
        <w:rPr>
          <w:rFonts w:ascii="Times New Roman" w:eastAsia="Times New Roman" w:hAnsi="Times New Roman"/>
          <w:b/>
          <w:i/>
          <w:sz w:val="24"/>
          <w:szCs w:val="24"/>
          <w:lang w:eastAsia="x-none"/>
        </w:rPr>
      </w:pPr>
    </w:p>
    <w:p w14:paraId="4D6EC8FF" w14:textId="480C9D94" w:rsidR="005B04CC" w:rsidRPr="003D317C" w:rsidRDefault="00394995" w:rsidP="005B04CC">
      <w:pPr>
        <w:spacing w:after="0" w:line="240" w:lineRule="auto"/>
        <w:jc w:val="both"/>
        <w:rPr>
          <w:rFonts w:ascii="Times New Roman" w:eastAsia="Times New Roman" w:hAnsi="Times New Roman"/>
          <w:b/>
          <w:i/>
          <w:sz w:val="24"/>
          <w:szCs w:val="24"/>
          <w:lang w:eastAsia="x-none"/>
        </w:rPr>
      </w:pPr>
      <w:r>
        <w:rPr>
          <w:rFonts w:ascii="Times New Roman" w:eastAsia="Times New Roman" w:hAnsi="Times New Roman"/>
          <w:b/>
          <w:i/>
          <w:sz w:val="24"/>
          <w:szCs w:val="24"/>
          <w:lang w:eastAsia="x-none"/>
        </w:rPr>
        <w:t>5</w:t>
      </w:r>
      <w:r w:rsidR="005B04CC" w:rsidRPr="003D317C">
        <w:rPr>
          <w:rFonts w:ascii="Times New Roman" w:eastAsia="Times New Roman" w:hAnsi="Times New Roman"/>
          <w:b/>
          <w:i/>
          <w:sz w:val="24"/>
          <w:szCs w:val="24"/>
          <w:lang w:eastAsia="x-none"/>
        </w:rPr>
        <w:t xml:space="preserve">.2 </w:t>
      </w:r>
      <w:r w:rsidR="005B04CC" w:rsidRPr="003D317C">
        <w:rPr>
          <w:rFonts w:ascii="Times New Roman" w:eastAsia="Times New Roman" w:hAnsi="Times New Roman"/>
          <w:b/>
          <w:i/>
          <w:sz w:val="24"/>
          <w:szCs w:val="24"/>
          <w:lang w:eastAsia="x-none"/>
        </w:rPr>
        <w:tab/>
        <w:t xml:space="preserve">Growth rates (year-on-year) of expenditure components, </w:t>
      </w:r>
      <w:r w:rsidR="00113F4C" w:rsidRPr="003D317C">
        <w:rPr>
          <w:rFonts w:ascii="Times New Roman" w:eastAsia="Times New Roman" w:hAnsi="Times New Roman"/>
          <w:b/>
          <w:i/>
          <w:sz w:val="24"/>
          <w:szCs w:val="24"/>
          <w:lang w:eastAsia="x-none"/>
        </w:rPr>
        <w:t>Q</w:t>
      </w:r>
      <w:r w:rsidR="00DB1358">
        <w:rPr>
          <w:rFonts w:ascii="Times New Roman" w:eastAsia="Times New Roman" w:hAnsi="Times New Roman"/>
          <w:b/>
          <w:i/>
          <w:sz w:val="24"/>
          <w:szCs w:val="24"/>
          <w:vertAlign w:val="subscript"/>
          <w:lang w:eastAsia="x-none"/>
        </w:rPr>
        <w:t>4</w:t>
      </w:r>
      <w:r w:rsidR="00113F4C">
        <w:rPr>
          <w:rFonts w:ascii="Times New Roman" w:eastAsia="Times New Roman" w:hAnsi="Times New Roman"/>
          <w:b/>
          <w:i/>
          <w:sz w:val="24"/>
          <w:szCs w:val="24"/>
          <w:lang w:eastAsia="x-none"/>
        </w:rPr>
        <w:t xml:space="preserve"> </w:t>
      </w:r>
      <w:r w:rsidR="003D28C3">
        <w:rPr>
          <w:rFonts w:ascii="Times New Roman" w:eastAsia="Times New Roman" w:hAnsi="Times New Roman"/>
          <w:b/>
          <w:i/>
          <w:sz w:val="24"/>
          <w:szCs w:val="24"/>
          <w:lang w:eastAsia="x-none"/>
        </w:rPr>
        <w:t>202</w:t>
      </w:r>
      <w:r w:rsidR="0097018E">
        <w:rPr>
          <w:rFonts w:ascii="Times New Roman" w:eastAsia="Times New Roman" w:hAnsi="Times New Roman"/>
          <w:b/>
          <w:i/>
          <w:sz w:val="24"/>
          <w:szCs w:val="24"/>
          <w:lang w:eastAsia="x-none"/>
        </w:rPr>
        <w:t>5</w:t>
      </w:r>
      <w:r w:rsidR="00D4539B">
        <w:rPr>
          <w:rFonts w:ascii="Times New Roman" w:eastAsia="Times New Roman" w:hAnsi="Times New Roman"/>
          <w:b/>
          <w:i/>
          <w:sz w:val="24"/>
          <w:szCs w:val="24"/>
          <w:lang w:eastAsia="x-none"/>
        </w:rPr>
        <w:t xml:space="preserve"> – Table 4</w:t>
      </w:r>
    </w:p>
    <w:p w14:paraId="2E21C4C4" w14:textId="77777777" w:rsidR="005B04CC" w:rsidRPr="003D317C" w:rsidRDefault="005B04CC" w:rsidP="005B04CC">
      <w:pPr>
        <w:spacing w:after="0" w:line="240" w:lineRule="auto"/>
        <w:jc w:val="both"/>
        <w:rPr>
          <w:rFonts w:ascii="Times New Roman" w:eastAsia="Times New Roman" w:hAnsi="Times New Roman"/>
          <w:sz w:val="24"/>
          <w:szCs w:val="24"/>
          <w:lang w:eastAsia="x-none"/>
        </w:rPr>
      </w:pPr>
    </w:p>
    <w:p w14:paraId="60865CC8" w14:textId="1712552F" w:rsidR="005B04CC" w:rsidRPr="003D317C" w:rsidRDefault="00B3763A" w:rsidP="005B04CC">
      <w:pPr>
        <w:spacing w:after="0" w:line="240" w:lineRule="auto"/>
        <w:ind w:firstLine="720"/>
        <w:jc w:val="both"/>
        <w:rPr>
          <w:rFonts w:ascii="Times New Roman" w:eastAsia="Times New Roman" w:hAnsi="Times New Roman"/>
          <w:sz w:val="24"/>
          <w:szCs w:val="24"/>
          <w:lang w:eastAsia="x-none"/>
        </w:rPr>
      </w:pPr>
      <w:r>
        <w:rPr>
          <w:rFonts w:ascii="Times New Roman" w:eastAsia="Times New Roman" w:hAnsi="Times New Roman"/>
          <w:sz w:val="24"/>
          <w:szCs w:val="24"/>
          <w:lang w:eastAsia="x-none"/>
        </w:rPr>
        <w:t>Analysis of year-on-</w:t>
      </w:r>
      <w:r w:rsidR="005B04CC" w:rsidRPr="003D317C">
        <w:rPr>
          <w:rFonts w:ascii="Times New Roman" w:eastAsia="Times New Roman" w:hAnsi="Times New Roman"/>
          <w:sz w:val="24"/>
          <w:szCs w:val="24"/>
          <w:lang w:eastAsia="x-none"/>
        </w:rPr>
        <w:t>year quarterly GDP by expenditure shows that total final consumption expenditur</w:t>
      </w:r>
      <w:r w:rsidR="003C1E4E" w:rsidRPr="003D317C">
        <w:rPr>
          <w:rFonts w:ascii="Times New Roman" w:eastAsia="Times New Roman" w:hAnsi="Times New Roman"/>
          <w:sz w:val="24"/>
          <w:szCs w:val="24"/>
          <w:lang w:eastAsia="x-none"/>
        </w:rPr>
        <w:t xml:space="preserve">e in real </w:t>
      </w:r>
      <w:r w:rsidR="00264980">
        <w:rPr>
          <w:rFonts w:ascii="Times New Roman" w:eastAsia="Times New Roman" w:hAnsi="Times New Roman"/>
          <w:sz w:val="24"/>
          <w:szCs w:val="24"/>
          <w:lang w:eastAsia="x-none"/>
        </w:rPr>
        <w:t>terms</w:t>
      </w:r>
      <w:r w:rsidR="00694CA5">
        <w:rPr>
          <w:rFonts w:ascii="Times New Roman" w:eastAsia="Times New Roman" w:hAnsi="Times New Roman"/>
          <w:sz w:val="24"/>
          <w:szCs w:val="24"/>
          <w:lang w:eastAsia="x-none"/>
        </w:rPr>
        <w:t xml:space="preserve"> increased by </w:t>
      </w:r>
      <w:r w:rsidR="009847F1">
        <w:rPr>
          <w:rFonts w:ascii="Times New Roman" w:eastAsia="Times New Roman" w:hAnsi="Times New Roman"/>
          <w:sz w:val="24"/>
          <w:szCs w:val="24"/>
          <w:lang w:eastAsia="x-none"/>
        </w:rPr>
        <w:t>1.</w:t>
      </w:r>
      <w:r w:rsidR="00DB1358">
        <w:rPr>
          <w:rFonts w:ascii="Times New Roman" w:eastAsia="Times New Roman" w:hAnsi="Times New Roman"/>
          <w:sz w:val="24"/>
          <w:szCs w:val="24"/>
          <w:lang w:eastAsia="x-none"/>
        </w:rPr>
        <w:t>1</w:t>
      </w:r>
      <w:r w:rsidR="00535DE4" w:rsidRPr="003D317C">
        <w:rPr>
          <w:rFonts w:ascii="Times New Roman" w:eastAsia="Times New Roman" w:hAnsi="Times New Roman"/>
          <w:sz w:val="24"/>
          <w:szCs w:val="24"/>
          <w:lang w:eastAsia="x-none"/>
        </w:rPr>
        <w:t>% in</w:t>
      </w:r>
      <w:r w:rsidR="00547F6B">
        <w:rPr>
          <w:rFonts w:ascii="Times New Roman" w:eastAsia="Times New Roman" w:hAnsi="Times New Roman"/>
          <w:sz w:val="24"/>
          <w:szCs w:val="24"/>
          <w:lang w:eastAsia="x-none"/>
        </w:rPr>
        <w:t xml:space="preserve"> the </w:t>
      </w:r>
      <w:r w:rsidR="00DB1358">
        <w:rPr>
          <w:rFonts w:ascii="Times New Roman" w:eastAsia="Times New Roman" w:hAnsi="Times New Roman"/>
          <w:sz w:val="24"/>
          <w:szCs w:val="24"/>
          <w:lang w:eastAsia="x-none"/>
        </w:rPr>
        <w:t>fourth</w:t>
      </w:r>
      <w:r w:rsidR="00547F6B">
        <w:rPr>
          <w:rFonts w:ascii="Times New Roman" w:eastAsia="Times New Roman" w:hAnsi="Times New Roman"/>
          <w:sz w:val="24"/>
          <w:szCs w:val="24"/>
          <w:lang w:eastAsia="x-none"/>
        </w:rPr>
        <w:t xml:space="preserve"> quarter of 202</w:t>
      </w:r>
      <w:r w:rsidR="0097018E">
        <w:rPr>
          <w:rFonts w:ascii="Times New Roman" w:eastAsia="Times New Roman" w:hAnsi="Times New Roman"/>
          <w:sz w:val="24"/>
          <w:szCs w:val="24"/>
          <w:lang w:eastAsia="x-none"/>
        </w:rPr>
        <w:t>5</w:t>
      </w:r>
      <w:r w:rsidR="005B04CC" w:rsidRPr="003D317C">
        <w:rPr>
          <w:rFonts w:ascii="Times New Roman" w:eastAsia="Times New Roman" w:hAnsi="Times New Roman"/>
          <w:sz w:val="24"/>
          <w:szCs w:val="24"/>
          <w:lang w:eastAsia="x-none"/>
        </w:rPr>
        <w:t xml:space="preserve"> when compared to t</w:t>
      </w:r>
      <w:r w:rsidR="00547F6B">
        <w:rPr>
          <w:rFonts w:ascii="Times New Roman" w:eastAsia="Times New Roman" w:hAnsi="Times New Roman"/>
          <w:sz w:val="24"/>
          <w:szCs w:val="24"/>
          <w:lang w:eastAsia="x-none"/>
        </w:rPr>
        <w:t>he corresponding quarter of 202</w:t>
      </w:r>
      <w:r w:rsidR="0097018E">
        <w:rPr>
          <w:rFonts w:ascii="Times New Roman" w:eastAsia="Times New Roman" w:hAnsi="Times New Roman"/>
          <w:sz w:val="24"/>
          <w:szCs w:val="24"/>
          <w:lang w:eastAsia="x-none"/>
        </w:rPr>
        <w:t>4</w:t>
      </w:r>
      <w:r w:rsidR="005B04CC" w:rsidRPr="003D317C">
        <w:rPr>
          <w:rFonts w:ascii="Times New Roman" w:eastAsia="Times New Roman" w:hAnsi="Times New Roman"/>
          <w:sz w:val="24"/>
          <w:szCs w:val="24"/>
          <w:lang w:eastAsia="x-none"/>
        </w:rPr>
        <w:t xml:space="preserve">. </w:t>
      </w:r>
      <w:r w:rsidR="00066D33" w:rsidRPr="003D317C">
        <w:rPr>
          <w:rFonts w:ascii="Times New Roman" w:eastAsia="Times New Roman" w:hAnsi="Times New Roman"/>
          <w:sz w:val="24"/>
          <w:szCs w:val="24"/>
          <w:lang w:eastAsia="x-none"/>
        </w:rPr>
        <w:t>F</w:t>
      </w:r>
      <w:r w:rsidR="005B04CC" w:rsidRPr="003D317C">
        <w:rPr>
          <w:rFonts w:ascii="Times New Roman" w:eastAsia="Times New Roman" w:hAnsi="Times New Roman"/>
          <w:sz w:val="24"/>
          <w:szCs w:val="24"/>
          <w:lang w:eastAsia="x-none"/>
        </w:rPr>
        <w:t xml:space="preserve">inal consumption expenditure of households </w:t>
      </w:r>
      <w:r w:rsidR="00694CA5">
        <w:rPr>
          <w:rFonts w:ascii="Times New Roman" w:eastAsia="Times New Roman" w:hAnsi="Times New Roman"/>
          <w:sz w:val="24"/>
          <w:szCs w:val="24"/>
          <w:lang w:eastAsia="x-none"/>
        </w:rPr>
        <w:t xml:space="preserve">increased </w:t>
      </w:r>
      <w:r w:rsidR="00264980">
        <w:rPr>
          <w:rFonts w:ascii="Times New Roman" w:eastAsia="Times New Roman" w:hAnsi="Times New Roman"/>
          <w:sz w:val="24"/>
          <w:szCs w:val="24"/>
          <w:lang w:eastAsia="x-none"/>
        </w:rPr>
        <w:t xml:space="preserve">by </w:t>
      </w:r>
      <w:r w:rsidR="009847F1">
        <w:rPr>
          <w:rFonts w:ascii="Times New Roman" w:eastAsia="Times New Roman" w:hAnsi="Times New Roman"/>
          <w:sz w:val="24"/>
          <w:szCs w:val="24"/>
          <w:lang w:eastAsia="x-none"/>
        </w:rPr>
        <w:t>1.</w:t>
      </w:r>
      <w:r w:rsidR="00DB1358">
        <w:rPr>
          <w:rFonts w:ascii="Times New Roman" w:eastAsia="Times New Roman" w:hAnsi="Times New Roman"/>
          <w:sz w:val="24"/>
          <w:szCs w:val="24"/>
          <w:lang w:eastAsia="x-none"/>
        </w:rPr>
        <w:t>4</w:t>
      </w:r>
      <w:r w:rsidR="003F2FD0">
        <w:rPr>
          <w:rFonts w:ascii="Times New Roman" w:eastAsia="Times New Roman" w:hAnsi="Times New Roman"/>
          <w:sz w:val="24"/>
          <w:szCs w:val="24"/>
          <w:lang w:eastAsia="x-none"/>
        </w:rPr>
        <w:t xml:space="preserve">% </w:t>
      </w:r>
      <w:r w:rsidR="00594939">
        <w:rPr>
          <w:rFonts w:ascii="Times New Roman" w:eastAsia="Times New Roman" w:hAnsi="Times New Roman"/>
          <w:sz w:val="24"/>
          <w:szCs w:val="24"/>
          <w:lang w:eastAsia="x-none"/>
        </w:rPr>
        <w:t>and</w:t>
      </w:r>
      <w:r w:rsidR="00E900F2">
        <w:rPr>
          <w:rFonts w:ascii="Times New Roman" w:eastAsia="Times New Roman" w:hAnsi="Times New Roman"/>
          <w:sz w:val="24"/>
          <w:szCs w:val="24"/>
          <w:lang w:eastAsia="x-none"/>
        </w:rPr>
        <w:t xml:space="preserve"> </w:t>
      </w:r>
      <w:r w:rsidR="00066D33" w:rsidRPr="003D317C">
        <w:rPr>
          <w:rFonts w:ascii="Times New Roman" w:eastAsia="Times New Roman" w:hAnsi="Times New Roman"/>
          <w:sz w:val="24"/>
          <w:szCs w:val="24"/>
          <w:lang w:eastAsia="x-none"/>
        </w:rPr>
        <w:t xml:space="preserve">that </w:t>
      </w:r>
      <w:r w:rsidR="005B04CC" w:rsidRPr="003D317C">
        <w:rPr>
          <w:rFonts w:ascii="Times New Roman" w:eastAsia="Times New Roman" w:hAnsi="Times New Roman"/>
          <w:sz w:val="24"/>
          <w:szCs w:val="24"/>
          <w:lang w:eastAsia="x-none"/>
        </w:rPr>
        <w:t>o</w:t>
      </w:r>
      <w:r w:rsidR="00066D33" w:rsidRPr="003D317C">
        <w:rPr>
          <w:rFonts w:ascii="Times New Roman" w:eastAsia="Times New Roman" w:hAnsi="Times New Roman"/>
          <w:sz w:val="24"/>
          <w:szCs w:val="24"/>
          <w:lang w:eastAsia="x-none"/>
        </w:rPr>
        <w:t>f general gover</w:t>
      </w:r>
      <w:r w:rsidR="00D0411B" w:rsidRPr="003D317C">
        <w:rPr>
          <w:rFonts w:ascii="Times New Roman" w:eastAsia="Times New Roman" w:hAnsi="Times New Roman"/>
          <w:sz w:val="24"/>
          <w:szCs w:val="24"/>
          <w:lang w:eastAsia="x-none"/>
        </w:rPr>
        <w:t>nm</w:t>
      </w:r>
      <w:r w:rsidR="00600D9A" w:rsidRPr="003D317C">
        <w:rPr>
          <w:rFonts w:ascii="Times New Roman" w:eastAsia="Times New Roman" w:hAnsi="Times New Roman"/>
          <w:sz w:val="24"/>
          <w:szCs w:val="24"/>
          <w:lang w:eastAsia="x-none"/>
        </w:rPr>
        <w:t>ent</w:t>
      </w:r>
      <w:r w:rsidR="001E603C">
        <w:rPr>
          <w:rFonts w:ascii="Times New Roman" w:eastAsia="Times New Roman" w:hAnsi="Times New Roman"/>
          <w:sz w:val="24"/>
          <w:szCs w:val="24"/>
          <w:lang w:eastAsia="x-none"/>
        </w:rPr>
        <w:t xml:space="preserve"> </w:t>
      </w:r>
      <w:r w:rsidR="009847F1">
        <w:rPr>
          <w:rFonts w:ascii="Times New Roman" w:eastAsia="Times New Roman" w:hAnsi="Times New Roman"/>
          <w:sz w:val="24"/>
          <w:szCs w:val="24"/>
          <w:lang w:eastAsia="x-none"/>
        </w:rPr>
        <w:t xml:space="preserve">contracted </w:t>
      </w:r>
      <w:r w:rsidR="00694CA5">
        <w:rPr>
          <w:rFonts w:ascii="Times New Roman" w:eastAsia="Times New Roman" w:hAnsi="Times New Roman"/>
          <w:sz w:val="24"/>
          <w:szCs w:val="24"/>
          <w:lang w:eastAsia="x-none"/>
        </w:rPr>
        <w:t xml:space="preserve">by </w:t>
      </w:r>
      <w:r w:rsidR="0002691F">
        <w:rPr>
          <w:rFonts w:ascii="Times New Roman" w:eastAsia="Times New Roman" w:hAnsi="Times New Roman"/>
          <w:sz w:val="24"/>
          <w:szCs w:val="24"/>
          <w:lang w:eastAsia="x-none"/>
        </w:rPr>
        <w:t>0.</w:t>
      </w:r>
      <w:r w:rsidR="00DB1358">
        <w:rPr>
          <w:rFonts w:ascii="Times New Roman" w:eastAsia="Times New Roman" w:hAnsi="Times New Roman"/>
          <w:sz w:val="24"/>
          <w:szCs w:val="24"/>
          <w:lang w:eastAsia="x-none"/>
        </w:rPr>
        <w:t>6</w:t>
      </w:r>
      <w:r w:rsidR="005B04CC" w:rsidRPr="003D317C">
        <w:rPr>
          <w:rFonts w:ascii="Times New Roman" w:eastAsia="Times New Roman" w:hAnsi="Times New Roman"/>
          <w:sz w:val="24"/>
          <w:szCs w:val="24"/>
          <w:lang w:eastAsia="x-none"/>
        </w:rPr>
        <w:t>%.</w:t>
      </w:r>
    </w:p>
    <w:p w14:paraId="1DA24CBC"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p w14:paraId="565EF8D0" w14:textId="7D80A310" w:rsidR="005B04CC" w:rsidRDefault="007B3DBC" w:rsidP="005B04CC">
      <w:pPr>
        <w:spacing w:after="0" w:line="240" w:lineRule="auto"/>
        <w:ind w:firstLine="720"/>
        <w:jc w:val="both"/>
        <w:rPr>
          <w:rFonts w:ascii="Times New Roman" w:eastAsia="Times New Roman" w:hAnsi="Times New Roman"/>
          <w:sz w:val="24"/>
          <w:szCs w:val="24"/>
          <w:lang w:eastAsia="x-none"/>
        </w:rPr>
      </w:pPr>
      <w:bookmarkStart w:id="0" w:name="OLE_LINK4"/>
      <w:r w:rsidRPr="007B3DBC">
        <w:rPr>
          <w:rFonts w:ascii="Times New Roman" w:eastAsia="Times New Roman" w:hAnsi="Times New Roman"/>
          <w:sz w:val="24"/>
          <w:szCs w:val="24"/>
          <w:lang w:eastAsia="x-none"/>
        </w:rPr>
        <w:t xml:space="preserve">Investment (Gross Fixed Capital Formation) </w:t>
      </w:r>
      <w:r w:rsidR="0097018E">
        <w:rPr>
          <w:rFonts w:ascii="Times New Roman" w:eastAsia="Times New Roman" w:hAnsi="Times New Roman"/>
          <w:sz w:val="24"/>
          <w:szCs w:val="24"/>
          <w:lang w:eastAsia="x-none"/>
        </w:rPr>
        <w:t xml:space="preserve">further </w:t>
      </w:r>
      <w:r w:rsidRPr="007B3DBC">
        <w:rPr>
          <w:rFonts w:ascii="Times New Roman" w:eastAsia="Times New Roman" w:hAnsi="Times New Roman"/>
          <w:sz w:val="24"/>
          <w:szCs w:val="24"/>
          <w:lang w:eastAsia="x-none"/>
        </w:rPr>
        <w:t xml:space="preserve">contracted by </w:t>
      </w:r>
      <w:r w:rsidR="00657480">
        <w:rPr>
          <w:rFonts w:ascii="Times New Roman" w:eastAsia="Times New Roman" w:hAnsi="Times New Roman"/>
          <w:sz w:val="24"/>
          <w:szCs w:val="24"/>
          <w:lang w:eastAsia="x-none"/>
        </w:rPr>
        <w:t>1.8</w:t>
      </w:r>
      <w:r w:rsidRPr="007B3DBC">
        <w:rPr>
          <w:rFonts w:ascii="Times New Roman" w:eastAsia="Times New Roman" w:hAnsi="Times New Roman"/>
          <w:sz w:val="24"/>
          <w:szCs w:val="24"/>
          <w:lang w:eastAsia="x-none"/>
        </w:rPr>
        <w:t xml:space="preserve">%, </w:t>
      </w:r>
      <w:r w:rsidR="003E7751">
        <w:rPr>
          <w:rFonts w:ascii="Times New Roman" w:eastAsia="Times New Roman" w:hAnsi="Times New Roman"/>
          <w:sz w:val="24"/>
          <w:szCs w:val="24"/>
          <w:lang w:eastAsia="x-none"/>
        </w:rPr>
        <w:t xml:space="preserve">after the decline of </w:t>
      </w:r>
      <w:r w:rsidR="00657480">
        <w:rPr>
          <w:rFonts w:ascii="Times New Roman" w:eastAsia="Times New Roman" w:hAnsi="Times New Roman"/>
          <w:sz w:val="24"/>
          <w:szCs w:val="24"/>
          <w:lang w:eastAsia="x-none"/>
        </w:rPr>
        <w:t>0.9</w:t>
      </w:r>
      <w:r w:rsidR="003E7751">
        <w:rPr>
          <w:rFonts w:ascii="Times New Roman" w:eastAsia="Times New Roman" w:hAnsi="Times New Roman"/>
          <w:sz w:val="24"/>
          <w:szCs w:val="24"/>
          <w:lang w:eastAsia="x-none"/>
        </w:rPr>
        <w:t xml:space="preserve">% </w:t>
      </w:r>
      <w:r w:rsidRPr="007B3DBC">
        <w:rPr>
          <w:rFonts w:ascii="Times New Roman" w:eastAsia="Times New Roman" w:hAnsi="Times New Roman"/>
          <w:sz w:val="24"/>
          <w:szCs w:val="24"/>
          <w:lang w:eastAsia="x-none"/>
        </w:rPr>
        <w:t xml:space="preserve">recorded in the previous quarter. </w:t>
      </w:r>
      <w:r w:rsidR="003E7751">
        <w:rPr>
          <w:rFonts w:ascii="Times New Roman" w:eastAsia="Times New Roman" w:hAnsi="Times New Roman"/>
          <w:sz w:val="24"/>
          <w:szCs w:val="24"/>
          <w:lang w:eastAsia="x-none"/>
        </w:rPr>
        <w:t xml:space="preserve">The </w:t>
      </w:r>
      <w:r w:rsidR="00657480">
        <w:rPr>
          <w:rFonts w:ascii="Times New Roman" w:eastAsia="Times New Roman" w:hAnsi="Times New Roman"/>
          <w:sz w:val="24"/>
          <w:szCs w:val="24"/>
          <w:lang w:eastAsia="x-none"/>
        </w:rPr>
        <w:t>1.8</w:t>
      </w:r>
      <w:r w:rsidR="003E7751">
        <w:rPr>
          <w:rFonts w:ascii="Times New Roman" w:eastAsia="Times New Roman" w:hAnsi="Times New Roman"/>
          <w:sz w:val="24"/>
          <w:szCs w:val="24"/>
          <w:lang w:eastAsia="x-none"/>
        </w:rPr>
        <w:t>% decline was the result of</w:t>
      </w:r>
      <w:r w:rsidR="003428E5">
        <w:rPr>
          <w:rFonts w:ascii="Times New Roman" w:eastAsia="Times New Roman" w:hAnsi="Times New Roman"/>
          <w:sz w:val="24"/>
          <w:szCs w:val="24"/>
          <w:lang w:eastAsia="x-none"/>
        </w:rPr>
        <w:t xml:space="preserve"> </w:t>
      </w:r>
      <w:r w:rsidR="00657480">
        <w:rPr>
          <w:rFonts w:ascii="Times New Roman" w:eastAsia="Times New Roman" w:hAnsi="Times New Roman"/>
          <w:sz w:val="24"/>
          <w:szCs w:val="24"/>
          <w:lang w:eastAsia="x-none"/>
        </w:rPr>
        <w:t xml:space="preserve">a </w:t>
      </w:r>
      <w:r w:rsidR="003E7751">
        <w:rPr>
          <w:rFonts w:ascii="Times New Roman" w:eastAsia="Times New Roman" w:hAnsi="Times New Roman"/>
          <w:sz w:val="24"/>
          <w:szCs w:val="24"/>
          <w:lang w:eastAsia="x-none"/>
        </w:rPr>
        <w:t xml:space="preserve">decrease in </w:t>
      </w:r>
      <w:r w:rsidR="00657480">
        <w:rPr>
          <w:rFonts w:ascii="Times New Roman" w:eastAsia="Times New Roman" w:hAnsi="Times New Roman"/>
          <w:sz w:val="24"/>
          <w:szCs w:val="24"/>
          <w:lang w:eastAsia="x-none"/>
        </w:rPr>
        <w:t xml:space="preserve">“Machinery and equipment” (-6.2%), partly offset by an increase in </w:t>
      </w:r>
      <w:r w:rsidRPr="007B3DBC">
        <w:rPr>
          <w:rFonts w:ascii="Times New Roman" w:eastAsia="Times New Roman" w:hAnsi="Times New Roman"/>
          <w:sz w:val="24"/>
          <w:szCs w:val="24"/>
          <w:lang w:eastAsia="x-none"/>
        </w:rPr>
        <w:t xml:space="preserve">"Building and </w:t>
      </w:r>
      <w:r w:rsidR="00BA53EA">
        <w:rPr>
          <w:rFonts w:ascii="Times New Roman" w:eastAsia="Times New Roman" w:hAnsi="Times New Roman"/>
          <w:sz w:val="24"/>
          <w:szCs w:val="24"/>
          <w:lang w:eastAsia="x-none"/>
        </w:rPr>
        <w:t>c</w:t>
      </w:r>
      <w:r w:rsidRPr="007B3DBC">
        <w:rPr>
          <w:rFonts w:ascii="Times New Roman" w:eastAsia="Times New Roman" w:hAnsi="Times New Roman"/>
          <w:sz w:val="24"/>
          <w:szCs w:val="24"/>
          <w:lang w:eastAsia="x-none"/>
        </w:rPr>
        <w:t xml:space="preserve">onstruction </w:t>
      </w:r>
      <w:r w:rsidR="00BA53EA">
        <w:rPr>
          <w:rFonts w:ascii="Times New Roman" w:eastAsia="Times New Roman" w:hAnsi="Times New Roman"/>
          <w:sz w:val="24"/>
          <w:szCs w:val="24"/>
          <w:lang w:eastAsia="x-none"/>
        </w:rPr>
        <w:t>w</w:t>
      </w:r>
      <w:r w:rsidRPr="007B3DBC">
        <w:rPr>
          <w:rFonts w:ascii="Times New Roman" w:eastAsia="Times New Roman" w:hAnsi="Times New Roman"/>
          <w:sz w:val="24"/>
          <w:szCs w:val="24"/>
          <w:lang w:eastAsia="x-none"/>
        </w:rPr>
        <w:t>ork</w:t>
      </w:r>
      <w:r>
        <w:rPr>
          <w:rFonts w:ascii="Times New Roman" w:eastAsia="Times New Roman" w:hAnsi="Times New Roman"/>
          <w:sz w:val="24"/>
          <w:szCs w:val="24"/>
          <w:lang w:eastAsia="x-none"/>
        </w:rPr>
        <w:t>”</w:t>
      </w:r>
      <w:r w:rsidR="003E7751">
        <w:rPr>
          <w:rFonts w:ascii="Times New Roman" w:eastAsia="Times New Roman" w:hAnsi="Times New Roman"/>
          <w:sz w:val="24"/>
          <w:szCs w:val="24"/>
          <w:lang w:eastAsia="x-none"/>
        </w:rPr>
        <w:t xml:space="preserve"> (</w:t>
      </w:r>
      <w:r w:rsidR="00657480">
        <w:rPr>
          <w:rFonts w:ascii="Times New Roman" w:eastAsia="Times New Roman" w:hAnsi="Times New Roman"/>
          <w:sz w:val="24"/>
          <w:szCs w:val="24"/>
          <w:lang w:eastAsia="x-none"/>
        </w:rPr>
        <w:t>0.5</w:t>
      </w:r>
      <w:r w:rsidR="003E7751">
        <w:rPr>
          <w:rFonts w:ascii="Times New Roman" w:eastAsia="Times New Roman" w:hAnsi="Times New Roman"/>
          <w:sz w:val="24"/>
          <w:szCs w:val="24"/>
          <w:lang w:eastAsia="x-none"/>
        </w:rPr>
        <w:t>%)</w:t>
      </w:r>
      <w:r>
        <w:rPr>
          <w:rFonts w:ascii="Times New Roman" w:eastAsia="Times New Roman" w:hAnsi="Times New Roman"/>
          <w:sz w:val="24"/>
          <w:szCs w:val="24"/>
          <w:lang w:eastAsia="x-none"/>
        </w:rPr>
        <w:t>.</w:t>
      </w:r>
    </w:p>
    <w:p w14:paraId="3870AFE0" w14:textId="77777777" w:rsidR="007B3DBC" w:rsidRPr="003D317C" w:rsidRDefault="007B3DBC" w:rsidP="005B04CC">
      <w:pPr>
        <w:spacing w:after="0" w:line="240" w:lineRule="auto"/>
        <w:ind w:firstLine="720"/>
        <w:jc w:val="both"/>
        <w:rPr>
          <w:rFonts w:ascii="Times New Roman" w:eastAsia="Times New Roman" w:hAnsi="Times New Roman"/>
          <w:sz w:val="24"/>
          <w:szCs w:val="24"/>
          <w:lang w:eastAsia="x-none"/>
        </w:rPr>
      </w:pPr>
    </w:p>
    <w:p w14:paraId="7BB1255C" w14:textId="331F6CBA" w:rsidR="00C40EAA" w:rsidRDefault="00F84141" w:rsidP="00F84141">
      <w:pPr>
        <w:spacing w:after="0" w:line="240" w:lineRule="auto"/>
        <w:ind w:firstLine="720"/>
        <w:jc w:val="both"/>
        <w:rPr>
          <w:rFonts w:ascii="Times New Roman" w:eastAsia="Times New Roman" w:hAnsi="Times New Roman"/>
          <w:sz w:val="24"/>
          <w:szCs w:val="24"/>
          <w:lang w:eastAsia="x-none"/>
        </w:rPr>
      </w:pPr>
      <w:r w:rsidRPr="00F84141">
        <w:rPr>
          <w:rFonts w:ascii="Times New Roman" w:eastAsia="Times New Roman" w:hAnsi="Times New Roman"/>
          <w:sz w:val="24"/>
          <w:szCs w:val="24"/>
          <w:lang w:eastAsia="x-none"/>
        </w:rPr>
        <w:t xml:space="preserve">The </w:t>
      </w:r>
      <w:r w:rsidR="00ED7817">
        <w:rPr>
          <w:rFonts w:ascii="Times New Roman" w:eastAsia="Times New Roman" w:hAnsi="Times New Roman"/>
          <w:sz w:val="24"/>
          <w:szCs w:val="24"/>
          <w:lang w:eastAsia="x-none"/>
        </w:rPr>
        <w:t>0.</w:t>
      </w:r>
      <w:r w:rsidR="00657480">
        <w:rPr>
          <w:rFonts w:ascii="Times New Roman" w:eastAsia="Times New Roman" w:hAnsi="Times New Roman"/>
          <w:sz w:val="24"/>
          <w:szCs w:val="24"/>
          <w:lang w:eastAsia="x-none"/>
        </w:rPr>
        <w:t>5</w:t>
      </w:r>
      <w:r w:rsidRPr="00F84141">
        <w:rPr>
          <w:rFonts w:ascii="Times New Roman" w:eastAsia="Times New Roman" w:hAnsi="Times New Roman"/>
          <w:sz w:val="24"/>
          <w:szCs w:val="24"/>
          <w:lang w:eastAsia="x-none"/>
        </w:rPr>
        <w:t xml:space="preserve">% </w:t>
      </w:r>
      <w:r w:rsidR="00657480">
        <w:rPr>
          <w:rFonts w:ascii="Times New Roman" w:eastAsia="Times New Roman" w:hAnsi="Times New Roman"/>
          <w:sz w:val="24"/>
          <w:szCs w:val="24"/>
          <w:lang w:eastAsia="x-none"/>
        </w:rPr>
        <w:t>increase</w:t>
      </w:r>
      <w:r w:rsidRPr="00F84141">
        <w:rPr>
          <w:rFonts w:ascii="Times New Roman" w:eastAsia="Times New Roman" w:hAnsi="Times New Roman"/>
          <w:sz w:val="24"/>
          <w:szCs w:val="24"/>
          <w:lang w:eastAsia="x-none"/>
        </w:rPr>
        <w:t xml:space="preserve"> in "Building and construction work" was driven by</w:t>
      </w:r>
      <w:r w:rsidR="008D1906">
        <w:rPr>
          <w:rFonts w:ascii="Times New Roman" w:eastAsia="Times New Roman" w:hAnsi="Times New Roman"/>
          <w:sz w:val="24"/>
          <w:szCs w:val="24"/>
          <w:lang w:eastAsia="x-none"/>
        </w:rPr>
        <w:t xml:space="preserve"> </w:t>
      </w:r>
      <w:r w:rsidR="00AC2CBE">
        <w:rPr>
          <w:rFonts w:ascii="Times New Roman" w:eastAsia="Times New Roman" w:hAnsi="Times New Roman"/>
          <w:sz w:val="24"/>
          <w:szCs w:val="24"/>
          <w:lang w:eastAsia="x-none"/>
        </w:rPr>
        <w:t xml:space="preserve">increases </w:t>
      </w:r>
      <w:r w:rsidR="003428E5">
        <w:rPr>
          <w:rFonts w:ascii="Times New Roman" w:eastAsia="Times New Roman" w:hAnsi="Times New Roman"/>
          <w:sz w:val="24"/>
          <w:szCs w:val="24"/>
          <w:lang w:eastAsia="x-none"/>
        </w:rPr>
        <w:t xml:space="preserve">in </w:t>
      </w:r>
      <w:r w:rsidRPr="00F84141">
        <w:rPr>
          <w:rFonts w:ascii="Times New Roman" w:eastAsia="Times New Roman" w:hAnsi="Times New Roman"/>
          <w:sz w:val="24"/>
          <w:szCs w:val="24"/>
          <w:lang w:eastAsia="x-none"/>
        </w:rPr>
        <w:t>"</w:t>
      </w:r>
      <w:r w:rsidR="00AC2CBE">
        <w:rPr>
          <w:rFonts w:ascii="Times New Roman" w:eastAsia="Times New Roman" w:hAnsi="Times New Roman"/>
          <w:sz w:val="24"/>
          <w:szCs w:val="24"/>
          <w:lang w:eastAsia="x-none"/>
        </w:rPr>
        <w:t>R</w:t>
      </w:r>
      <w:r w:rsidRPr="00F84141">
        <w:rPr>
          <w:rFonts w:ascii="Times New Roman" w:eastAsia="Times New Roman" w:hAnsi="Times New Roman"/>
          <w:sz w:val="24"/>
          <w:szCs w:val="24"/>
          <w:lang w:eastAsia="x-none"/>
        </w:rPr>
        <w:t>esidential building" (</w:t>
      </w:r>
      <w:r w:rsidR="00AC2CBE">
        <w:rPr>
          <w:rFonts w:ascii="Times New Roman" w:eastAsia="Times New Roman" w:hAnsi="Times New Roman"/>
          <w:sz w:val="24"/>
          <w:szCs w:val="24"/>
          <w:lang w:eastAsia="x-none"/>
        </w:rPr>
        <w:t>5.4</w:t>
      </w:r>
      <w:r w:rsidRPr="00F84141">
        <w:rPr>
          <w:rFonts w:ascii="Times New Roman" w:eastAsia="Times New Roman" w:hAnsi="Times New Roman"/>
          <w:sz w:val="24"/>
          <w:szCs w:val="24"/>
          <w:lang w:eastAsia="x-none"/>
        </w:rPr>
        <w:t>%)</w:t>
      </w:r>
      <w:r w:rsidR="00AC2CBE">
        <w:rPr>
          <w:rFonts w:ascii="Times New Roman" w:eastAsia="Times New Roman" w:hAnsi="Times New Roman"/>
          <w:sz w:val="24"/>
          <w:szCs w:val="24"/>
          <w:lang w:eastAsia="x-none"/>
        </w:rPr>
        <w:t xml:space="preserve"> and “Other construction work” (6.8%)</w:t>
      </w:r>
      <w:r w:rsidRPr="00F84141">
        <w:rPr>
          <w:rFonts w:ascii="Times New Roman" w:eastAsia="Times New Roman" w:hAnsi="Times New Roman"/>
          <w:sz w:val="24"/>
          <w:szCs w:val="24"/>
          <w:lang w:eastAsia="x-none"/>
        </w:rPr>
        <w:t xml:space="preserve">, </w:t>
      </w:r>
      <w:r w:rsidR="003428E5">
        <w:rPr>
          <w:rFonts w:ascii="Times New Roman" w:eastAsia="Times New Roman" w:hAnsi="Times New Roman"/>
          <w:sz w:val="24"/>
          <w:szCs w:val="24"/>
          <w:lang w:eastAsia="x-none"/>
        </w:rPr>
        <w:t xml:space="preserve">partly offset by </w:t>
      </w:r>
      <w:r w:rsidR="00AC2CBE">
        <w:rPr>
          <w:rFonts w:ascii="Times New Roman" w:eastAsia="Times New Roman" w:hAnsi="Times New Roman"/>
          <w:sz w:val="24"/>
          <w:szCs w:val="24"/>
          <w:lang w:eastAsia="x-none"/>
        </w:rPr>
        <w:t xml:space="preserve">a decline </w:t>
      </w:r>
      <w:r w:rsidR="003428E5">
        <w:rPr>
          <w:rFonts w:ascii="Times New Roman" w:eastAsia="Times New Roman" w:hAnsi="Times New Roman"/>
          <w:sz w:val="24"/>
          <w:szCs w:val="24"/>
          <w:lang w:eastAsia="x-none"/>
        </w:rPr>
        <w:t>in</w:t>
      </w:r>
      <w:r w:rsidR="00ED7817">
        <w:rPr>
          <w:rFonts w:ascii="Times New Roman" w:eastAsia="Times New Roman" w:hAnsi="Times New Roman"/>
          <w:sz w:val="24"/>
          <w:szCs w:val="24"/>
          <w:lang w:eastAsia="x-none"/>
        </w:rPr>
        <w:t xml:space="preserve"> </w:t>
      </w:r>
      <w:r w:rsidR="00ED7817" w:rsidRPr="00F84141">
        <w:rPr>
          <w:rFonts w:ascii="Times New Roman" w:eastAsia="Times New Roman" w:hAnsi="Times New Roman"/>
          <w:sz w:val="24"/>
          <w:szCs w:val="24"/>
          <w:lang w:eastAsia="x-none"/>
        </w:rPr>
        <w:t>"</w:t>
      </w:r>
      <w:r w:rsidR="00AC2CBE">
        <w:rPr>
          <w:rFonts w:ascii="Times New Roman" w:eastAsia="Times New Roman" w:hAnsi="Times New Roman"/>
          <w:sz w:val="24"/>
          <w:szCs w:val="24"/>
          <w:lang w:eastAsia="x-none"/>
        </w:rPr>
        <w:t>Non-r</w:t>
      </w:r>
      <w:r w:rsidR="00ED7817" w:rsidRPr="00F84141">
        <w:rPr>
          <w:rFonts w:ascii="Times New Roman" w:eastAsia="Times New Roman" w:hAnsi="Times New Roman"/>
          <w:sz w:val="24"/>
          <w:szCs w:val="24"/>
          <w:lang w:eastAsia="x-none"/>
        </w:rPr>
        <w:t>esidential building" (</w:t>
      </w:r>
      <w:r w:rsidR="00AC2CBE">
        <w:rPr>
          <w:rFonts w:ascii="Times New Roman" w:eastAsia="Times New Roman" w:hAnsi="Times New Roman"/>
          <w:sz w:val="24"/>
          <w:szCs w:val="24"/>
          <w:lang w:eastAsia="x-none"/>
        </w:rPr>
        <w:t>-12.0%</w:t>
      </w:r>
      <w:r w:rsidR="00ED7817" w:rsidRPr="00F84141">
        <w:rPr>
          <w:rFonts w:ascii="Times New Roman" w:eastAsia="Times New Roman" w:hAnsi="Times New Roman"/>
          <w:sz w:val="24"/>
          <w:szCs w:val="24"/>
          <w:lang w:eastAsia="x-none"/>
        </w:rPr>
        <w:t>)</w:t>
      </w:r>
      <w:r w:rsidR="007B3DBC" w:rsidRPr="007B3DBC">
        <w:rPr>
          <w:rFonts w:ascii="Times New Roman" w:eastAsia="Times New Roman" w:hAnsi="Times New Roman"/>
          <w:sz w:val="24"/>
          <w:szCs w:val="24"/>
          <w:lang w:eastAsia="x-none"/>
        </w:rPr>
        <w:t>.</w:t>
      </w:r>
    </w:p>
    <w:p w14:paraId="5A3C531F" w14:textId="77777777" w:rsidR="00F84141" w:rsidRPr="003D317C" w:rsidRDefault="00F84141" w:rsidP="00F84141">
      <w:pPr>
        <w:spacing w:after="0" w:line="240" w:lineRule="auto"/>
        <w:ind w:firstLine="720"/>
        <w:jc w:val="both"/>
        <w:rPr>
          <w:rFonts w:ascii="Times New Roman" w:eastAsia="Times New Roman" w:hAnsi="Times New Roman"/>
          <w:sz w:val="24"/>
          <w:szCs w:val="24"/>
          <w:lang w:eastAsia="x-none"/>
        </w:rPr>
      </w:pPr>
    </w:p>
    <w:p w14:paraId="311D34E2" w14:textId="713C8B5D" w:rsidR="00974372" w:rsidRDefault="00D0042D" w:rsidP="005B04CC">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 xml:space="preserve">The </w:t>
      </w:r>
      <w:r w:rsidR="00ED7817">
        <w:rPr>
          <w:rFonts w:ascii="Times New Roman" w:eastAsia="Times New Roman" w:hAnsi="Times New Roman"/>
          <w:sz w:val="24"/>
          <w:szCs w:val="24"/>
          <w:lang w:eastAsia="x-none"/>
        </w:rPr>
        <w:t>decline of 6.</w:t>
      </w:r>
      <w:r w:rsidR="002F3AA9">
        <w:rPr>
          <w:rFonts w:ascii="Times New Roman" w:eastAsia="Times New Roman" w:hAnsi="Times New Roman"/>
          <w:sz w:val="24"/>
          <w:szCs w:val="24"/>
          <w:lang w:eastAsia="x-none"/>
        </w:rPr>
        <w:t>2</w:t>
      </w:r>
      <w:r w:rsidR="005E0E86">
        <w:rPr>
          <w:rFonts w:ascii="Times New Roman" w:eastAsia="Times New Roman" w:hAnsi="Times New Roman"/>
          <w:sz w:val="24"/>
          <w:szCs w:val="24"/>
          <w:lang w:eastAsia="x-none"/>
        </w:rPr>
        <w:t xml:space="preserve">% </w:t>
      </w:r>
      <w:r w:rsidR="0068164B">
        <w:rPr>
          <w:rFonts w:ascii="Times New Roman" w:eastAsia="Times New Roman" w:hAnsi="Times New Roman"/>
          <w:sz w:val="24"/>
          <w:szCs w:val="24"/>
          <w:lang w:eastAsia="x-none"/>
        </w:rPr>
        <w:t>i</w:t>
      </w:r>
      <w:r w:rsidR="00177BCD" w:rsidRPr="003D317C">
        <w:rPr>
          <w:rFonts w:ascii="Times New Roman" w:eastAsia="Times New Roman" w:hAnsi="Times New Roman"/>
          <w:sz w:val="24"/>
          <w:szCs w:val="24"/>
          <w:lang w:eastAsia="x-none"/>
        </w:rPr>
        <w:t xml:space="preserve">n “Machinery and equipment” </w:t>
      </w:r>
      <w:r w:rsidR="005E0E86">
        <w:rPr>
          <w:rFonts w:ascii="Times New Roman" w:eastAsia="Times New Roman" w:hAnsi="Times New Roman"/>
          <w:sz w:val="24"/>
          <w:szCs w:val="24"/>
          <w:lang w:eastAsia="x-none"/>
        </w:rPr>
        <w:t xml:space="preserve">resulted from </w:t>
      </w:r>
      <w:r w:rsidR="00ED7817">
        <w:rPr>
          <w:rFonts w:ascii="Times New Roman" w:eastAsia="Times New Roman" w:hAnsi="Times New Roman"/>
          <w:sz w:val="24"/>
          <w:szCs w:val="24"/>
          <w:lang w:eastAsia="x-none"/>
        </w:rPr>
        <w:t>decreases</w:t>
      </w:r>
      <w:r w:rsidR="003428E5">
        <w:rPr>
          <w:rFonts w:ascii="Times New Roman" w:eastAsia="Times New Roman" w:hAnsi="Times New Roman"/>
          <w:sz w:val="24"/>
          <w:szCs w:val="24"/>
          <w:lang w:eastAsia="x-none"/>
        </w:rPr>
        <w:t xml:space="preserve"> in “Passenger car” (</w:t>
      </w:r>
      <w:r w:rsidR="00ED7817">
        <w:rPr>
          <w:rFonts w:ascii="Times New Roman" w:eastAsia="Times New Roman" w:hAnsi="Times New Roman"/>
          <w:sz w:val="24"/>
          <w:szCs w:val="24"/>
          <w:lang w:eastAsia="x-none"/>
        </w:rPr>
        <w:t>-</w:t>
      </w:r>
      <w:r w:rsidR="002F3AA9">
        <w:rPr>
          <w:rFonts w:ascii="Times New Roman" w:eastAsia="Times New Roman" w:hAnsi="Times New Roman"/>
          <w:sz w:val="24"/>
          <w:szCs w:val="24"/>
          <w:lang w:eastAsia="x-none"/>
        </w:rPr>
        <w:t>54</w:t>
      </w:r>
      <w:r w:rsidR="00ED7817">
        <w:rPr>
          <w:rFonts w:ascii="Times New Roman" w:eastAsia="Times New Roman" w:hAnsi="Times New Roman"/>
          <w:sz w:val="24"/>
          <w:szCs w:val="24"/>
          <w:lang w:eastAsia="x-none"/>
        </w:rPr>
        <w:t>.7</w:t>
      </w:r>
      <w:r w:rsidR="003428E5">
        <w:rPr>
          <w:rFonts w:ascii="Times New Roman" w:eastAsia="Times New Roman" w:hAnsi="Times New Roman"/>
          <w:sz w:val="24"/>
          <w:szCs w:val="24"/>
          <w:lang w:eastAsia="x-none"/>
        </w:rPr>
        <w:t xml:space="preserve">%) and </w:t>
      </w:r>
      <w:r w:rsidR="0006079B">
        <w:rPr>
          <w:rFonts w:ascii="Times New Roman" w:eastAsia="Times New Roman" w:hAnsi="Times New Roman"/>
          <w:sz w:val="24"/>
          <w:szCs w:val="24"/>
          <w:lang w:eastAsia="x-none"/>
        </w:rPr>
        <w:t>“Other transport equipment” (</w:t>
      </w:r>
      <w:r w:rsidR="00ED7817">
        <w:rPr>
          <w:rFonts w:ascii="Times New Roman" w:eastAsia="Times New Roman" w:hAnsi="Times New Roman"/>
          <w:sz w:val="24"/>
          <w:szCs w:val="24"/>
          <w:lang w:eastAsia="x-none"/>
        </w:rPr>
        <w:t>-</w:t>
      </w:r>
      <w:r w:rsidR="002F3AA9">
        <w:rPr>
          <w:rFonts w:ascii="Times New Roman" w:eastAsia="Times New Roman" w:hAnsi="Times New Roman"/>
          <w:sz w:val="24"/>
          <w:szCs w:val="24"/>
          <w:lang w:eastAsia="x-none"/>
        </w:rPr>
        <w:t>13.4</w:t>
      </w:r>
      <w:r w:rsidR="0006079B">
        <w:rPr>
          <w:rFonts w:ascii="Times New Roman" w:eastAsia="Times New Roman" w:hAnsi="Times New Roman"/>
          <w:sz w:val="24"/>
          <w:szCs w:val="24"/>
          <w:lang w:eastAsia="x-none"/>
        </w:rPr>
        <w:t>%)</w:t>
      </w:r>
      <w:r w:rsidR="003428E5">
        <w:rPr>
          <w:rFonts w:ascii="Times New Roman" w:eastAsia="Times New Roman" w:hAnsi="Times New Roman"/>
          <w:sz w:val="24"/>
          <w:szCs w:val="24"/>
          <w:lang w:eastAsia="x-none"/>
        </w:rPr>
        <w:t>, partly offset by a</w:t>
      </w:r>
      <w:r w:rsidR="00ED7817">
        <w:rPr>
          <w:rFonts w:ascii="Times New Roman" w:eastAsia="Times New Roman" w:hAnsi="Times New Roman"/>
          <w:sz w:val="24"/>
          <w:szCs w:val="24"/>
          <w:lang w:eastAsia="x-none"/>
        </w:rPr>
        <w:t>n</w:t>
      </w:r>
      <w:r w:rsidR="003428E5">
        <w:rPr>
          <w:rFonts w:ascii="Times New Roman" w:eastAsia="Times New Roman" w:hAnsi="Times New Roman"/>
          <w:sz w:val="24"/>
          <w:szCs w:val="24"/>
          <w:lang w:eastAsia="x-none"/>
        </w:rPr>
        <w:t xml:space="preserve"> </w:t>
      </w:r>
      <w:r w:rsidR="00ED7817">
        <w:rPr>
          <w:rFonts w:ascii="Times New Roman" w:eastAsia="Times New Roman" w:hAnsi="Times New Roman"/>
          <w:sz w:val="24"/>
          <w:szCs w:val="24"/>
          <w:lang w:eastAsia="x-none"/>
        </w:rPr>
        <w:t>increase</w:t>
      </w:r>
      <w:r w:rsidR="003428E5">
        <w:rPr>
          <w:rFonts w:ascii="Times New Roman" w:eastAsia="Times New Roman" w:hAnsi="Times New Roman"/>
          <w:sz w:val="24"/>
          <w:szCs w:val="24"/>
          <w:lang w:eastAsia="x-none"/>
        </w:rPr>
        <w:t xml:space="preserve"> in </w:t>
      </w:r>
      <w:r w:rsidR="00783475">
        <w:rPr>
          <w:rFonts w:ascii="Times New Roman" w:eastAsia="Times New Roman" w:hAnsi="Times New Roman"/>
          <w:sz w:val="24"/>
          <w:szCs w:val="24"/>
          <w:lang w:eastAsia="x-none"/>
        </w:rPr>
        <w:t xml:space="preserve">“Other </w:t>
      </w:r>
      <w:r w:rsidR="001F4360">
        <w:rPr>
          <w:rFonts w:ascii="Times New Roman" w:eastAsia="Times New Roman" w:hAnsi="Times New Roman"/>
          <w:sz w:val="24"/>
          <w:szCs w:val="24"/>
          <w:lang w:eastAsia="x-none"/>
        </w:rPr>
        <w:t>machinery and equipment</w:t>
      </w:r>
      <w:r w:rsidR="00783475" w:rsidRPr="003D317C">
        <w:rPr>
          <w:rFonts w:ascii="Times New Roman" w:eastAsia="Times New Roman" w:hAnsi="Times New Roman"/>
          <w:sz w:val="24"/>
          <w:szCs w:val="24"/>
          <w:lang w:eastAsia="x-none"/>
        </w:rPr>
        <w:t>”</w:t>
      </w:r>
      <w:r w:rsidR="00783475">
        <w:rPr>
          <w:rFonts w:ascii="Times New Roman" w:eastAsia="Times New Roman" w:hAnsi="Times New Roman"/>
          <w:sz w:val="24"/>
          <w:szCs w:val="24"/>
          <w:lang w:eastAsia="x-none"/>
        </w:rPr>
        <w:t xml:space="preserve"> (</w:t>
      </w:r>
      <w:r w:rsidR="002F3AA9">
        <w:rPr>
          <w:rFonts w:ascii="Times New Roman" w:eastAsia="Times New Roman" w:hAnsi="Times New Roman"/>
          <w:sz w:val="24"/>
          <w:szCs w:val="24"/>
          <w:lang w:eastAsia="x-none"/>
        </w:rPr>
        <w:t>14.1</w:t>
      </w:r>
      <w:r w:rsidR="00783475">
        <w:rPr>
          <w:rFonts w:ascii="Times New Roman" w:eastAsia="Times New Roman" w:hAnsi="Times New Roman"/>
          <w:sz w:val="24"/>
          <w:szCs w:val="24"/>
          <w:lang w:eastAsia="x-none"/>
        </w:rPr>
        <w:t>%)</w:t>
      </w:r>
      <w:r w:rsidR="009B257B">
        <w:rPr>
          <w:rFonts w:ascii="Times New Roman" w:eastAsia="Times New Roman" w:hAnsi="Times New Roman"/>
          <w:sz w:val="24"/>
          <w:szCs w:val="24"/>
          <w:lang w:eastAsia="x-none"/>
        </w:rPr>
        <w:t>.</w:t>
      </w:r>
    </w:p>
    <w:p w14:paraId="6C204045" w14:textId="77777777" w:rsidR="005B04CC" w:rsidRPr="003D317C" w:rsidRDefault="005B04CC" w:rsidP="005B04CC">
      <w:pPr>
        <w:spacing w:after="0" w:line="240" w:lineRule="auto"/>
        <w:ind w:firstLine="720"/>
        <w:jc w:val="both"/>
        <w:rPr>
          <w:rFonts w:ascii="Times New Roman" w:eastAsia="Times New Roman" w:hAnsi="Times New Roman"/>
          <w:sz w:val="24"/>
          <w:szCs w:val="24"/>
          <w:lang w:eastAsia="x-none"/>
        </w:rPr>
      </w:pPr>
    </w:p>
    <w:bookmarkEnd w:id="0"/>
    <w:p w14:paraId="5C9574AE" w14:textId="2F2FA575" w:rsidR="00787624" w:rsidRDefault="005E0E86" w:rsidP="005B04CC">
      <w:pPr>
        <w:spacing w:after="0" w:line="240" w:lineRule="auto"/>
        <w:ind w:firstLine="720"/>
        <w:jc w:val="both"/>
        <w:rPr>
          <w:rFonts w:ascii="Times New Roman" w:eastAsia="Times New Roman" w:hAnsi="Times New Roman"/>
          <w:sz w:val="24"/>
          <w:szCs w:val="24"/>
          <w:lang w:eastAsia="x-none"/>
        </w:rPr>
      </w:pPr>
      <w:r w:rsidRPr="005E0E86">
        <w:rPr>
          <w:rFonts w:ascii="Times New Roman" w:eastAsia="Times New Roman" w:hAnsi="Times New Roman"/>
          <w:sz w:val="24"/>
          <w:szCs w:val="24"/>
          <w:lang w:eastAsia="x-none"/>
        </w:rPr>
        <w:t xml:space="preserve">Exports of goods and services </w:t>
      </w:r>
      <w:r w:rsidR="0002216F">
        <w:rPr>
          <w:rFonts w:ascii="Times New Roman" w:eastAsia="Times New Roman" w:hAnsi="Times New Roman"/>
          <w:sz w:val="24"/>
          <w:szCs w:val="24"/>
          <w:lang w:eastAsia="x-none"/>
        </w:rPr>
        <w:t>increase</w:t>
      </w:r>
      <w:r w:rsidRPr="005E0E86">
        <w:rPr>
          <w:rFonts w:ascii="Times New Roman" w:eastAsia="Times New Roman" w:hAnsi="Times New Roman"/>
          <w:sz w:val="24"/>
          <w:szCs w:val="24"/>
          <w:lang w:eastAsia="x-none"/>
        </w:rPr>
        <w:t xml:space="preserve">d by </w:t>
      </w:r>
      <w:r w:rsidR="00942B30">
        <w:rPr>
          <w:rFonts w:ascii="Times New Roman" w:eastAsia="Times New Roman" w:hAnsi="Times New Roman"/>
          <w:sz w:val="24"/>
          <w:szCs w:val="24"/>
          <w:lang w:eastAsia="x-none"/>
        </w:rPr>
        <w:t>9.0</w:t>
      </w:r>
      <w:r w:rsidRPr="005E0E86">
        <w:rPr>
          <w:rFonts w:ascii="Times New Roman" w:eastAsia="Times New Roman" w:hAnsi="Times New Roman"/>
          <w:sz w:val="24"/>
          <w:szCs w:val="24"/>
          <w:lang w:eastAsia="x-none"/>
        </w:rPr>
        <w:t xml:space="preserve">%, </w:t>
      </w:r>
      <w:r w:rsidR="00942B30">
        <w:rPr>
          <w:rFonts w:ascii="Times New Roman" w:eastAsia="Times New Roman" w:hAnsi="Times New Roman"/>
          <w:sz w:val="24"/>
          <w:szCs w:val="24"/>
          <w:lang w:eastAsia="x-none"/>
        </w:rPr>
        <w:t xml:space="preserve">after that of 6.5% </w:t>
      </w:r>
      <w:r w:rsidRPr="005E0E86">
        <w:rPr>
          <w:rFonts w:ascii="Times New Roman" w:eastAsia="Times New Roman" w:hAnsi="Times New Roman"/>
          <w:sz w:val="24"/>
          <w:szCs w:val="24"/>
          <w:lang w:eastAsia="x-none"/>
        </w:rPr>
        <w:t xml:space="preserve">recorded in the previous quarter. This </w:t>
      </w:r>
      <w:r w:rsidR="00942B30">
        <w:rPr>
          <w:rFonts w:ascii="Times New Roman" w:eastAsia="Times New Roman" w:hAnsi="Times New Roman"/>
          <w:sz w:val="24"/>
          <w:szCs w:val="24"/>
          <w:lang w:eastAsia="x-none"/>
        </w:rPr>
        <w:t xml:space="preserve">9.0% increase was the result of increases in exports of goods (0.3%) and </w:t>
      </w:r>
      <w:r w:rsidRPr="005E0E86">
        <w:rPr>
          <w:rFonts w:ascii="Times New Roman" w:eastAsia="Times New Roman" w:hAnsi="Times New Roman"/>
          <w:sz w:val="24"/>
          <w:szCs w:val="24"/>
          <w:lang w:eastAsia="x-none"/>
        </w:rPr>
        <w:t>export</w:t>
      </w:r>
      <w:r w:rsidR="00EC09D5">
        <w:rPr>
          <w:rFonts w:ascii="Times New Roman" w:eastAsia="Times New Roman" w:hAnsi="Times New Roman"/>
          <w:sz w:val="24"/>
          <w:szCs w:val="24"/>
          <w:lang w:eastAsia="x-none"/>
        </w:rPr>
        <w:t>s of services</w:t>
      </w:r>
      <w:r w:rsidR="00942B30">
        <w:rPr>
          <w:rFonts w:ascii="Times New Roman" w:eastAsia="Times New Roman" w:hAnsi="Times New Roman"/>
          <w:sz w:val="24"/>
          <w:szCs w:val="24"/>
          <w:lang w:eastAsia="x-none"/>
        </w:rPr>
        <w:t xml:space="preserve"> (9.9%)</w:t>
      </w:r>
      <w:r w:rsidRPr="005E0E86">
        <w:rPr>
          <w:rFonts w:ascii="Times New Roman" w:eastAsia="Times New Roman" w:hAnsi="Times New Roman"/>
          <w:sz w:val="24"/>
          <w:szCs w:val="24"/>
          <w:lang w:eastAsia="x-none"/>
        </w:rPr>
        <w:t>.</w:t>
      </w:r>
    </w:p>
    <w:p w14:paraId="35F8083B" w14:textId="77777777" w:rsidR="005E0E86" w:rsidRPr="003D317C" w:rsidRDefault="005E0E86" w:rsidP="005B04CC">
      <w:pPr>
        <w:spacing w:after="0" w:line="240" w:lineRule="auto"/>
        <w:ind w:firstLine="720"/>
        <w:jc w:val="both"/>
        <w:rPr>
          <w:rFonts w:ascii="Times New Roman" w:eastAsia="Times New Roman" w:hAnsi="Times New Roman"/>
          <w:sz w:val="24"/>
          <w:szCs w:val="24"/>
          <w:lang w:eastAsia="x-none"/>
        </w:rPr>
      </w:pPr>
    </w:p>
    <w:p w14:paraId="29DCD46E" w14:textId="1965B43B" w:rsidR="00527505" w:rsidRDefault="005B04CC" w:rsidP="003F41B1">
      <w:pPr>
        <w:spacing w:after="0" w:line="240" w:lineRule="auto"/>
        <w:ind w:firstLine="720"/>
        <w:jc w:val="both"/>
        <w:rPr>
          <w:rFonts w:ascii="Times New Roman" w:eastAsia="Times New Roman" w:hAnsi="Times New Roman"/>
          <w:sz w:val="24"/>
          <w:szCs w:val="24"/>
          <w:lang w:eastAsia="x-none"/>
        </w:rPr>
      </w:pPr>
      <w:r w:rsidRPr="003D317C">
        <w:rPr>
          <w:rFonts w:ascii="Times New Roman" w:eastAsia="Times New Roman" w:hAnsi="Times New Roman"/>
          <w:sz w:val="24"/>
          <w:szCs w:val="24"/>
          <w:lang w:eastAsia="x-none"/>
        </w:rPr>
        <w:t>Imports of goods and service</w:t>
      </w:r>
      <w:r w:rsidR="00524D3E" w:rsidRPr="003D317C">
        <w:rPr>
          <w:rFonts w:ascii="Times New Roman" w:eastAsia="Times New Roman" w:hAnsi="Times New Roman"/>
          <w:sz w:val="24"/>
          <w:szCs w:val="24"/>
          <w:lang w:eastAsia="x-none"/>
        </w:rPr>
        <w:t xml:space="preserve">s </w:t>
      </w:r>
      <w:r w:rsidR="0006079B">
        <w:rPr>
          <w:rFonts w:ascii="Times New Roman" w:eastAsia="Times New Roman" w:hAnsi="Times New Roman"/>
          <w:sz w:val="24"/>
          <w:szCs w:val="24"/>
          <w:lang w:eastAsia="x-none"/>
        </w:rPr>
        <w:t xml:space="preserve">went </w:t>
      </w:r>
      <w:r w:rsidR="00942B30">
        <w:rPr>
          <w:rFonts w:ascii="Times New Roman" w:eastAsia="Times New Roman" w:hAnsi="Times New Roman"/>
          <w:sz w:val="24"/>
          <w:szCs w:val="24"/>
          <w:lang w:eastAsia="x-none"/>
        </w:rPr>
        <w:t>up</w:t>
      </w:r>
      <w:r w:rsidR="00FB7A15">
        <w:rPr>
          <w:rFonts w:ascii="Times New Roman" w:eastAsia="Times New Roman" w:hAnsi="Times New Roman"/>
          <w:sz w:val="24"/>
          <w:szCs w:val="24"/>
          <w:lang w:eastAsia="x-none"/>
        </w:rPr>
        <w:t xml:space="preserve"> to</w:t>
      </w:r>
      <w:r w:rsidR="00942B30">
        <w:rPr>
          <w:rFonts w:ascii="Times New Roman" w:eastAsia="Times New Roman" w:hAnsi="Times New Roman"/>
          <w:sz w:val="24"/>
          <w:szCs w:val="24"/>
          <w:lang w:eastAsia="x-none"/>
        </w:rPr>
        <w:t xml:space="preserve"> 3.0</w:t>
      </w:r>
      <w:r w:rsidR="005470A8">
        <w:rPr>
          <w:rFonts w:ascii="Times New Roman" w:eastAsia="Times New Roman" w:hAnsi="Times New Roman"/>
          <w:sz w:val="24"/>
          <w:szCs w:val="24"/>
          <w:lang w:eastAsia="x-none"/>
        </w:rPr>
        <w:t>%</w:t>
      </w:r>
      <w:r w:rsidR="0043051B">
        <w:rPr>
          <w:rFonts w:ascii="Times New Roman" w:eastAsia="Times New Roman" w:hAnsi="Times New Roman"/>
          <w:sz w:val="24"/>
          <w:szCs w:val="24"/>
          <w:lang w:eastAsia="x-none"/>
        </w:rPr>
        <w:t xml:space="preserve">, </w:t>
      </w:r>
      <w:r w:rsidR="00942B30">
        <w:rPr>
          <w:rFonts w:ascii="Times New Roman" w:eastAsia="Times New Roman" w:hAnsi="Times New Roman"/>
          <w:sz w:val="24"/>
          <w:szCs w:val="24"/>
          <w:lang w:eastAsia="x-none"/>
        </w:rPr>
        <w:t xml:space="preserve">compared to the contraction of 1.8% </w:t>
      </w:r>
      <w:r w:rsidR="00850DC5">
        <w:rPr>
          <w:rFonts w:ascii="Times New Roman" w:eastAsia="Times New Roman" w:hAnsi="Times New Roman"/>
          <w:sz w:val="24"/>
          <w:szCs w:val="24"/>
          <w:lang w:eastAsia="x-none"/>
        </w:rPr>
        <w:t>o</w:t>
      </w:r>
      <w:r w:rsidR="0043051B">
        <w:rPr>
          <w:rFonts w:ascii="Times New Roman" w:eastAsia="Times New Roman" w:hAnsi="Times New Roman"/>
          <w:sz w:val="24"/>
          <w:szCs w:val="24"/>
          <w:lang w:eastAsia="x-none"/>
        </w:rPr>
        <w:t xml:space="preserve">bserved </w:t>
      </w:r>
      <w:r w:rsidRPr="003D317C">
        <w:rPr>
          <w:rFonts w:ascii="Times New Roman" w:eastAsia="Times New Roman" w:hAnsi="Times New Roman"/>
          <w:sz w:val="24"/>
          <w:szCs w:val="24"/>
          <w:lang w:eastAsia="x-none"/>
        </w:rPr>
        <w:t>in the pre</w:t>
      </w:r>
      <w:r w:rsidR="00843ECF" w:rsidRPr="003D317C">
        <w:rPr>
          <w:rFonts w:ascii="Times New Roman" w:eastAsia="Times New Roman" w:hAnsi="Times New Roman"/>
          <w:sz w:val="24"/>
          <w:szCs w:val="24"/>
          <w:lang w:eastAsia="x-none"/>
        </w:rPr>
        <w:t>vious qua</w:t>
      </w:r>
      <w:r w:rsidR="0048297D" w:rsidRPr="003D317C">
        <w:rPr>
          <w:rFonts w:ascii="Times New Roman" w:eastAsia="Times New Roman" w:hAnsi="Times New Roman"/>
          <w:sz w:val="24"/>
          <w:szCs w:val="24"/>
          <w:lang w:eastAsia="x-none"/>
        </w:rPr>
        <w:t>rter. T</w:t>
      </w:r>
      <w:r w:rsidR="00860F4F">
        <w:rPr>
          <w:rFonts w:ascii="Times New Roman" w:eastAsia="Times New Roman" w:hAnsi="Times New Roman"/>
          <w:sz w:val="24"/>
          <w:szCs w:val="24"/>
          <w:lang w:eastAsia="x-none"/>
        </w:rPr>
        <w:t xml:space="preserve">he </w:t>
      </w:r>
      <w:r w:rsidR="00942B30">
        <w:rPr>
          <w:rFonts w:ascii="Times New Roman" w:eastAsia="Times New Roman" w:hAnsi="Times New Roman"/>
          <w:sz w:val="24"/>
          <w:szCs w:val="24"/>
          <w:lang w:eastAsia="x-none"/>
        </w:rPr>
        <w:t>increase</w:t>
      </w:r>
      <w:r w:rsidR="00307E00">
        <w:rPr>
          <w:rFonts w:ascii="Times New Roman" w:eastAsia="Times New Roman" w:hAnsi="Times New Roman"/>
          <w:sz w:val="24"/>
          <w:szCs w:val="24"/>
          <w:lang w:eastAsia="x-none"/>
        </w:rPr>
        <w:t xml:space="preserve"> was </w:t>
      </w:r>
      <w:r w:rsidR="00470663">
        <w:rPr>
          <w:rFonts w:ascii="Times New Roman" w:eastAsia="Times New Roman" w:hAnsi="Times New Roman"/>
          <w:sz w:val="24"/>
          <w:szCs w:val="24"/>
          <w:lang w:eastAsia="x-none"/>
        </w:rPr>
        <w:t xml:space="preserve">due to </w:t>
      </w:r>
      <w:r w:rsidR="00942B30">
        <w:rPr>
          <w:rFonts w:ascii="Times New Roman" w:eastAsia="Times New Roman" w:hAnsi="Times New Roman"/>
          <w:sz w:val="24"/>
          <w:szCs w:val="24"/>
          <w:lang w:eastAsia="x-none"/>
        </w:rPr>
        <w:t xml:space="preserve">increases </w:t>
      </w:r>
      <w:r w:rsidR="00470663">
        <w:rPr>
          <w:rFonts w:ascii="Times New Roman" w:eastAsia="Times New Roman" w:hAnsi="Times New Roman"/>
          <w:sz w:val="24"/>
          <w:szCs w:val="24"/>
          <w:lang w:eastAsia="x-none"/>
        </w:rPr>
        <w:t>in imports of</w:t>
      </w:r>
      <w:r w:rsidR="0006079B">
        <w:rPr>
          <w:rFonts w:ascii="Times New Roman" w:eastAsia="Times New Roman" w:hAnsi="Times New Roman"/>
          <w:sz w:val="24"/>
          <w:szCs w:val="24"/>
          <w:lang w:eastAsia="x-none"/>
        </w:rPr>
        <w:t xml:space="preserve"> </w:t>
      </w:r>
      <w:r w:rsidR="003F38CA">
        <w:rPr>
          <w:rFonts w:ascii="Times New Roman" w:eastAsia="Times New Roman" w:hAnsi="Times New Roman"/>
          <w:sz w:val="24"/>
          <w:szCs w:val="24"/>
          <w:lang w:eastAsia="x-none"/>
        </w:rPr>
        <w:t>goods</w:t>
      </w:r>
      <w:r w:rsidR="00DF39AE">
        <w:rPr>
          <w:rFonts w:ascii="Times New Roman" w:eastAsia="Times New Roman" w:hAnsi="Times New Roman"/>
          <w:sz w:val="24"/>
          <w:szCs w:val="24"/>
          <w:lang w:eastAsia="x-none"/>
        </w:rPr>
        <w:t xml:space="preserve"> (</w:t>
      </w:r>
      <w:r w:rsidR="00942B30">
        <w:rPr>
          <w:rFonts w:ascii="Times New Roman" w:eastAsia="Times New Roman" w:hAnsi="Times New Roman"/>
          <w:sz w:val="24"/>
          <w:szCs w:val="24"/>
          <w:lang w:eastAsia="x-none"/>
        </w:rPr>
        <w:t>4.1%</w:t>
      </w:r>
      <w:r w:rsidR="00DF39AE">
        <w:rPr>
          <w:rFonts w:ascii="Times New Roman" w:eastAsia="Times New Roman" w:hAnsi="Times New Roman"/>
          <w:sz w:val="24"/>
          <w:szCs w:val="24"/>
          <w:lang w:eastAsia="x-none"/>
        </w:rPr>
        <w:t>)</w:t>
      </w:r>
      <w:r w:rsidR="00EC09D5">
        <w:rPr>
          <w:rFonts w:ascii="Times New Roman" w:eastAsia="Times New Roman" w:hAnsi="Times New Roman"/>
          <w:sz w:val="24"/>
          <w:szCs w:val="24"/>
          <w:lang w:eastAsia="x-none"/>
        </w:rPr>
        <w:t xml:space="preserve"> and imports of services (</w:t>
      </w:r>
      <w:r w:rsidR="00942B30">
        <w:rPr>
          <w:rFonts w:ascii="Times New Roman" w:eastAsia="Times New Roman" w:hAnsi="Times New Roman"/>
          <w:sz w:val="24"/>
          <w:szCs w:val="24"/>
          <w:lang w:eastAsia="x-none"/>
        </w:rPr>
        <w:t>1.6</w:t>
      </w:r>
      <w:r w:rsidR="00EC09D5">
        <w:rPr>
          <w:rFonts w:ascii="Times New Roman" w:eastAsia="Times New Roman" w:hAnsi="Times New Roman"/>
          <w:sz w:val="24"/>
          <w:szCs w:val="24"/>
          <w:lang w:eastAsia="x-none"/>
        </w:rPr>
        <w:t>%)</w:t>
      </w:r>
      <w:r w:rsidR="00E20A0D">
        <w:rPr>
          <w:rFonts w:ascii="Times New Roman" w:eastAsia="Times New Roman" w:hAnsi="Times New Roman"/>
          <w:sz w:val="24"/>
          <w:szCs w:val="24"/>
          <w:lang w:eastAsia="x-none"/>
        </w:rPr>
        <w:t>.</w:t>
      </w:r>
    </w:p>
    <w:p w14:paraId="5ACA71DE" w14:textId="5365E982" w:rsidR="00D10BDD" w:rsidRDefault="00D10BDD" w:rsidP="003F41B1">
      <w:pPr>
        <w:spacing w:after="0" w:line="240" w:lineRule="auto"/>
        <w:ind w:firstLine="720"/>
        <w:jc w:val="both"/>
        <w:rPr>
          <w:rFonts w:ascii="Times New Roman" w:eastAsia="Times New Roman" w:hAnsi="Times New Roman"/>
          <w:sz w:val="24"/>
          <w:szCs w:val="24"/>
          <w:lang w:eastAsia="x-none"/>
        </w:rPr>
      </w:pPr>
    </w:p>
    <w:p w14:paraId="07BBFAD2" w14:textId="77777777" w:rsidR="00DE2C6D" w:rsidRDefault="00DE2C6D" w:rsidP="009C327E">
      <w:pPr>
        <w:spacing w:after="0" w:line="120" w:lineRule="auto"/>
        <w:ind w:firstLine="720"/>
        <w:jc w:val="both"/>
        <w:rPr>
          <w:rFonts w:ascii="Times New Roman" w:eastAsia="Times New Roman" w:hAnsi="Times New Roman"/>
          <w:sz w:val="24"/>
          <w:szCs w:val="24"/>
          <w:lang w:eastAsia="x-none"/>
        </w:rPr>
      </w:pPr>
    </w:p>
    <w:p w14:paraId="0A2C5BC5" w14:textId="0DE6A9E7" w:rsidR="005B04CC" w:rsidRPr="003D317C" w:rsidRDefault="00394995"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6</w:t>
      </w:r>
      <w:r w:rsidR="005B04CC" w:rsidRPr="003D317C">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ab/>
        <w:t>Seasonally adjusted quarterly GVA</w:t>
      </w:r>
    </w:p>
    <w:p w14:paraId="43D081A1" w14:textId="77777777" w:rsidR="00FB7A15" w:rsidRDefault="00FB7A15" w:rsidP="005B04CC">
      <w:pPr>
        <w:spacing w:after="0" w:line="240" w:lineRule="auto"/>
        <w:ind w:firstLine="720"/>
        <w:jc w:val="both"/>
        <w:rPr>
          <w:rFonts w:ascii="Times New Roman" w:eastAsia="Times New Roman" w:hAnsi="Times New Roman"/>
          <w:sz w:val="24"/>
          <w:szCs w:val="24"/>
          <w:lang w:eastAsia="x-none"/>
        </w:rPr>
      </w:pPr>
    </w:p>
    <w:p w14:paraId="5FE8F3A4" w14:textId="21FEB773"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eastAsia="x-none"/>
        </w:rPr>
        <w:t>Table B</w:t>
      </w:r>
      <w:r w:rsidRPr="003D317C">
        <w:rPr>
          <w:rFonts w:ascii="Times New Roman" w:eastAsia="Times New Roman" w:hAnsi="Times New Roman"/>
          <w:sz w:val="24"/>
          <w:szCs w:val="24"/>
          <w:lang w:val="x-none" w:eastAsia="x-none"/>
        </w:rPr>
        <w:t xml:space="preserve"> and Figure 4 show the year-on-year quarterly </w:t>
      </w:r>
      <w:r w:rsidRPr="003D317C">
        <w:rPr>
          <w:rFonts w:ascii="Times New Roman" w:eastAsia="Times New Roman" w:hAnsi="Times New Roman"/>
          <w:sz w:val="24"/>
          <w:szCs w:val="24"/>
          <w:lang w:val="en-US" w:eastAsia="x-none"/>
        </w:rPr>
        <w:t>GVA</w:t>
      </w:r>
      <w:r w:rsidRPr="003D317C">
        <w:rPr>
          <w:rFonts w:ascii="Times New Roman" w:eastAsia="Times New Roman" w:hAnsi="Times New Roman"/>
          <w:sz w:val="24"/>
          <w:szCs w:val="24"/>
          <w:lang w:val="x-none" w:eastAsia="x-none"/>
        </w:rPr>
        <w:t xml:space="preserve"> growth rates based on unadjusted data and the quarter-to-quarter growth rates based on seasonally adjusted data for first quarter</w:t>
      </w:r>
      <w:r w:rsidRPr="003D317C">
        <w:rPr>
          <w:rFonts w:ascii="Times New Roman" w:eastAsia="Times New Roman" w:hAnsi="Times New Roman"/>
          <w:sz w:val="24"/>
          <w:szCs w:val="24"/>
          <w:lang w:eastAsia="x-none"/>
        </w:rPr>
        <w:t xml:space="preserve"> of</w:t>
      </w:r>
      <w:r w:rsidRPr="003D317C">
        <w:rPr>
          <w:rFonts w:ascii="Times New Roman" w:eastAsia="Times New Roman" w:hAnsi="Times New Roman"/>
          <w:sz w:val="24"/>
          <w:szCs w:val="24"/>
          <w:lang w:val="x-none" w:eastAsia="x-none"/>
        </w:rPr>
        <w:t xml:space="preserve"> 20</w:t>
      </w:r>
      <w:r w:rsidR="00994237">
        <w:rPr>
          <w:rFonts w:ascii="Times New Roman" w:eastAsia="Times New Roman" w:hAnsi="Times New Roman"/>
          <w:sz w:val="24"/>
          <w:szCs w:val="24"/>
          <w:lang w:val="en-US" w:eastAsia="x-none"/>
        </w:rPr>
        <w:t>2</w:t>
      </w:r>
      <w:r w:rsidR="007162D2">
        <w:rPr>
          <w:rFonts w:ascii="Times New Roman" w:eastAsia="Times New Roman" w:hAnsi="Times New Roman"/>
          <w:sz w:val="24"/>
          <w:szCs w:val="24"/>
          <w:lang w:val="en-US" w:eastAsia="x-none"/>
        </w:rPr>
        <w:t>2</w:t>
      </w:r>
      <w:r w:rsidRPr="003D317C">
        <w:rPr>
          <w:rFonts w:ascii="Times New Roman" w:eastAsia="Times New Roman" w:hAnsi="Times New Roman"/>
          <w:sz w:val="24"/>
          <w:szCs w:val="24"/>
          <w:lang w:val="x-none" w:eastAsia="x-none"/>
        </w:rPr>
        <w:t xml:space="preserve"> to </w:t>
      </w:r>
      <w:r w:rsidR="007162D2">
        <w:rPr>
          <w:rFonts w:ascii="Times New Roman" w:eastAsia="Times New Roman" w:hAnsi="Times New Roman"/>
          <w:sz w:val="24"/>
          <w:szCs w:val="24"/>
          <w:lang w:val="en-US" w:eastAsia="x-none"/>
        </w:rPr>
        <w:t>fourth</w:t>
      </w:r>
      <w:r w:rsidRPr="003D317C">
        <w:rPr>
          <w:rFonts w:ascii="Times New Roman" w:eastAsia="Times New Roman" w:hAnsi="Times New Roman"/>
          <w:sz w:val="24"/>
          <w:szCs w:val="24"/>
          <w:lang w:val="en-US" w:eastAsia="x-none"/>
        </w:rPr>
        <w:t xml:space="preserve"> </w:t>
      </w:r>
      <w:r w:rsidRPr="003D317C">
        <w:rPr>
          <w:rFonts w:ascii="Times New Roman" w:eastAsia="Times New Roman" w:hAnsi="Times New Roman"/>
          <w:sz w:val="24"/>
          <w:szCs w:val="24"/>
          <w:lang w:val="x-none" w:eastAsia="x-none"/>
        </w:rPr>
        <w:t>quarter</w:t>
      </w:r>
      <w:r w:rsidRPr="003D317C">
        <w:rPr>
          <w:rFonts w:ascii="Times New Roman" w:eastAsia="Times New Roman" w:hAnsi="Times New Roman"/>
          <w:sz w:val="24"/>
          <w:szCs w:val="24"/>
          <w:lang w:eastAsia="x-none"/>
        </w:rPr>
        <w:t xml:space="preserve"> of</w:t>
      </w:r>
      <w:r w:rsidR="00612ABE">
        <w:rPr>
          <w:rFonts w:ascii="Times New Roman" w:eastAsia="Times New Roman" w:hAnsi="Times New Roman"/>
          <w:sz w:val="24"/>
          <w:szCs w:val="24"/>
          <w:lang w:val="x-none" w:eastAsia="x-none"/>
        </w:rPr>
        <w:t xml:space="preserve"> 202</w:t>
      </w:r>
      <w:r w:rsidR="0002216F">
        <w:rPr>
          <w:rFonts w:ascii="Times New Roman" w:eastAsia="Times New Roman" w:hAnsi="Times New Roman"/>
          <w:sz w:val="24"/>
          <w:szCs w:val="24"/>
          <w:lang w:eastAsia="x-none"/>
        </w:rPr>
        <w:t>5</w:t>
      </w:r>
      <w:r w:rsidRPr="003D317C">
        <w:rPr>
          <w:rFonts w:ascii="Times New Roman" w:eastAsia="Times New Roman" w:hAnsi="Times New Roman"/>
          <w:sz w:val="24"/>
          <w:szCs w:val="24"/>
          <w:lang w:val="x-none" w:eastAsia="x-none"/>
        </w:rPr>
        <w:t>.</w:t>
      </w:r>
    </w:p>
    <w:p w14:paraId="06D7B459"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p>
    <w:p w14:paraId="1C2E5EAD" w14:textId="5CDC3408" w:rsidR="005B04CC" w:rsidRPr="003D317C" w:rsidRDefault="005B04CC" w:rsidP="005B04CC">
      <w:pPr>
        <w:spacing w:after="0" w:line="240" w:lineRule="auto"/>
        <w:ind w:firstLine="720"/>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 xml:space="preserve">As indicated earlier, while the year-on-year growth rates can be used to analyse trends, the quarter to quarter growth rates provide a more meaningful trend analysis with the advantage of being able to detect trend changes much earlier. For example, the year-on-year growth rates show a </w:t>
      </w:r>
      <w:r w:rsidRPr="003D317C">
        <w:rPr>
          <w:rFonts w:ascii="Times New Roman" w:eastAsia="Times New Roman" w:hAnsi="Times New Roman"/>
          <w:sz w:val="24"/>
          <w:szCs w:val="24"/>
          <w:lang w:val="en-US" w:eastAsia="x-none"/>
        </w:rPr>
        <w:t xml:space="preserve">turning point in </w:t>
      </w:r>
      <w:r w:rsidRPr="003D317C">
        <w:rPr>
          <w:rFonts w:ascii="Times New Roman" w:eastAsia="Times New Roman" w:hAnsi="Times New Roman"/>
          <w:sz w:val="24"/>
          <w:szCs w:val="24"/>
          <w:lang w:val="x-none" w:eastAsia="x-none"/>
        </w:rPr>
        <w:t>the</w:t>
      </w:r>
      <w:r w:rsidR="006D12C8">
        <w:rPr>
          <w:rFonts w:ascii="Times New Roman" w:eastAsia="Times New Roman" w:hAnsi="Times New Roman"/>
          <w:sz w:val="24"/>
          <w:szCs w:val="24"/>
          <w:lang w:val="en-US" w:eastAsia="x-none"/>
        </w:rPr>
        <w:t xml:space="preserve"> </w:t>
      </w:r>
      <w:r w:rsidR="001A28D5">
        <w:rPr>
          <w:rFonts w:ascii="Times New Roman" w:eastAsia="Times New Roman" w:hAnsi="Times New Roman"/>
          <w:sz w:val="24"/>
          <w:szCs w:val="24"/>
          <w:lang w:val="en-US" w:eastAsia="x-none"/>
        </w:rPr>
        <w:t>third</w:t>
      </w:r>
      <w:r w:rsidR="00983D8B">
        <w:rPr>
          <w:rFonts w:ascii="Times New Roman" w:eastAsia="Times New Roman" w:hAnsi="Times New Roman"/>
          <w:sz w:val="24"/>
          <w:szCs w:val="24"/>
          <w:lang w:val="x-none" w:eastAsia="x-none"/>
        </w:rPr>
        <w:t xml:space="preserve"> quarter of 202</w:t>
      </w:r>
      <w:r w:rsidR="001A28D5">
        <w:rPr>
          <w:rFonts w:ascii="Times New Roman" w:eastAsia="Times New Roman" w:hAnsi="Times New Roman"/>
          <w:sz w:val="24"/>
          <w:szCs w:val="24"/>
          <w:lang w:eastAsia="x-none"/>
        </w:rPr>
        <w:t>3</w:t>
      </w:r>
      <w:r w:rsidRPr="003D317C">
        <w:rPr>
          <w:rFonts w:ascii="Times New Roman" w:eastAsia="Times New Roman" w:hAnsi="Times New Roman"/>
          <w:sz w:val="24"/>
          <w:szCs w:val="24"/>
          <w:lang w:val="x-none" w:eastAsia="x-none"/>
        </w:rPr>
        <w:t>; however the quarter-to-quarter seasonally adjusted data show a turning point as ea</w:t>
      </w:r>
      <w:r w:rsidR="006D12C8">
        <w:rPr>
          <w:rFonts w:ascii="Times New Roman" w:eastAsia="Times New Roman" w:hAnsi="Times New Roman"/>
          <w:sz w:val="24"/>
          <w:szCs w:val="24"/>
          <w:lang w:val="x-none" w:eastAsia="x-none"/>
        </w:rPr>
        <w:t xml:space="preserve">rly as </w:t>
      </w:r>
      <w:r w:rsidR="00983D8B">
        <w:rPr>
          <w:rFonts w:ascii="Times New Roman" w:eastAsia="Times New Roman" w:hAnsi="Times New Roman"/>
          <w:sz w:val="24"/>
          <w:szCs w:val="24"/>
          <w:lang w:val="x-none" w:eastAsia="x-none"/>
        </w:rPr>
        <w:t xml:space="preserve">the </w:t>
      </w:r>
      <w:r w:rsidR="001A28D5">
        <w:rPr>
          <w:rFonts w:ascii="Times New Roman" w:eastAsia="Times New Roman" w:hAnsi="Times New Roman"/>
          <w:sz w:val="24"/>
          <w:szCs w:val="24"/>
          <w:lang w:eastAsia="x-none"/>
        </w:rPr>
        <w:t>first</w:t>
      </w:r>
      <w:r w:rsidR="00983D8B">
        <w:rPr>
          <w:rFonts w:ascii="Times New Roman" w:eastAsia="Times New Roman" w:hAnsi="Times New Roman"/>
          <w:sz w:val="24"/>
          <w:szCs w:val="24"/>
          <w:lang w:val="x-none" w:eastAsia="x-none"/>
        </w:rPr>
        <w:t xml:space="preserve"> quarter of 202</w:t>
      </w:r>
      <w:r w:rsidR="00C57C29">
        <w:rPr>
          <w:rFonts w:ascii="Times New Roman" w:eastAsia="Times New Roman" w:hAnsi="Times New Roman"/>
          <w:sz w:val="24"/>
          <w:szCs w:val="24"/>
          <w:lang w:eastAsia="x-none"/>
        </w:rPr>
        <w:t>3</w:t>
      </w:r>
      <w:r w:rsidRPr="003D317C">
        <w:rPr>
          <w:rFonts w:ascii="Times New Roman" w:eastAsia="Times New Roman" w:hAnsi="Times New Roman"/>
          <w:sz w:val="24"/>
          <w:szCs w:val="24"/>
          <w:lang w:val="x-none" w:eastAsia="x-none"/>
        </w:rPr>
        <w:t>.</w:t>
      </w:r>
    </w:p>
    <w:p w14:paraId="39F2C9FF"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323C097D" w14:textId="13357552" w:rsidR="005B04CC" w:rsidRPr="003D317C" w:rsidRDefault="005B04CC" w:rsidP="005B04CC">
      <w:pPr>
        <w:spacing w:after="0" w:line="260" w:lineRule="exact"/>
        <w:ind w:firstLine="720"/>
        <w:jc w:val="both"/>
        <w:rPr>
          <w:rFonts w:ascii="Times New Roman" w:eastAsia="Times New Roman" w:hAnsi="Times New Roman"/>
          <w:sz w:val="24"/>
          <w:szCs w:val="24"/>
        </w:rPr>
      </w:pPr>
      <w:r w:rsidRPr="003D317C">
        <w:rPr>
          <w:rFonts w:ascii="Times New Roman" w:eastAsia="Times New Roman" w:hAnsi="Times New Roman"/>
          <w:sz w:val="24"/>
          <w:szCs w:val="24"/>
        </w:rPr>
        <w:t>Seasonally adju</w:t>
      </w:r>
      <w:r w:rsidR="00B3763A">
        <w:rPr>
          <w:rFonts w:ascii="Times New Roman" w:eastAsia="Times New Roman" w:hAnsi="Times New Roman"/>
          <w:sz w:val="24"/>
          <w:szCs w:val="24"/>
        </w:rPr>
        <w:t xml:space="preserve">sted data </w:t>
      </w:r>
      <w:r w:rsidR="00307E00">
        <w:rPr>
          <w:rFonts w:ascii="Times New Roman" w:eastAsia="Times New Roman" w:hAnsi="Times New Roman"/>
          <w:sz w:val="24"/>
          <w:szCs w:val="24"/>
        </w:rPr>
        <w:t>indicate that</w:t>
      </w:r>
      <w:r w:rsidR="00B3763A">
        <w:rPr>
          <w:rFonts w:ascii="Times New Roman" w:eastAsia="Times New Roman" w:hAnsi="Times New Roman"/>
          <w:sz w:val="24"/>
          <w:szCs w:val="24"/>
        </w:rPr>
        <w:t xml:space="preserve"> the quarter-</w:t>
      </w:r>
      <w:r w:rsidRPr="003D317C">
        <w:rPr>
          <w:rFonts w:ascii="Times New Roman" w:eastAsia="Times New Roman" w:hAnsi="Times New Roman"/>
          <w:sz w:val="24"/>
          <w:szCs w:val="24"/>
        </w:rPr>
        <w:t>to</w:t>
      </w:r>
      <w:r w:rsidR="00B3763A">
        <w:rPr>
          <w:rFonts w:ascii="Times New Roman" w:eastAsia="Times New Roman" w:hAnsi="Times New Roman"/>
          <w:sz w:val="24"/>
          <w:szCs w:val="24"/>
        </w:rPr>
        <w:t>-</w:t>
      </w:r>
      <w:r w:rsidR="004322D1" w:rsidRPr="003D317C">
        <w:rPr>
          <w:rFonts w:ascii="Times New Roman" w:eastAsia="Times New Roman" w:hAnsi="Times New Roman"/>
          <w:sz w:val="24"/>
          <w:szCs w:val="24"/>
        </w:rPr>
        <w:t xml:space="preserve">quarter GVA </w:t>
      </w:r>
      <w:r w:rsidR="00307E00">
        <w:rPr>
          <w:rFonts w:ascii="Times New Roman" w:eastAsia="Times New Roman" w:hAnsi="Times New Roman"/>
          <w:sz w:val="24"/>
          <w:szCs w:val="24"/>
        </w:rPr>
        <w:t>expanded</w:t>
      </w:r>
      <w:r w:rsidR="00025250">
        <w:rPr>
          <w:rFonts w:ascii="Times New Roman" w:eastAsia="Times New Roman" w:hAnsi="Times New Roman"/>
          <w:sz w:val="24"/>
          <w:szCs w:val="24"/>
        </w:rPr>
        <w:t xml:space="preserve"> by</w:t>
      </w:r>
      <w:r w:rsidR="00D10BDD">
        <w:rPr>
          <w:rFonts w:ascii="Times New Roman" w:eastAsia="Times New Roman" w:hAnsi="Times New Roman"/>
          <w:sz w:val="24"/>
          <w:szCs w:val="24"/>
        </w:rPr>
        <w:t xml:space="preserve"> </w:t>
      </w:r>
      <w:r w:rsidR="00C57C29">
        <w:rPr>
          <w:rFonts w:ascii="Times New Roman" w:eastAsia="Times New Roman" w:hAnsi="Times New Roman"/>
          <w:sz w:val="24"/>
          <w:szCs w:val="24"/>
        </w:rPr>
        <w:t>2.1</w:t>
      </w:r>
      <w:r w:rsidR="00D464BB">
        <w:rPr>
          <w:rFonts w:ascii="Times New Roman" w:eastAsia="Times New Roman" w:hAnsi="Times New Roman"/>
          <w:sz w:val="24"/>
          <w:szCs w:val="24"/>
        </w:rPr>
        <w:t>%</w:t>
      </w:r>
      <w:r w:rsidR="007C0416">
        <w:rPr>
          <w:rFonts w:ascii="Times New Roman" w:eastAsia="Times New Roman" w:hAnsi="Times New Roman"/>
          <w:sz w:val="24"/>
          <w:szCs w:val="24"/>
        </w:rPr>
        <w:t xml:space="preserve"> in the </w:t>
      </w:r>
      <w:r w:rsidR="00C57C29">
        <w:rPr>
          <w:rFonts w:ascii="Times New Roman" w:eastAsia="Times New Roman" w:hAnsi="Times New Roman"/>
          <w:sz w:val="24"/>
          <w:szCs w:val="24"/>
        </w:rPr>
        <w:t>fourth</w:t>
      </w:r>
      <w:r w:rsidR="00C21B5B">
        <w:rPr>
          <w:rFonts w:ascii="Times New Roman" w:eastAsia="Times New Roman" w:hAnsi="Times New Roman"/>
          <w:sz w:val="24"/>
          <w:szCs w:val="24"/>
        </w:rPr>
        <w:t xml:space="preserve"> </w:t>
      </w:r>
      <w:r w:rsidR="007C0416">
        <w:rPr>
          <w:rFonts w:ascii="Times New Roman" w:eastAsia="Times New Roman" w:hAnsi="Times New Roman"/>
          <w:sz w:val="24"/>
          <w:szCs w:val="24"/>
        </w:rPr>
        <w:t>quarter of 202</w:t>
      </w:r>
      <w:r w:rsidR="001920DF">
        <w:rPr>
          <w:rFonts w:ascii="Times New Roman" w:eastAsia="Times New Roman" w:hAnsi="Times New Roman"/>
          <w:sz w:val="24"/>
          <w:szCs w:val="24"/>
        </w:rPr>
        <w:t>5</w:t>
      </w:r>
      <w:r w:rsidR="00307E00">
        <w:rPr>
          <w:rFonts w:ascii="Times New Roman" w:eastAsia="Times New Roman" w:hAnsi="Times New Roman"/>
          <w:sz w:val="24"/>
          <w:szCs w:val="24"/>
        </w:rPr>
        <w:t xml:space="preserve">, following a </w:t>
      </w:r>
      <w:r w:rsidR="00C57C29">
        <w:rPr>
          <w:rFonts w:ascii="Times New Roman" w:eastAsia="Times New Roman" w:hAnsi="Times New Roman"/>
          <w:sz w:val="24"/>
          <w:szCs w:val="24"/>
        </w:rPr>
        <w:t>1.2</w:t>
      </w:r>
      <w:r w:rsidR="00D464BB">
        <w:rPr>
          <w:rFonts w:ascii="Times New Roman" w:eastAsia="Times New Roman" w:hAnsi="Times New Roman"/>
          <w:sz w:val="24"/>
          <w:szCs w:val="24"/>
        </w:rPr>
        <w:t>%</w:t>
      </w:r>
      <w:r w:rsidR="00307E00">
        <w:rPr>
          <w:rFonts w:ascii="Times New Roman" w:eastAsia="Times New Roman" w:hAnsi="Times New Roman"/>
          <w:sz w:val="24"/>
          <w:szCs w:val="24"/>
        </w:rPr>
        <w:t xml:space="preserve"> increase in</w:t>
      </w:r>
      <w:r w:rsidR="00CB1FF1" w:rsidRPr="003D317C">
        <w:rPr>
          <w:rFonts w:ascii="Times New Roman" w:eastAsia="Times New Roman" w:hAnsi="Times New Roman"/>
          <w:sz w:val="24"/>
          <w:szCs w:val="24"/>
        </w:rPr>
        <w:t xml:space="preserve"> the</w:t>
      </w:r>
      <w:r w:rsidR="00FF3ACE" w:rsidRPr="003D317C">
        <w:rPr>
          <w:rFonts w:ascii="Times New Roman" w:eastAsia="Times New Roman" w:hAnsi="Times New Roman"/>
          <w:sz w:val="24"/>
          <w:szCs w:val="24"/>
        </w:rPr>
        <w:t xml:space="preserve"> </w:t>
      </w:r>
      <w:r w:rsidR="00612ABE">
        <w:rPr>
          <w:rFonts w:ascii="Times New Roman" w:eastAsia="Times New Roman" w:hAnsi="Times New Roman"/>
          <w:sz w:val="24"/>
          <w:szCs w:val="24"/>
        </w:rPr>
        <w:t>previous quarter.</w:t>
      </w:r>
    </w:p>
    <w:p w14:paraId="4444CFAF" w14:textId="77777777" w:rsidR="005B04CC" w:rsidRPr="003D317C" w:rsidRDefault="005B04CC" w:rsidP="005B04CC">
      <w:pPr>
        <w:spacing w:after="0" w:line="260" w:lineRule="exact"/>
        <w:ind w:firstLine="720"/>
        <w:jc w:val="both"/>
        <w:rPr>
          <w:rFonts w:ascii="Times New Roman" w:eastAsia="Times New Roman" w:hAnsi="Times New Roman"/>
          <w:sz w:val="24"/>
          <w:szCs w:val="24"/>
        </w:rPr>
      </w:pPr>
    </w:p>
    <w:p w14:paraId="1EE04D29"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r w:rsidRPr="003D317C">
        <w:rPr>
          <w:rFonts w:ascii="Times New Roman" w:eastAsia="Times New Roman" w:hAnsi="Times New Roman"/>
          <w:sz w:val="24"/>
          <w:szCs w:val="24"/>
        </w:rPr>
        <w:t>U</w:t>
      </w:r>
      <w:proofErr w:type="spellStart"/>
      <w:r w:rsidRPr="003D317C">
        <w:rPr>
          <w:rFonts w:ascii="Times New Roman" w:eastAsia="Times New Roman" w:hAnsi="Times New Roman"/>
          <w:sz w:val="24"/>
          <w:szCs w:val="24"/>
          <w:lang w:val="en-US"/>
        </w:rPr>
        <w:t>sers</w:t>
      </w:r>
      <w:proofErr w:type="spellEnd"/>
      <w:r w:rsidRPr="003D317C">
        <w:rPr>
          <w:rFonts w:ascii="Times New Roman" w:eastAsia="Times New Roman" w:hAnsi="Times New Roman"/>
          <w:sz w:val="24"/>
          <w:szCs w:val="24"/>
          <w:lang w:val="en-US"/>
        </w:rPr>
        <w:t xml:space="preserve"> may consult the website of Statistics Mauritius (http</w:t>
      </w:r>
      <w:r w:rsidR="00E024FB">
        <w:rPr>
          <w:rFonts w:ascii="Times New Roman" w:eastAsia="Times New Roman" w:hAnsi="Times New Roman"/>
          <w:sz w:val="24"/>
          <w:szCs w:val="24"/>
          <w:lang w:val="en-US"/>
        </w:rPr>
        <w:t>s</w:t>
      </w:r>
      <w:r w:rsidRPr="003D317C">
        <w:rPr>
          <w:rFonts w:ascii="Times New Roman" w:eastAsia="Times New Roman" w:hAnsi="Times New Roman"/>
          <w:sz w:val="24"/>
          <w:szCs w:val="24"/>
          <w:lang w:val="en-US"/>
        </w:rPr>
        <w:t>://statsmauritius.govmu.org) for seasonally adjusted growth rates by industry group.</w:t>
      </w:r>
    </w:p>
    <w:p w14:paraId="1DFCD68B" w14:textId="77777777" w:rsidR="005B04CC" w:rsidRPr="003D317C" w:rsidRDefault="005B04CC" w:rsidP="005B04CC">
      <w:pPr>
        <w:spacing w:after="0" w:line="260" w:lineRule="exact"/>
        <w:ind w:firstLine="720"/>
        <w:jc w:val="both"/>
        <w:rPr>
          <w:rFonts w:ascii="Times New Roman" w:eastAsia="Times New Roman" w:hAnsi="Times New Roman"/>
          <w:sz w:val="24"/>
          <w:szCs w:val="24"/>
          <w:lang w:val="en-US"/>
        </w:rPr>
      </w:pPr>
    </w:p>
    <w:p w14:paraId="07BF5244" w14:textId="77777777" w:rsidR="00743A5B" w:rsidRDefault="00743A5B" w:rsidP="005D013E">
      <w:pPr>
        <w:spacing w:after="0" w:line="260" w:lineRule="exact"/>
        <w:jc w:val="both"/>
        <w:rPr>
          <w:rFonts w:ascii="Times New Roman" w:eastAsia="Times New Roman" w:hAnsi="Times New Roman"/>
          <w:b/>
          <w:sz w:val="24"/>
          <w:szCs w:val="24"/>
          <w:lang w:val="en-US"/>
        </w:rPr>
      </w:pPr>
    </w:p>
    <w:p w14:paraId="51C39DEB" w14:textId="3FA17253" w:rsidR="005B04CC" w:rsidRDefault="005B04CC" w:rsidP="005D013E">
      <w:pPr>
        <w:spacing w:after="0" w:line="260" w:lineRule="exact"/>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Table B: Quarterly GVA growth rates</w:t>
      </w:r>
      <w:r w:rsidRPr="003D317C">
        <w:rPr>
          <w:rFonts w:ascii="Times New Roman" w:eastAsia="Times New Roman" w:hAnsi="Times New Roman"/>
          <w:b/>
          <w:sz w:val="24"/>
          <w:szCs w:val="24"/>
          <w:vertAlign w:val="superscript"/>
          <w:lang w:val="en-US"/>
        </w:rPr>
        <w:t xml:space="preserve"> 1</w:t>
      </w:r>
      <w:r w:rsidRPr="003D317C">
        <w:rPr>
          <w:rFonts w:ascii="Times New Roman" w:eastAsia="Times New Roman" w:hAnsi="Times New Roman"/>
          <w:b/>
          <w:sz w:val="24"/>
          <w:szCs w:val="24"/>
          <w:lang w:val="en-US"/>
        </w:rPr>
        <w:t>, Q</w:t>
      </w:r>
      <w:r w:rsidRPr="003D317C">
        <w:rPr>
          <w:rFonts w:ascii="Times New Roman" w:eastAsia="Times New Roman" w:hAnsi="Times New Roman"/>
          <w:b/>
          <w:sz w:val="24"/>
          <w:szCs w:val="24"/>
          <w:vertAlign w:val="subscript"/>
          <w:lang w:val="en-US"/>
        </w:rPr>
        <w:t>1</w:t>
      </w:r>
      <w:r w:rsidR="00983D8B">
        <w:rPr>
          <w:rFonts w:ascii="Times New Roman" w:eastAsia="Times New Roman" w:hAnsi="Times New Roman"/>
          <w:b/>
          <w:sz w:val="24"/>
          <w:szCs w:val="24"/>
          <w:lang w:val="en-US"/>
        </w:rPr>
        <w:t xml:space="preserve"> 20</w:t>
      </w:r>
      <w:r w:rsidR="00994237">
        <w:rPr>
          <w:rFonts w:ascii="Times New Roman" w:eastAsia="Times New Roman" w:hAnsi="Times New Roman"/>
          <w:b/>
          <w:sz w:val="24"/>
          <w:szCs w:val="24"/>
          <w:lang w:val="en-US"/>
        </w:rPr>
        <w:t>2</w:t>
      </w:r>
      <w:r w:rsidR="007162D2">
        <w:rPr>
          <w:rFonts w:ascii="Times New Roman" w:eastAsia="Times New Roman" w:hAnsi="Times New Roman"/>
          <w:b/>
          <w:sz w:val="24"/>
          <w:szCs w:val="24"/>
          <w:lang w:val="en-US"/>
        </w:rPr>
        <w:t>2</w:t>
      </w:r>
      <w:r w:rsidRPr="003D317C">
        <w:rPr>
          <w:rFonts w:ascii="Times New Roman" w:eastAsia="Times New Roman" w:hAnsi="Times New Roman"/>
          <w:b/>
          <w:sz w:val="24"/>
          <w:szCs w:val="24"/>
          <w:lang w:val="en-US"/>
        </w:rPr>
        <w:t xml:space="preserve"> – Q</w:t>
      </w:r>
      <w:r w:rsidR="007162D2">
        <w:rPr>
          <w:rFonts w:ascii="Times New Roman" w:eastAsia="Times New Roman" w:hAnsi="Times New Roman"/>
          <w:b/>
          <w:sz w:val="24"/>
          <w:szCs w:val="24"/>
          <w:vertAlign w:val="subscript"/>
          <w:lang w:val="en-US"/>
        </w:rPr>
        <w:t>4</w:t>
      </w:r>
      <w:r w:rsidRPr="003D317C">
        <w:rPr>
          <w:rFonts w:ascii="Times New Roman" w:eastAsia="Times New Roman" w:hAnsi="Times New Roman"/>
          <w:b/>
          <w:sz w:val="24"/>
          <w:szCs w:val="24"/>
          <w:vertAlign w:val="subscript"/>
          <w:lang w:val="en-US"/>
        </w:rPr>
        <w:t xml:space="preserve"> </w:t>
      </w:r>
      <w:r w:rsidR="008907B5" w:rsidRPr="003D317C">
        <w:rPr>
          <w:rFonts w:ascii="Times New Roman" w:eastAsia="Times New Roman" w:hAnsi="Times New Roman"/>
          <w:b/>
          <w:sz w:val="24"/>
          <w:szCs w:val="24"/>
          <w:lang w:val="en-US"/>
        </w:rPr>
        <w:t>20</w:t>
      </w:r>
      <w:r w:rsidR="003D28C3">
        <w:rPr>
          <w:rFonts w:ascii="Times New Roman" w:eastAsia="Times New Roman" w:hAnsi="Times New Roman"/>
          <w:b/>
          <w:sz w:val="24"/>
          <w:szCs w:val="24"/>
          <w:lang w:val="en-US"/>
        </w:rPr>
        <w:t>2</w:t>
      </w:r>
      <w:r w:rsidR="000C162A">
        <w:rPr>
          <w:rFonts w:ascii="Times New Roman" w:eastAsia="Times New Roman" w:hAnsi="Times New Roman"/>
          <w:b/>
          <w:sz w:val="24"/>
          <w:szCs w:val="24"/>
          <w:lang w:val="en-US"/>
        </w:rPr>
        <w:t>5</w:t>
      </w:r>
    </w:p>
    <w:p w14:paraId="588E2872" w14:textId="77777777" w:rsidR="003F590B" w:rsidRDefault="003F590B" w:rsidP="003F590B">
      <w:pPr>
        <w:spacing w:after="0" w:line="120" w:lineRule="auto"/>
        <w:jc w:val="both"/>
        <w:rPr>
          <w:rFonts w:ascii="Times New Roman" w:eastAsia="Times New Roman" w:hAnsi="Times New Roman"/>
          <w:b/>
          <w:sz w:val="24"/>
          <w:szCs w:val="24"/>
          <w:lang w:val="en-US"/>
        </w:rPr>
      </w:pPr>
    </w:p>
    <w:p w14:paraId="60B282B7" w14:textId="637327A3" w:rsidR="00EC7BE3" w:rsidRPr="003D317C" w:rsidRDefault="007162D2" w:rsidP="005B04CC">
      <w:pPr>
        <w:spacing w:after="0" w:line="240" w:lineRule="auto"/>
        <w:jc w:val="both"/>
        <w:rPr>
          <w:rFonts w:ascii="Times New Roman" w:eastAsia="Times New Roman" w:hAnsi="Times New Roman"/>
          <w:sz w:val="18"/>
          <w:szCs w:val="18"/>
          <w:lang w:eastAsia="x-none"/>
        </w:rPr>
      </w:pPr>
      <w:r w:rsidRPr="007162D2">
        <w:rPr>
          <w:noProof/>
        </w:rPr>
        <w:drawing>
          <wp:inline distT="0" distB="0" distL="0" distR="0" wp14:anchorId="4CA5C08E" wp14:editId="47C4C981">
            <wp:extent cx="5905500" cy="32461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05500" cy="3246120"/>
                    </a:xfrm>
                    <a:prstGeom prst="rect">
                      <a:avLst/>
                    </a:prstGeom>
                    <a:noFill/>
                    <a:ln>
                      <a:noFill/>
                    </a:ln>
                  </pic:spPr>
                </pic:pic>
              </a:graphicData>
            </a:graphic>
          </wp:inline>
        </w:drawing>
      </w:r>
    </w:p>
    <w:p w14:paraId="3B4D9680" w14:textId="206767D7" w:rsidR="008907B5" w:rsidRDefault="008907B5" w:rsidP="003C5F65">
      <w:pPr>
        <w:pStyle w:val="BodyText2"/>
        <w:rPr>
          <w:sz w:val="18"/>
          <w:szCs w:val="18"/>
          <w:lang w:val="en-GB"/>
        </w:rPr>
      </w:pPr>
      <w:r w:rsidRPr="006F5D36">
        <w:rPr>
          <w:sz w:val="18"/>
          <w:szCs w:val="18"/>
          <w:lang w:val="en-GB"/>
        </w:rPr>
        <w:t xml:space="preserve">1/ </w:t>
      </w:r>
      <w:r w:rsidR="006F5D36" w:rsidRPr="006F5D36">
        <w:rPr>
          <w:sz w:val="18"/>
          <w:szCs w:val="18"/>
          <w:lang w:val="en-GB"/>
        </w:rPr>
        <w:t>Year-on-year</w:t>
      </w:r>
      <w:r w:rsidR="006F5D36">
        <w:rPr>
          <w:sz w:val="18"/>
          <w:szCs w:val="18"/>
          <w:lang w:val="en-GB"/>
        </w:rPr>
        <w:t xml:space="preserve"> </w:t>
      </w:r>
      <w:r w:rsidR="00431288">
        <w:rPr>
          <w:sz w:val="18"/>
          <w:szCs w:val="18"/>
          <w:lang w:val="en-GB"/>
        </w:rPr>
        <w:t xml:space="preserve">and seasonally adjusted </w:t>
      </w:r>
      <w:r w:rsidR="006F5D36" w:rsidRPr="006F5D36">
        <w:rPr>
          <w:sz w:val="18"/>
          <w:szCs w:val="18"/>
        </w:rPr>
        <w:t>growth</w:t>
      </w:r>
      <w:r w:rsidR="000E6E3A" w:rsidRPr="006F5D36">
        <w:rPr>
          <w:sz w:val="18"/>
          <w:szCs w:val="18"/>
        </w:rPr>
        <w:t xml:space="preserve"> rate</w:t>
      </w:r>
      <w:r w:rsidR="00AA3C70" w:rsidRPr="006F5D36">
        <w:rPr>
          <w:sz w:val="18"/>
          <w:szCs w:val="18"/>
          <w:lang w:val="en-GB"/>
        </w:rPr>
        <w:t>s</w:t>
      </w:r>
      <w:r w:rsidR="00A45EBE" w:rsidRPr="006F5D36">
        <w:rPr>
          <w:sz w:val="18"/>
          <w:szCs w:val="18"/>
          <w:lang w:val="en-GB"/>
        </w:rPr>
        <w:t xml:space="preserve"> f</w:t>
      </w:r>
      <w:r w:rsidR="006E7151" w:rsidRPr="006F5D36">
        <w:rPr>
          <w:sz w:val="18"/>
          <w:szCs w:val="18"/>
          <w:lang w:val="en-GB"/>
        </w:rPr>
        <w:t>rom</w:t>
      </w:r>
      <w:r w:rsidR="00A45EBE" w:rsidRPr="006F5D36">
        <w:rPr>
          <w:sz w:val="18"/>
          <w:szCs w:val="18"/>
          <w:lang w:val="en-GB"/>
        </w:rPr>
        <w:t xml:space="preserve"> </w:t>
      </w:r>
      <w:r w:rsidR="006E7151" w:rsidRPr="006F5D36">
        <w:rPr>
          <w:sz w:val="18"/>
          <w:szCs w:val="18"/>
          <w:lang w:val="en-GB"/>
        </w:rPr>
        <w:t>first</w:t>
      </w:r>
      <w:r w:rsidR="00A45EBE" w:rsidRPr="006F5D36">
        <w:rPr>
          <w:sz w:val="18"/>
          <w:szCs w:val="18"/>
          <w:lang w:val="en-GB"/>
        </w:rPr>
        <w:t xml:space="preserve"> quarter of 202</w:t>
      </w:r>
      <w:r w:rsidR="005430C8">
        <w:rPr>
          <w:sz w:val="18"/>
          <w:szCs w:val="18"/>
          <w:lang w:val="en-GB"/>
        </w:rPr>
        <w:t>5</w:t>
      </w:r>
      <w:r w:rsidR="006E7151" w:rsidRPr="006F5D36">
        <w:rPr>
          <w:sz w:val="18"/>
          <w:szCs w:val="18"/>
          <w:lang w:val="en-GB"/>
        </w:rPr>
        <w:t xml:space="preserve"> </w:t>
      </w:r>
      <w:r w:rsidR="00773FE2" w:rsidRPr="006F5D36">
        <w:rPr>
          <w:sz w:val="18"/>
          <w:szCs w:val="18"/>
          <w:lang w:val="en-GB"/>
        </w:rPr>
        <w:t xml:space="preserve">have been revised and that of </w:t>
      </w:r>
      <w:r w:rsidR="00330D0C" w:rsidRPr="006F5D36">
        <w:rPr>
          <w:sz w:val="18"/>
          <w:szCs w:val="18"/>
          <w:lang w:val="en-GB"/>
        </w:rPr>
        <w:t xml:space="preserve">the </w:t>
      </w:r>
      <w:r w:rsidR="00C57C29">
        <w:rPr>
          <w:sz w:val="18"/>
          <w:szCs w:val="18"/>
          <w:lang w:val="en-GB"/>
        </w:rPr>
        <w:t>fourth</w:t>
      </w:r>
      <w:r w:rsidR="00330D0C" w:rsidRPr="006F5D36">
        <w:rPr>
          <w:sz w:val="18"/>
          <w:szCs w:val="18"/>
          <w:lang w:val="en-GB"/>
        </w:rPr>
        <w:t xml:space="preserve"> </w:t>
      </w:r>
      <w:r w:rsidR="00773FE2" w:rsidRPr="006F5D36">
        <w:rPr>
          <w:sz w:val="18"/>
          <w:szCs w:val="18"/>
          <w:lang w:val="en-GB"/>
        </w:rPr>
        <w:t>quarter of 202</w:t>
      </w:r>
      <w:r w:rsidR="006F5D36" w:rsidRPr="006F5D36">
        <w:rPr>
          <w:sz w:val="18"/>
          <w:szCs w:val="18"/>
          <w:lang w:val="en-GB"/>
        </w:rPr>
        <w:t>5</w:t>
      </w:r>
      <w:r w:rsidR="00773FE2" w:rsidRPr="006F5D36">
        <w:rPr>
          <w:sz w:val="18"/>
          <w:szCs w:val="18"/>
          <w:lang w:val="en-GB"/>
        </w:rPr>
        <w:t xml:space="preserve"> </w:t>
      </w:r>
      <w:r w:rsidR="003C5F65" w:rsidRPr="006F5D36">
        <w:rPr>
          <w:sz w:val="18"/>
          <w:szCs w:val="18"/>
        </w:rPr>
        <w:t>is a first estimate</w:t>
      </w:r>
      <w:r w:rsidR="00897CFF" w:rsidRPr="006F5D36">
        <w:rPr>
          <w:sz w:val="18"/>
          <w:szCs w:val="18"/>
          <w:lang w:val="en-GB"/>
        </w:rPr>
        <w:t>.</w:t>
      </w:r>
    </w:p>
    <w:p w14:paraId="2A93752F" w14:textId="77777777" w:rsidR="00133B32" w:rsidRDefault="00133B32" w:rsidP="003C5F65">
      <w:pPr>
        <w:pStyle w:val="BodyText2"/>
        <w:rPr>
          <w:sz w:val="18"/>
          <w:szCs w:val="18"/>
          <w:lang w:val="en-GB"/>
        </w:rPr>
      </w:pPr>
    </w:p>
    <w:p w14:paraId="760346E4" w14:textId="77777777" w:rsidR="00133B32" w:rsidRDefault="00133B32" w:rsidP="003C5F65">
      <w:pPr>
        <w:pStyle w:val="BodyText2"/>
        <w:rPr>
          <w:sz w:val="18"/>
          <w:szCs w:val="18"/>
          <w:lang w:val="en-GB"/>
        </w:rPr>
      </w:pPr>
    </w:p>
    <w:p w14:paraId="76C38938" w14:textId="77777777" w:rsidR="0089435E" w:rsidRDefault="0089435E" w:rsidP="003C5F65">
      <w:pPr>
        <w:pStyle w:val="BodyText2"/>
        <w:rPr>
          <w:sz w:val="18"/>
          <w:szCs w:val="18"/>
          <w:lang w:val="en-GB"/>
        </w:rPr>
      </w:pPr>
    </w:p>
    <w:p w14:paraId="467414DE" w14:textId="761A7C2A" w:rsidR="00133B32" w:rsidRDefault="00133B32" w:rsidP="003C5F65">
      <w:pPr>
        <w:pStyle w:val="BodyText2"/>
        <w:rPr>
          <w:sz w:val="18"/>
          <w:szCs w:val="18"/>
          <w:lang w:val="en-GB"/>
        </w:rPr>
      </w:pPr>
    </w:p>
    <w:p w14:paraId="711A5A3B" w14:textId="4B4D3F6C" w:rsidR="00EF5EED" w:rsidRDefault="00EF5EED" w:rsidP="003C5F65">
      <w:pPr>
        <w:pStyle w:val="BodyText2"/>
        <w:rPr>
          <w:sz w:val="18"/>
          <w:szCs w:val="18"/>
          <w:lang w:val="en-GB"/>
        </w:rPr>
      </w:pPr>
    </w:p>
    <w:p w14:paraId="6D86E879" w14:textId="6B916CC8" w:rsidR="003F41B1" w:rsidRDefault="003F41B1" w:rsidP="003C5F65">
      <w:pPr>
        <w:pStyle w:val="BodyText2"/>
        <w:rPr>
          <w:sz w:val="18"/>
          <w:szCs w:val="18"/>
          <w:lang w:val="en-GB"/>
        </w:rPr>
      </w:pPr>
    </w:p>
    <w:p w14:paraId="45071431" w14:textId="0060FD0D" w:rsidR="003F41B1" w:rsidRDefault="003F41B1" w:rsidP="003C5F65">
      <w:pPr>
        <w:pStyle w:val="BodyText2"/>
        <w:rPr>
          <w:sz w:val="18"/>
          <w:szCs w:val="18"/>
          <w:lang w:val="en-GB"/>
        </w:rPr>
      </w:pPr>
    </w:p>
    <w:p w14:paraId="23D89C63" w14:textId="47F45270" w:rsidR="004356EF" w:rsidRDefault="004356EF" w:rsidP="003C5F65">
      <w:pPr>
        <w:pStyle w:val="BodyText2"/>
        <w:rPr>
          <w:sz w:val="18"/>
          <w:szCs w:val="18"/>
          <w:lang w:val="en-GB"/>
        </w:rPr>
      </w:pPr>
    </w:p>
    <w:p w14:paraId="030B7E10" w14:textId="6AEFEA73" w:rsidR="004356EF" w:rsidRDefault="004356EF" w:rsidP="003C5F65">
      <w:pPr>
        <w:pStyle w:val="BodyText2"/>
        <w:rPr>
          <w:sz w:val="18"/>
          <w:szCs w:val="18"/>
          <w:lang w:val="en-GB"/>
        </w:rPr>
      </w:pPr>
    </w:p>
    <w:p w14:paraId="1102384A" w14:textId="1D3638B1" w:rsidR="004356EF" w:rsidRDefault="004356EF" w:rsidP="003C5F65">
      <w:pPr>
        <w:pStyle w:val="BodyText2"/>
        <w:rPr>
          <w:sz w:val="18"/>
          <w:szCs w:val="18"/>
          <w:lang w:val="en-GB"/>
        </w:rPr>
      </w:pPr>
    </w:p>
    <w:p w14:paraId="44298E8E" w14:textId="094EB688" w:rsidR="004356EF" w:rsidRDefault="004356EF" w:rsidP="003C5F65">
      <w:pPr>
        <w:pStyle w:val="BodyText2"/>
        <w:rPr>
          <w:sz w:val="18"/>
          <w:szCs w:val="18"/>
          <w:lang w:val="en-GB"/>
        </w:rPr>
      </w:pPr>
    </w:p>
    <w:p w14:paraId="2BBD23D3" w14:textId="121413C5" w:rsidR="004356EF" w:rsidRDefault="004356EF" w:rsidP="003C5F65">
      <w:pPr>
        <w:pStyle w:val="BodyText2"/>
        <w:rPr>
          <w:sz w:val="18"/>
          <w:szCs w:val="18"/>
          <w:lang w:val="en-GB"/>
        </w:rPr>
      </w:pPr>
    </w:p>
    <w:p w14:paraId="2747364C" w14:textId="71FAD141" w:rsidR="004356EF" w:rsidRDefault="004356EF" w:rsidP="003C5F65">
      <w:pPr>
        <w:pStyle w:val="BodyText2"/>
        <w:rPr>
          <w:sz w:val="18"/>
          <w:szCs w:val="18"/>
          <w:lang w:val="en-GB"/>
        </w:rPr>
      </w:pPr>
    </w:p>
    <w:p w14:paraId="3E3AAE0A" w14:textId="77777777" w:rsidR="004356EF" w:rsidRDefault="004356EF" w:rsidP="003C5F65">
      <w:pPr>
        <w:pStyle w:val="BodyText2"/>
        <w:rPr>
          <w:sz w:val="18"/>
          <w:szCs w:val="18"/>
          <w:lang w:val="en-GB"/>
        </w:rPr>
      </w:pPr>
    </w:p>
    <w:p w14:paraId="46BE0126" w14:textId="77777777" w:rsidR="003F41B1" w:rsidRDefault="003F41B1" w:rsidP="003C5F65">
      <w:pPr>
        <w:pStyle w:val="BodyText2"/>
        <w:rPr>
          <w:sz w:val="18"/>
          <w:szCs w:val="18"/>
          <w:lang w:val="en-GB"/>
        </w:rPr>
      </w:pPr>
    </w:p>
    <w:p w14:paraId="2D4BBA94" w14:textId="434CF858" w:rsidR="00EF5EED" w:rsidRDefault="00EF5EED" w:rsidP="003C5F65">
      <w:pPr>
        <w:pStyle w:val="BodyText2"/>
        <w:rPr>
          <w:sz w:val="18"/>
          <w:szCs w:val="18"/>
          <w:lang w:val="en-GB"/>
        </w:rPr>
      </w:pPr>
    </w:p>
    <w:p w14:paraId="7AE02C98" w14:textId="43877995" w:rsidR="000F25DD" w:rsidRDefault="000F25DD" w:rsidP="003C5F65">
      <w:pPr>
        <w:pStyle w:val="BodyText2"/>
        <w:rPr>
          <w:sz w:val="18"/>
          <w:szCs w:val="18"/>
          <w:lang w:val="en-GB"/>
        </w:rPr>
      </w:pPr>
    </w:p>
    <w:p w14:paraId="3F502A9C" w14:textId="017F8894" w:rsidR="000F25DD" w:rsidRDefault="000F25DD" w:rsidP="003C5F65">
      <w:pPr>
        <w:pStyle w:val="BodyText2"/>
        <w:rPr>
          <w:sz w:val="18"/>
          <w:szCs w:val="18"/>
          <w:lang w:val="en-GB"/>
        </w:rPr>
      </w:pPr>
    </w:p>
    <w:p w14:paraId="41423DD8" w14:textId="06017B72" w:rsidR="005B04CC" w:rsidRDefault="000647C4" w:rsidP="005B04CC">
      <w:pPr>
        <w:spacing w:after="0" w:line="240" w:lineRule="auto"/>
        <w:jc w:val="both"/>
        <w:rPr>
          <w:rFonts w:ascii="Times New Roman" w:eastAsia="Times New Roman" w:hAnsi="Times New Roman"/>
          <w:b/>
          <w:sz w:val="24"/>
          <w:szCs w:val="24"/>
          <w:lang w:eastAsia="x-none"/>
        </w:rPr>
      </w:pPr>
      <w:r>
        <w:rPr>
          <w:rFonts w:ascii="Times New Roman" w:eastAsia="Times New Roman" w:hAnsi="Times New Roman"/>
          <w:b/>
          <w:sz w:val="24"/>
          <w:szCs w:val="24"/>
          <w:lang w:eastAsia="x-none"/>
        </w:rPr>
        <w:lastRenderedPageBreak/>
        <w:t>Fig</w:t>
      </w:r>
      <w:r w:rsidR="005B04CC" w:rsidRPr="003D317C">
        <w:rPr>
          <w:rFonts w:ascii="Times New Roman" w:eastAsia="Times New Roman" w:hAnsi="Times New Roman"/>
          <w:b/>
          <w:sz w:val="24"/>
          <w:szCs w:val="24"/>
          <w:lang w:eastAsia="x-none"/>
        </w:rPr>
        <w:t xml:space="preserve"> 4: GVA growth rates (over corresponding quarter of previous </w:t>
      </w:r>
      <w:r w:rsidR="00D54557">
        <w:rPr>
          <w:rFonts w:ascii="Times New Roman" w:eastAsia="Times New Roman" w:hAnsi="Times New Roman"/>
          <w:b/>
          <w:sz w:val="24"/>
          <w:szCs w:val="24"/>
          <w:lang w:eastAsia="x-none"/>
        </w:rPr>
        <w:t>year and quarter-</w:t>
      </w:r>
      <w:r w:rsidR="005B04CC" w:rsidRPr="003D317C">
        <w:rPr>
          <w:rFonts w:ascii="Times New Roman" w:eastAsia="Times New Roman" w:hAnsi="Times New Roman"/>
          <w:b/>
          <w:sz w:val="24"/>
          <w:szCs w:val="24"/>
          <w:lang w:eastAsia="x-none"/>
        </w:rPr>
        <w:t>to</w:t>
      </w:r>
      <w:r w:rsidR="00D54557">
        <w:rPr>
          <w:rFonts w:ascii="Times New Roman" w:eastAsia="Times New Roman" w:hAnsi="Times New Roman"/>
          <w:b/>
          <w:sz w:val="24"/>
          <w:szCs w:val="24"/>
          <w:lang w:eastAsia="x-none"/>
        </w:rPr>
        <w:t>-</w:t>
      </w:r>
      <w:r w:rsidR="005B04CC" w:rsidRPr="003D317C">
        <w:rPr>
          <w:rFonts w:ascii="Times New Roman" w:eastAsia="Times New Roman" w:hAnsi="Times New Roman"/>
          <w:b/>
          <w:sz w:val="24"/>
          <w:szCs w:val="24"/>
          <w:lang w:eastAsia="x-none"/>
        </w:rPr>
        <w:t xml:space="preserve"> quarter), Q</w:t>
      </w:r>
      <w:r w:rsidR="005B04CC" w:rsidRPr="003D317C">
        <w:rPr>
          <w:rFonts w:ascii="Times New (W1)" w:eastAsia="Times New Roman" w:hAnsi="Times New (W1)"/>
          <w:b/>
          <w:sz w:val="24"/>
          <w:szCs w:val="24"/>
          <w:vertAlign w:val="subscript"/>
          <w:lang w:eastAsia="x-none"/>
        </w:rPr>
        <w:t xml:space="preserve">1 </w:t>
      </w:r>
      <w:r w:rsidR="00C71EE8">
        <w:rPr>
          <w:rFonts w:ascii="Times New Roman" w:eastAsia="Times New Roman" w:hAnsi="Times New Roman"/>
          <w:b/>
          <w:sz w:val="24"/>
          <w:szCs w:val="24"/>
          <w:lang w:eastAsia="x-none"/>
        </w:rPr>
        <w:t>20</w:t>
      </w:r>
      <w:r w:rsidR="006E7151">
        <w:rPr>
          <w:rFonts w:ascii="Times New Roman" w:eastAsia="Times New Roman" w:hAnsi="Times New Roman"/>
          <w:b/>
          <w:sz w:val="24"/>
          <w:szCs w:val="24"/>
          <w:lang w:eastAsia="x-none"/>
        </w:rPr>
        <w:t>2</w:t>
      </w:r>
      <w:r w:rsidR="00C57C29">
        <w:rPr>
          <w:rFonts w:ascii="Times New Roman" w:eastAsia="Times New Roman" w:hAnsi="Times New Roman"/>
          <w:b/>
          <w:sz w:val="24"/>
          <w:szCs w:val="24"/>
          <w:lang w:eastAsia="x-none"/>
        </w:rPr>
        <w:t>2</w:t>
      </w:r>
      <w:r w:rsidR="005B04CC" w:rsidRPr="003D317C">
        <w:rPr>
          <w:rFonts w:ascii="Times New Roman" w:eastAsia="Times New Roman" w:hAnsi="Times New Roman"/>
          <w:b/>
          <w:sz w:val="24"/>
          <w:szCs w:val="24"/>
          <w:lang w:eastAsia="x-none"/>
        </w:rPr>
        <w:t xml:space="preserve"> – Q</w:t>
      </w:r>
      <w:r w:rsidR="00C57C29">
        <w:rPr>
          <w:rFonts w:ascii="Times New (W1)" w:eastAsia="Times New Roman" w:hAnsi="Times New (W1)"/>
          <w:b/>
          <w:sz w:val="24"/>
          <w:szCs w:val="24"/>
          <w:vertAlign w:val="subscript"/>
          <w:lang w:eastAsia="x-none"/>
        </w:rPr>
        <w:t>4</w:t>
      </w:r>
      <w:r w:rsidR="005B04CC" w:rsidRPr="003D317C">
        <w:rPr>
          <w:rFonts w:ascii="Times New (W1)" w:eastAsia="Times New Roman" w:hAnsi="Times New (W1)"/>
          <w:b/>
          <w:sz w:val="24"/>
          <w:szCs w:val="24"/>
          <w:vertAlign w:val="subscript"/>
          <w:lang w:eastAsia="x-none"/>
        </w:rPr>
        <w:t xml:space="preserve"> </w:t>
      </w:r>
      <w:r w:rsidR="0020098E" w:rsidRPr="003D317C">
        <w:rPr>
          <w:rFonts w:ascii="Times New Roman" w:eastAsia="Times New Roman" w:hAnsi="Times New Roman"/>
          <w:b/>
          <w:sz w:val="24"/>
          <w:szCs w:val="24"/>
          <w:lang w:eastAsia="x-none"/>
        </w:rPr>
        <w:t>20</w:t>
      </w:r>
      <w:r w:rsidR="003D28C3">
        <w:rPr>
          <w:rFonts w:ascii="Times New Roman" w:eastAsia="Times New Roman" w:hAnsi="Times New Roman"/>
          <w:b/>
          <w:sz w:val="24"/>
          <w:szCs w:val="24"/>
          <w:lang w:eastAsia="x-none"/>
        </w:rPr>
        <w:t>2</w:t>
      </w:r>
      <w:r w:rsidR="00501BE5">
        <w:rPr>
          <w:rFonts w:ascii="Times New Roman" w:eastAsia="Times New Roman" w:hAnsi="Times New Roman"/>
          <w:b/>
          <w:sz w:val="24"/>
          <w:szCs w:val="24"/>
          <w:lang w:eastAsia="x-none"/>
        </w:rPr>
        <w:t>5</w:t>
      </w:r>
    </w:p>
    <w:p w14:paraId="254B5D6A" w14:textId="2C814116" w:rsidR="001E0332" w:rsidRDefault="001E0332" w:rsidP="006B7DC2">
      <w:pPr>
        <w:spacing w:after="0" w:line="120" w:lineRule="auto"/>
        <w:jc w:val="both"/>
        <w:rPr>
          <w:rFonts w:ascii="Times New Roman" w:eastAsia="Times New Roman" w:hAnsi="Times New Roman"/>
          <w:b/>
          <w:sz w:val="24"/>
          <w:szCs w:val="24"/>
          <w:lang w:eastAsia="x-none"/>
        </w:rPr>
      </w:pPr>
    </w:p>
    <w:p w14:paraId="76F0A7EE" w14:textId="2902A02E" w:rsidR="00E747C2" w:rsidRDefault="00C57C29" w:rsidP="005B04CC">
      <w:pPr>
        <w:spacing w:after="0" w:line="240" w:lineRule="auto"/>
        <w:jc w:val="center"/>
        <w:rPr>
          <w:rFonts w:ascii="Times New Roman" w:eastAsia="Times New Roman" w:hAnsi="Times New Roman"/>
          <w:b/>
          <w:sz w:val="28"/>
          <w:szCs w:val="24"/>
          <w:lang w:val="x-none" w:eastAsia="x-none"/>
        </w:rPr>
      </w:pPr>
      <w:r w:rsidRPr="00C57C29">
        <w:rPr>
          <w:noProof/>
        </w:rPr>
        <w:drawing>
          <wp:inline distT="0" distB="0" distL="0" distR="0" wp14:anchorId="3B6AE053" wp14:editId="4B4363DC">
            <wp:extent cx="6151245" cy="296672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51245" cy="2966720"/>
                    </a:xfrm>
                    <a:prstGeom prst="rect">
                      <a:avLst/>
                    </a:prstGeom>
                    <a:noFill/>
                    <a:ln>
                      <a:noFill/>
                    </a:ln>
                  </pic:spPr>
                </pic:pic>
              </a:graphicData>
            </a:graphic>
          </wp:inline>
        </w:drawing>
      </w:r>
    </w:p>
    <w:p w14:paraId="169F239F" w14:textId="72263D56" w:rsidR="00B752D8" w:rsidRDefault="00B752D8" w:rsidP="005B04CC">
      <w:pPr>
        <w:spacing w:after="0" w:line="240" w:lineRule="auto"/>
        <w:jc w:val="center"/>
        <w:rPr>
          <w:rFonts w:ascii="Times New Roman" w:eastAsia="Times New Roman" w:hAnsi="Times New Roman"/>
          <w:b/>
          <w:sz w:val="28"/>
          <w:szCs w:val="24"/>
          <w:lang w:val="x-none" w:eastAsia="x-none"/>
        </w:rPr>
      </w:pPr>
    </w:p>
    <w:p w14:paraId="400BFD62" w14:textId="27047D3B" w:rsidR="00B752D8" w:rsidRDefault="00B752D8" w:rsidP="005B04CC">
      <w:pPr>
        <w:spacing w:after="0" w:line="240" w:lineRule="auto"/>
        <w:jc w:val="center"/>
        <w:rPr>
          <w:rFonts w:ascii="Times New Roman" w:eastAsia="Times New Roman" w:hAnsi="Times New Roman"/>
          <w:b/>
          <w:sz w:val="28"/>
          <w:szCs w:val="24"/>
          <w:lang w:val="x-none" w:eastAsia="x-none"/>
        </w:rPr>
      </w:pPr>
    </w:p>
    <w:p w14:paraId="72451819" w14:textId="77777777" w:rsidR="00B752D8" w:rsidRDefault="00B752D8" w:rsidP="005B04CC">
      <w:pPr>
        <w:spacing w:after="0" w:line="240" w:lineRule="auto"/>
        <w:jc w:val="center"/>
        <w:rPr>
          <w:rFonts w:ascii="Times New Roman" w:eastAsia="Times New Roman" w:hAnsi="Times New Roman"/>
          <w:b/>
          <w:sz w:val="28"/>
          <w:szCs w:val="24"/>
          <w:lang w:val="x-none" w:eastAsia="x-none"/>
        </w:rPr>
      </w:pPr>
    </w:p>
    <w:p w14:paraId="574B6C18" w14:textId="0AE4F388" w:rsidR="005B04CC" w:rsidRPr="003D317C" w:rsidRDefault="005B04CC" w:rsidP="005B04CC">
      <w:pPr>
        <w:spacing w:after="0" w:line="240" w:lineRule="auto"/>
        <w:jc w:val="center"/>
        <w:rPr>
          <w:rFonts w:ascii="Times New Roman" w:eastAsia="Times New Roman" w:hAnsi="Times New Roman"/>
          <w:b/>
          <w:sz w:val="28"/>
          <w:szCs w:val="24"/>
          <w:lang w:val="x-none" w:eastAsia="x-none"/>
        </w:rPr>
      </w:pPr>
      <w:r w:rsidRPr="003D317C">
        <w:rPr>
          <w:rFonts w:ascii="Times New Roman" w:eastAsia="Times New Roman" w:hAnsi="Times New Roman"/>
          <w:b/>
          <w:sz w:val="28"/>
          <w:szCs w:val="24"/>
          <w:lang w:val="x-none" w:eastAsia="x-none"/>
        </w:rPr>
        <w:br w:type="page"/>
      </w:r>
      <w:r w:rsidRPr="003D317C">
        <w:rPr>
          <w:rFonts w:ascii="Times New Roman" w:eastAsia="Times New Roman" w:hAnsi="Times New Roman"/>
          <w:b/>
          <w:sz w:val="28"/>
          <w:szCs w:val="24"/>
          <w:lang w:val="x-none" w:eastAsia="x-none"/>
        </w:rPr>
        <w:lastRenderedPageBreak/>
        <w:t>Definition of terminology used</w:t>
      </w:r>
    </w:p>
    <w:p w14:paraId="037EC497"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1488F9A"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1.</w:t>
      </w:r>
      <w:r w:rsidRPr="003D317C">
        <w:rPr>
          <w:rFonts w:ascii="Times New Roman" w:eastAsia="Times New Roman" w:hAnsi="Times New Roman"/>
          <w:b/>
          <w:sz w:val="24"/>
          <w:szCs w:val="24"/>
          <w:lang w:val="en-US"/>
        </w:rPr>
        <w:tab/>
        <w:t>Gross Domestic Product (GDP)</w:t>
      </w:r>
    </w:p>
    <w:p w14:paraId="47B9CA02"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87780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is the aggregate money value of all goods and services produced within a country out of economic activity during a specified period before provision for the consumption of fixed capital.</w:t>
      </w:r>
    </w:p>
    <w:p w14:paraId="1113B0EF"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B7769E3"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2.</w:t>
      </w:r>
      <w:r w:rsidRPr="003D317C">
        <w:rPr>
          <w:rFonts w:ascii="Times New Roman" w:eastAsia="Times New Roman" w:hAnsi="Times New Roman"/>
          <w:b/>
          <w:sz w:val="24"/>
          <w:szCs w:val="24"/>
          <w:lang w:val="en-US"/>
        </w:rPr>
        <w:tab/>
        <w:t>Gross Value Added (GVA) at basic prices</w:t>
      </w:r>
    </w:p>
    <w:p w14:paraId="6F25F19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B33788"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Gross Value Added at basic prices is obtained as the difference between output and intermediate consumption whereby output is valued at basic prices and intermediate consumption at purchasers' prices.</w:t>
      </w:r>
    </w:p>
    <w:p w14:paraId="7F661D11"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0B760C04"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basic price is the amount receivable by the producer exclusive of taxes on products and inclusive of subsidies on products. The equivalent for imported products is the c.i.f. value, i.e. the value at the border of the importing country.</w:t>
      </w:r>
    </w:p>
    <w:p w14:paraId="4AB7AC3A" w14:textId="77777777" w:rsidR="005B04CC" w:rsidRPr="003D317C" w:rsidRDefault="005B04CC" w:rsidP="005B04CC">
      <w:pPr>
        <w:spacing w:after="0" w:line="240" w:lineRule="auto"/>
        <w:ind w:firstLine="720"/>
        <w:jc w:val="both"/>
        <w:rPr>
          <w:rFonts w:ascii="Times New Roman" w:eastAsia="Times New Roman" w:hAnsi="Times New Roman"/>
          <w:sz w:val="24"/>
          <w:szCs w:val="24"/>
          <w:lang w:val="en-US"/>
        </w:rPr>
      </w:pPr>
    </w:p>
    <w:p w14:paraId="0356FE72"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The purchasers' price is the amount payable by the purchaser exclusive of deductible taxes on products (e.g. deductible value added tax).</w:t>
      </w:r>
    </w:p>
    <w:p w14:paraId="3B6C18E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D05412C"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b/>
          <w:sz w:val="24"/>
          <w:szCs w:val="24"/>
          <w:lang w:val="en-US"/>
        </w:rPr>
        <w:t>3.</w:t>
      </w:r>
      <w:r w:rsidRPr="003D317C">
        <w:rPr>
          <w:rFonts w:ascii="Times New Roman" w:eastAsia="Times New Roman" w:hAnsi="Times New Roman"/>
          <w:b/>
          <w:sz w:val="24"/>
          <w:szCs w:val="24"/>
          <w:lang w:val="en-US"/>
        </w:rPr>
        <w:tab/>
        <w:t>GDP at market prices</w:t>
      </w:r>
    </w:p>
    <w:p w14:paraId="0DA1FF3E"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AC9A13A"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GDP at market prices is equal to the G</w:t>
      </w:r>
      <w:r w:rsidRPr="003D317C">
        <w:rPr>
          <w:rFonts w:ascii="Times New Roman" w:eastAsia="Times New Roman" w:hAnsi="Times New Roman"/>
          <w:sz w:val="24"/>
          <w:szCs w:val="24"/>
          <w:lang w:val="en-US" w:eastAsia="x-none"/>
        </w:rPr>
        <w:t>ross Value Added</w:t>
      </w:r>
      <w:r w:rsidRPr="003D317C">
        <w:rPr>
          <w:rFonts w:ascii="Times New Roman" w:eastAsia="Times New Roman" w:hAnsi="Times New Roman"/>
          <w:sz w:val="24"/>
          <w:szCs w:val="24"/>
          <w:lang w:val="x-none" w:eastAsia="x-none"/>
        </w:rPr>
        <w:t xml:space="preserve"> at basic prices plus taxes (net of subsidies) on products.</w:t>
      </w:r>
    </w:p>
    <w:p w14:paraId="443AEE49"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23D4338C"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4.</w:t>
      </w:r>
      <w:r w:rsidRPr="003D317C">
        <w:rPr>
          <w:rFonts w:ascii="Times New Roman" w:eastAsia="Times New Roman" w:hAnsi="Times New Roman"/>
          <w:b/>
          <w:sz w:val="24"/>
          <w:szCs w:val="24"/>
          <w:lang w:val="en-US"/>
        </w:rPr>
        <w:tab/>
        <w:t xml:space="preserve">Final Consumption expenditure </w:t>
      </w:r>
    </w:p>
    <w:p w14:paraId="1ECA513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529A45CE"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Final Consumption</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expenditure refers to the expenditure made on goods and services by households and government.</w:t>
      </w:r>
    </w:p>
    <w:p w14:paraId="0374CABA"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329201B6"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5.</w:t>
      </w:r>
      <w:r w:rsidRPr="003D317C">
        <w:rPr>
          <w:rFonts w:ascii="Times New Roman" w:eastAsia="Times New Roman" w:hAnsi="Times New Roman"/>
          <w:b/>
          <w:sz w:val="24"/>
          <w:szCs w:val="24"/>
          <w:lang w:val="en-US"/>
        </w:rPr>
        <w:tab/>
        <w:t>Gross Fixed Capital Formation (GFCF)</w:t>
      </w:r>
    </w:p>
    <w:p w14:paraId="2658692D" w14:textId="77777777" w:rsidR="005B04CC" w:rsidRPr="003D317C" w:rsidRDefault="005B04CC" w:rsidP="005B04CC">
      <w:pPr>
        <w:spacing w:after="0" w:line="240" w:lineRule="auto"/>
        <w:jc w:val="both"/>
        <w:rPr>
          <w:rFonts w:ascii="Times New Roman" w:eastAsia="Times New Roman" w:hAnsi="Times New Roman"/>
          <w:b/>
          <w:sz w:val="24"/>
          <w:szCs w:val="24"/>
          <w:u w:val="single"/>
          <w:lang w:val="en-US"/>
        </w:rPr>
      </w:pPr>
    </w:p>
    <w:p w14:paraId="28C7B6D2" w14:textId="77777777" w:rsidR="005B04CC" w:rsidRPr="003D317C" w:rsidRDefault="005B04CC" w:rsidP="005B04CC">
      <w:pPr>
        <w:spacing w:after="120" w:line="240" w:lineRule="auto"/>
        <w:jc w:val="both"/>
        <w:rPr>
          <w:rFonts w:ascii="Times New Roman" w:eastAsia="Times New Roman" w:hAnsi="Times New Roman"/>
          <w:sz w:val="24"/>
          <w:szCs w:val="24"/>
          <w:lang w:val="x-none" w:eastAsia="x-none"/>
        </w:rPr>
      </w:pPr>
      <w:r w:rsidRPr="003D317C">
        <w:rPr>
          <w:rFonts w:ascii="Times New Roman" w:eastAsia="Times New Roman" w:hAnsi="Times New Roman"/>
          <w:sz w:val="24"/>
          <w:szCs w:val="24"/>
          <w:lang w:val="x-none" w:eastAsia="x-none"/>
        </w:rPr>
        <w:t>GFCF is the net additions to the physical assets of the country in a year. These consist mainly of investment in buildings, plants, machinery and transport equipment, all valued at market prices.</w:t>
      </w:r>
    </w:p>
    <w:p w14:paraId="10BD571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4AC35EDB"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6.</w:t>
      </w:r>
      <w:r w:rsidRPr="003D317C">
        <w:rPr>
          <w:rFonts w:ascii="Times New Roman" w:eastAsia="Times New Roman" w:hAnsi="Times New Roman"/>
          <w:b/>
          <w:sz w:val="24"/>
          <w:szCs w:val="24"/>
          <w:lang w:val="en-US"/>
        </w:rPr>
        <w:tab/>
        <w:t>Exports and Imports of goods and services</w:t>
      </w:r>
    </w:p>
    <w:p w14:paraId="441ACC4D"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531C9085"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Exports and imports of goods are measured on an f.o.b. basis.  Insurance and freight, which represent the difference between the c.i.f. and f.o.b. values of imports of goods, are recorded as import of services.</w:t>
      </w:r>
    </w:p>
    <w:p w14:paraId="09E12366"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1D17B4CF"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 xml:space="preserve">Exports and imports of goods are compiled according to the General Trade System, using the national boundary as the statistical frontier. All goods entering the country are recorded in imports and goods leaving the country in exports. </w:t>
      </w:r>
    </w:p>
    <w:p w14:paraId="318017E1"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p>
    <w:p w14:paraId="1A20F2CD" w14:textId="77777777" w:rsidR="005B04CC" w:rsidRPr="003D317C" w:rsidRDefault="005B04CC" w:rsidP="005B04CC">
      <w:pPr>
        <w:spacing w:after="0" w:line="240" w:lineRule="auto"/>
        <w:jc w:val="both"/>
        <w:rPr>
          <w:rFonts w:ascii="Times New Roman" w:eastAsia="Times New Roman" w:hAnsi="Times New Roman"/>
          <w:b/>
          <w:sz w:val="24"/>
          <w:szCs w:val="24"/>
          <w:lang w:val="en-US"/>
        </w:rPr>
      </w:pPr>
      <w:r w:rsidRPr="003D317C">
        <w:rPr>
          <w:rFonts w:ascii="Times New Roman" w:eastAsia="Times New Roman" w:hAnsi="Times New Roman"/>
          <w:b/>
          <w:sz w:val="24"/>
          <w:szCs w:val="24"/>
          <w:lang w:val="en-US"/>
        </w:rPr>
        <w:t>7.</w:t>
      </w:r>
      <w:r w:rsidRPr="003D317C">
        <w:rPr>
          <w:rFonts w:ascii="Times New Roman" w:eastAsia="Times New Roman" w:hAnsi="Times New Roman"/>
          <w:b/>
          <w:sz w:val="24"/>
          <w:szCs w:val="24"/>
          <w:lang w:val="en-US"/>
        </w:rPr>
        <w:tab/>
        <w:t>Export Oriented Enterprises (EOE)</w:t>
      </w:r>
    </w:p>
    <w:p w14:paraId="7D0F50B3" w14:textId="77777777" w:rsidR="005B04CC" w:rsidRPr="003D317C" w:rsidRDefault="005B04CC" w:rsidP="005B04CC">
      <w:pPr>
        <w:spacing w:after="0" w:line="240" w:lineRule="auto"/>
        <w:jc w:val="both"/>
        <w:rPr>
          <w:rFonts w:ascii="Times New Roman" w:eastAsia="Times New Roman" w:hAnsi="Times New Roman"/>
          <w:sz w:val="24"/>
          <w:szCs w:val="24"/>
          <w:lang w:val="en-US"/>
        </w:rPr>
      </w:pPr>
    </w:p>
    <w:p w14:paraId="4F97E600" w14:textId="77777777" w:rsidR="005B04CC" w:rsidRPr="003D317C" w:rsidRDefault="005B04CC" w:rsidP="005B04CC">
      <w:pPr>
        <w:spacing w:after="0" w:line="240" w:lineRule="auto"/>
        <w:jc w:val="both"/>
        <w:rPr>
          <w:rFonts w:ascii="Times New Roman" w:eastAsia="Times New Roman" w:hAnsi="Times New Roman"/>
          <w:sz w:val="24"/>
          <w:szCs w:val="24"/>
          <w:lang w:val="en-US"/>
        </w:rPr>
      </w:pPr>
      <w:r w:rsidRPr="003D317C">
        <w:rPr>
          <w:rFonts w:ascii="Times New Roman" w:eastAsia="Times New Roman" w:hAnsi="Times New Roman"/>
          <w:sz w:val="24"/>
          <w:szCs w:val="24"/>
          <w:lang w:val="en-US"/>
        </w:rPr>
        <w:t>Export Oriented Enterprises</w:t>
      </w:r>
      <w:r w:rsidRPr="003D317C">
        <w:rPr>
          <w:rFonts w:ascii="Times New Roman" w:eastAsia="Times New Roman" w:hAnsi="Times New Roman"/>
          <w:b/>
          <w:sz w:val="24"/>
          <w:szCs w:val="24"/>
          <w:lang w:val="en-US"/>
        </w:rPr>
        <w:t xml:space="preserve"> </w:t>
      </w:r>
      <w:r w:rsidRPr="003D317C">
        <w:rPr>
          <w:rFonts w:ascii="Times New Roman" w:eastAsia="Times New Roman" w:hAnsi="Times New Roman"/>
          <w:sz w:val="24"/>
          <w:szCs w:val="24"/>
          <w:lang w:val="en-US"/>
        </w:rPr>
        <w:t>comprise enterprises formerly operating with an export certificate and those export manufacturing enterprises holding a registr</w:t>
      </w:r>
      <w:r w:rsidR="002065CF" w:rsidRPr="003D317C">
        <w:rPr>
          <w:rFonts w:ascii="Times New Roman" w:eastAsia="Times New Roman" w:hAnsi="Times New Roman"/>
          <w:sz w:val="24"/>
          <w:szCs w:val="24"/>
          <w:lang w:val="en-US"/>
        </w:rPr>
        <w:t xml:space="preserve">ation certificate issued by ex - </w:t>
      </w:r>
      <w:r w:rsidRPr="003D317C">
        <w:rPr>
          <w:rFonts w:ascii="Times New Roman" w:eastAsia="Times New Roman" w:hAnsi="Times New Roman"/>
          <w:sz w:val="24"/>
          <w:szCs w:val="24"/>
          <w:lang w:val="en-US"/>
        </w:rPr>
        <w:t>Board of Investment.</w:t>
      </w:r>
    </w:p>
    <w:p w14:paraId="115F7B53"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70AD328" w14:textId="77777777" w:rsidR="00DE183F" w:rsidRPr="003D317C" w:rsidRDefault="00DE183F" w:rsidP="005B04CC">
      <w:pPr>
        <w:spacing w:after="0" w:line="240" w:lineRule="auto"/>
        <w:jc w:val="both"/>
        <w:rPr>
          <w:rFonts w:ascii="Times New Roman" w:eastAsia="Times New Roman" w:hAnsi="Times New Roman"/>
          <w:sz w:val="24"/>
          <w:szCs w:val="24"/>
          <w:lang w:val="en-US"/>
        </w:rPr>
      </w:pPr>
    </w:p>
    <w:p w14:paraId="15535B42" w14:textId="77777777" w:rsidR="005B04CC" w:rsidRPr="00F259A9" w:rsidRDefault="005B04CC" w:rsidP="005B04CC">
      <w:pPr>
        <w:spacing w:after="0" w:line="240" w:lineRule="auto"/>
        <w:jc w:val="both"/>
        <w:rPr>
          <w:rFonts w:ascii="Times New Roman" w:eastAsia="Times New Roman" w:hAnsi="Times New Roman"/>
          <w:sz w:val="24"/>
          <w:szCs w:val="24"/>
          <w:lang w:val="en-US"/>
        </w:rPr>
      </w:pPr>
      <w:r w:rsidRPr="00F259A9">
        <w:rPr>
          <w:rFonts w:ascii="Times New Roman" w:eastAsia="Times New Roman" w:hAnsi="Times New Roman"/>
          <w:b/>
          <w:sz w:val="24"/>
          <w:szCs w:val="24"/>
          <w:lang w:val="en-US"/>
        </w:rPr>
        <w:lastRenderedPageBreak/>
        <w:t>8.</w:t>
      </w:r>
      <w:r w:rsidRPr="00F259A9">
        <w:rPr>
          <w:rFonts w:ascii="Times New Roman" w:eastAsia="Times New Roman" w:hAnsi="Times New Roman"/>
          <w:b/>
          <w:sz w:val="24"/>
          <w:szCs w:val="24"/>
          <w:lang w:val="en-US"/>
        </w:rPr>
        <w:tab/>
        <w:t>Change in inventories</w:t>
      </w:r>
    </w:p>
    <w:p w14:paraId="39E0AF85"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BBA5229" w14:textId="77777777" w:rsidR="005B04CC" w:rsidRPr="00F259A9"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Change in inventories includes the value of the physical change in inventories of raw materials, work in progress, and finished goods held by producers.</w:t>
      </w:r>
    </w:p>
    <w:p w14:paraId="35EEEEB9"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2A49048D"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9.</w:t>
      </w:r>
      <w:r w:rsidRPr="00F259A9">
        <w:rPr>
          <w:rFonts w:ascii="Times New Roman" w:eastAsia="Times New Roman" w:hAnsi="Times New Roman"/>
          <w:b/>
          <w:sz w:val="24"/>
          <w:szCs w:val="24"/>
          <w:lang w:val="en-US"/>
        </w:rPr>
        <w:tab/>
        <w:t>Financial intermediation services indirectly measured (FISIM)</w:t>
      </w:r>
    </w:p>
    <w:p w14:paraId="4E406ACA" w14:textId="77777777" w:rsidR="005B04CC" w:rsidRPr="00F259A9" w:rsidRDefault="005B04CC" w:rsidP="005B04CC">
      <w:pPr>
        <w:spacing w:after="0" w:line="240" w:lineRule="auto"/>
        <w:jc w:val="both"/>
        <w:rPr>
          <w:rFonts w:ascii="Times New Roman" w:eastAsia="Times New Roman" w:hAnsi="Times New Roman"/>
          <w:b/>
          <w:sz w:val="24"/>
          <w:szCs w:val="24"/>
          <w:u w:val="single"/>
          <w:lang w:val="en-US"/>
        </w:rPr>
      </w:pPr>
    </w:p>
    <w:p w14:paraId="184DB1DC" w14:textId="11512D53" w:rsidR="005B04CC" w:rsidRDefault="005B04CC" w:rsidP="005B04CC">
      <w:pPr>
        <w:spacing w:after="120" w:line="240" w:lineRule="auto"/>
        <w:jc w:val="both"/>
        <w:rPr>
          <w:rFonts w:ascii="Times New Roman" w:eastAsia="Times New Roman" w:hAnsi="Times New Roman"/>
          <w:sz w:val="24"/>
          <w:szCs w:val="24"/>
          <w:lang w:val="x-none" w:eastAsia="x-none"/>
        </w:rPr>
      </w:pPr>
      <w:r w:rsidRPr="00F259A9">
        <w:rPr>
          <w:rFonts w:ascii="Times New Roman" w:eastAsia="Times New Roman" w:hAnsi="Times New Roman"/>
          <w:sz w:val="24"/>
          <w:szCs w:val="24"/>
          <w:lang w:val="x-none" w:eastAsia="x-none"/>
        </w:rPr>
        <w:t>FISIM is the value of services not explicitly charged by financial institutions (banks and similar institutions) and is imputed in respect of all loans and deposits irrespective of source of funds. As recommended by the 2008 SNA, it is allocated to users as follows: intermediate consumption of businesses, final consumption of households and government, and a component of exports of services.</w:t>
      </w:r>
    </w:p>
    <w:p w14:paraId="72447C53" w14:textId="4A68F1AD" w:rsidR="00370AB2" w:rsidRDefault="00370AB2" w:rsidP="005B04CC">
      <w:pPr>
        <w:spacing w:after="120" w:line="240" w:lineRule="auto"/>
        <w:jc w:val="both"/>
        <w:rPr>
          <w:rFonts w:ascii="Times New Roman" w:eastAsia="Times New Roman" w:hAnsi="Times New Roman"/>
          <w:sz w:val="24"/>
          <w:szCs w:val="24"/>
          <w:lang w:val="x-none" w:eastAsia="x-none"/>
        </w:rPr>
      </w:pPr>
    </w:p>
    <w:p w14:paraId="3502F6C1" w14:textId="374884AB" w:rsidR="00370AB2" w:rsidRDefault="00370AB2" w:rsidP="00370AB2">
      <w:pPr>
        <w:tabs>
          <w:tab w:val="left" w:pos="709"/>
        </w:tabs>
        <w:spacing w:after="0" w:line="240" w:lineRule="auto"/>
        <w:jc w:val="both"/>
        <w:rPr>
          <w:rFonts w:ascii="Times New Roman" w:eastAsia="Times New Roman" w:hAnsi="Times New Roman"/>
          <w:b/>
          <w:sz w:val="24"/>
          <w:szCs w:val="24"/>
          <w:lang w:val="en-US"/>
        </w:rPr>
      </w:pPr>
      <w:r w:rsidRPr="00370AB2">
        <w:rPr>
          <w:rFonts w:ascii="Times New Roman" w:eastAsia="Times New Roman" w:hAnsi="Times New Roman"/>
          <w:b/>
          <w:sz w:val="24"/>
          <w:szCs w:val="24"/>
          <w:lang w:val="en-US"/>
        </w:rPr>
        <w:t xml:space="preserve">10. </w:t>
      </w:r>
      <w:r>
        <w:rPr>
          <w:rFonts w:ascii="Times New Roman" w:eastAsia="Times New Roman" w:hAnsi="Times New Roman"/>
          <w:b/>
          <w:sz w:val="24"/>
          <w:szCs w:val="24"/>
          <w:lang w:val="en-US"/>
        </w:rPr>
        <w:tab/>
      </w:r>
      <w:r w:rsidRPr="00370AB2">
        <w:rPr>
          <w:rFonts w:ascii="Times New Roman" w:eastAsia="Times New Roman" w:hAnsi="Times New Roman"/>
          <w:b/>
          <w:sz w:val="24"/>
          <w:szCs w:val="24"/>
          <w:lang w:val="en-US"/>
        </w:rPr>
        <w:t>Global Business</w:t>
      </w:r>
    </w:p>
    <w:p w14:paraId="0CAEA2B3" w14:textId="77777777" w:rsidR="00370AB2" w:rsidRPr="00370AB2" w:rsidRDefault="00370AB2" w:rsidP="00370AB2">
      <w:pPr>
        <w:spacing w:after="0" w:line="240" w:lineRule="auto"/>
        <w:jc w:val="both"/>
        <w:rPr>
          <w:rFonts w:ascii="Times New Roman" w:eastAsia="Times New Roman" w:hAnsi="Times New Roman"/>
          <w:b/>
          <w:sz w:val="24"/>
          <w:szCs w:val="24"/>
          <w:lang w:val="en-US"/>
        </w:rPr>
      </w:pPr>
    </w:p>
    <w:p w14:paraId="4DC126CD" w14:textId="77777777" w:rsidR="00370AB2" w:rsidRPr="00370AB2" w:rsidRDefault="00370AB2" w:rsidP="00370AB2">
      <w:pPr>
        <w:spacing w:after="0" w:line="240" w:lineRule="auto"/>
        <w:jc w:val="both"/>
        <w:rPr>
          <w:rFonts w:ascii="Times New Roman" w:eastAsia="Times New Roman" w:hAnsi="Times New Roman"/>
          <w:bCs/>
          <w:sz w:val="24"/>
          <w:szCs w:val="24"/>
          <w:lang w:val="en-US"/>
        </w:rPr>
      </w:pPr>
      <w:r w:rsidRPr="00370AB2">
        <w:rPr>
          <w:rFonts w:ascii="Times New Roman" w:eastAsia="Times New Roman" w:hAnsi="Times New Roman"/>
          <w:bCs/>
          <w:sz w:val="24"/>
          <w:szCs w:val="24"/>
          <w:lang w:val="en-US"/>
        </w:rPr>
        <w:t>The global business sector includes activities of GBCs and services purchased by GBCs from local enterprises (e.g. management, accounting, auditing, legal, advertising, real estate, banking, etc.).</w:t>
      </w:r>
    </w:p>
    <w:p w14:paraId="370C4B72" w14:textId="05FA5467" w:rsidR="00370AB2" w:rsidRPr="00370AB2" w:rsidRDefault="00370AB2" w:rsidP="005B04CC">
      <w:pPr>
        <w:spacing w:after="120" w:line="240" w:lineRule="auto"/>
        <w:jc w:val="both"/>
        <w:rPr>
          <w:rFonts w:ascii="Times New Roman" w:eastAsia="Times New Roman" w:hAnsi="Times New Roman"/>
          <w:sz w:val="24"/>
          <w:szCs w:val="24"/>
          <w:lang w:eastAsia="x-none"/>
        </w:rPr>
      </w:pPr>
    </w:p>
    <w:p w14:paraId="77ACFCAA"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p>
    <w:p w14:paraId="42660B5B" w14:textId="77777777" w:rsidR="005B04CC" w:rsidRPr="00F259A9" w:rsidRDefault="005B04CC" w:rsidP="005B04CC">
      <w:pPr>
        <w:keepNext/>
        <w:spacing w:after="0" w:line="240" w:lineRule="auto"/>
        <w:jc w:val="both"/>
        <w:outlineLvl w:val="0"/>
        <w:rPr>
          <w:rFonts w:ascii="Times New Roman" w:eastAsia="Times New Roman" w:hAnsi="Times New Roman"/>
          <w:b/>
          <w:sz w:val="24"/>
          <w:szCs w:val="24"/>
          <w:lang w:val="x-none" w:eastAsia="x-none"/>
        </w:rPr>
      </w:pPr>
    </w:p>
    <w:p w14:paraId="5FCE76CD" w14:textId="77777777" w:rsidR="005B04CC" w:rsidRPr="00F259A9" w:rsidRDefault="005B04CC" w:rsidP="005B04CC">
      <w:pPr>
        <w:keepNext/>
        <w:spacing w:after="0" w:line="240" w:lineRule="auto"/>
        <w:jc w:val="both"/>
        <w:outlineLvl w:val="0"/>
        <w:rPr>
          <w:rFonts w:ascii="Times New Roman" w:eastAsia="Times New Roman" w:hAnsi="Times New Roman"/>
          <w:i/>
          <w:sz w:val="24"/>
          <w:szCs w:val="24"/>
          <w:lang w:val="x-none" w:eastAsia="x-none"/>
        </w:rPr>
      </w:pPr>
      <w:r w:rsidRPr="00F259A9">
        <w:rPr>
          <w:rFonts w:ascii="Times New Roman" w:eastAsia="Times New Roman" w:hAnsi="Times New Roman"/>
          <w:i/>
          <w:sz w:val="24"/>
          <w:szCs w:val="24"/>
          <w:lang w:val="x-none" w:eastAsia="x-none"/>
        </w:rPr>
        <w:t>Note:  Figures in some tables may not add up to the total published due to rounding off.</w:t>
      </w:r>
    </w:p>
    <w:p w14:paraId="0EB0810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5281E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C4E094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8C7CA62" w14:textId="77777777"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Statistics Mauritius</w:t>
      </w:r>
    </w:p>
    <w:p w14:paraId="13ABCB4D" w14:textId="48C14665" w:rsidR="005B04CC" w:rsidRPr="00F259A9" w:rsidRDefault="005B04CC" w:rsidP="005B04CC">
      <w:pPr>
        <w:spacing w:after="0" w:line="240" w:lineRule="auto"/>
        <w:jc w:val="both"/>
        <w:rPr>
          <w:rFonts w:ascii="Times New Roman" w:eastAsia="Times New Roman" w:hAnsi="Times New Roman"/>
          <w:b/>
          <w:sz w:val="24"/>
          <w:szCs w:val="24"/>
        </w:rPr>
      </w:pPr>
      <w:r w:rsidRPr="00F259A9">
        <w:rPr>
          <w:rFonts w:ascii="Times New Roman" w:eastAsia="Times New Roman" w:hAnsi="Times New Roman"/>
          <w:b/>
          <w:sz w:val="24"/>
          <w:szCs w:val="24"/>
        </w:rPr>
        <w:t>Ministry of Finance</w:t>
      </w:r>
    </w:p>
    <w:p w14:paraId="40A2F734" w14:textId="77777777" w:rsidR="005B04CC" w:rsidRPr="00F259A9" w:rsidRDefault="005B04CC" w:rsidP="005B04CC">
      <w:pPr>
        <w:spacing w:after="0" w:line="240" w:lineRule="auto"/>
        <w:jc w:val="both"/>
        <w:rPr>
          <w:rFonts w:ascii="Times New Roman" w:eastAsia="Times New Roman" w:hAnsi="Times New Roman"/>
          <w:b/>
          <w:sz w:val="24"/>
          <w:szCs w:val="24"/>
          <w:lang w:val="en-US"/>
        </w:rPr>
      </w:pPr>
      <w:r w:rsidRPr="00F259A9">
        <w:rPr>
          <w:rFonts w:ascii="Times New Roman" w:eastAsia="Times New Roman" w:hAnsi="Times New Roman"/>
          <w:b/>
          <w:sz w:val="24"/>
          <w:szCs w:val="24"/>
          <w:lang w:val="en-US"/>
        </w:rPr>
        <w:t>Port Louis</w:t>
      </w:r>
    </w:p>
    <w:p w14:paraId="46F26280" w14:textId="7E0EEA21" w:rsidR="005B04CC" w:rsidRPr="00F259A9" w:rsidRDefault="004356EF" w:rsidP="005B04CC">
      <w:pPr>
        <w:spacing w:after="0" w:line="240" w:lineRule="auto"/>
        <w:jc w:val="both"/>
        <w:rPr>
          <w:rFonts w:ascii="Times New Roman" w:eastAsia="Times New Roman" w:hAnsi="Times New Roman"/>
          <w:b/>
          <w:sz w:val="24"/>
          <w:szCs w:val="24"/>
          <w:lang w:val="en-US"/>
        </w:rPr>
      </w:pPr>
      <w:r>
        <w:rPr>
          <w:rFonts w:ascii="Times New Roman" w:eastAsia="Times New Roman" w:hAnsi="Times New Roman"/>
          <w:b/>
          <w:sz w:val="24"/>
          <w:szCs w:val="24"/>
          <w:lang w:val="en-US"/>
        </w:rPr>
        <w:t>31 March 2026</w:t>
      </w:r>
    </w:p>
    <w:p w14:paraId="5BB9B5D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E8113A6"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8DBC9C1"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2D7D417" w14:textId="77777777" w:rsidR="005B04CC" w:rsidRPr="00F259A9" w:rsidRDefault="0080622B" w:rsidP="005B04CC">
      <w:pPr>
        <w:spacing w:after="0" w:line="240" w:lineRule="auto"/>
        <w:jc w:val="both"/>
        <w:rPr>
          <w:rFonts w:ascii="Times New Roman" w:eastAsia="Times New Roman" w:hAnsi="Times New Roman"/>
          <w:sz w:val="24"/>
          <w:szCs w:val="24"/>
          <w:lang w:val="en-US"/>
        </w:rPr>
      </w:pPr>
      <w:r>
        <w:rPr>
          <w:noProof/>
          <w:lang w:eastAsia="en-GB"/>
        </w:rPr>
        <mc:AlternateContent>
          <mc:Choice Requires="wps">
            <w:drawing>
              <wp:anchor distT="0" distB="0" distL="114300" distR="114300" simplePos="0" relativeHeight="251657728" behindDoc="1" locked="0" layoutInCell="1" allowOverlap="1" wp14:anchorId="0074310C" wp14:editId="048A4D24">
                <wp:simplePos x="0" y="0"/>
                <wp:positionH relativeFrom="column">
                  <wp:posOffset>914400</wp:posOffset>
                </wp:positionH>
                <wp:positionV relativeFrom="paragraph">
                  <wp:posOffset>161290</wp:posOffset>
                </wp:positionV>
                <wp:extent cx="4190365" cy="2004060"/>
                <wp:effectExtent l="0" t="0" r="635" b="0"/>
                <wp:wrapTight wrapText="bothSides">
                  <wp:wrapPolygon edited="0">
                    <wp:start x="0" y="0"/>
                    <wp:lineTo x="0" y="21559"/>
                    <wp:lineTo x="21603" y="21559"/>
                    <wp:lineTo x="21603" y="0"/>
                    <wp:lineTo x="0" y="0"/>
                  </wp:wrapPolygon>
                </wp:wrapTight>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0365" cy="2004060"/>
                        </a:xfrm>
                        <a:prstGeom prst="rect">
                          <a:avLst/>
                        </a:prstGeom>
                        <a:solidFill>
                          <a:srgbClr val="FFFFFF"/>
                        </a:solidFill>
                        <a:ln w="9525">
                          <a:solidFill>
                            <a:srgbClr val="000000"/>
                          </a:solidFill>
                          <a:miter lim="800000"/>
                          <a:headEnd/>
                          <a:tailEnd/>
                        </a:ln>
                      </wps:spPr>
                      <wps:txb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Tel: (230) 208-1800</w:t>
                            </w:r>
                          </w:p>
                          <w:p w14:paraId="77659733"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213-0234</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4310C" id="_x0000_t202" coordsize="21600,21600" o:spt="202" path="m,l,21600r21600,l21600,xe">
                <v:stroke joinstyle="miter"/>
                <v:path gradientshapeok="t" o:connecttype="rect"/>
              </v:shapetype>
              <v:shape id="Text Box 3" o:spid="_x0000_s1026" type="#_x0000_t202" style="position:absolute;left:0;text-align:left;margin-left:1in;margin-top:12.7pt;width:329.95pt;height:157.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">
                <v:textbox>
                  <w:txbxContent>
                    <w:p w14:paraId="74BF7F21" w14:textId="6F63CD8C" w:rsidR="00CA212A" w:rsidRPr="00D1065E" w:rsidRDefault="00CA212A" w:rsidP="005B04CC">
                      <w:pPr>
                        <w:spacing w:after="60" w:line="276" w:lineRule="auto"/>
                        <w:rPr>
                          <w:rFonts w:ascii="Times New Roman" w:hAnsi="Times New Roman"/>
                          <w:b/>
                        </w:rPr>
                      </w:pPr>
                      <w:r w:rsidRPr="00D1065E">
                        <w:rPr>
                          <w:rFonts w:ascii="Times New Roman" w:hAnsi="Times New Roman"/>
                          <w:b/>
                        </w:rPr>
                        <w:t>Contact Person:   Mr. E. Romjon (Statistician</w:t>
                      </w:r>
                      <w:r w:rsidR="00B1710B">
                        <w:rPr>
                          <w:rFonts w:ascii="Times New Roman" w:hAnsi="Times New Roman"/>
                          <w:b/>
                        </w:rPr>
                        <w:t>/</w:t>
                      </w:r>
                      <w:r w:rsidR="00ED175B">
                        <w:rPr>
                          <w:rFonts w:ascii="Times New Roman" w:hAnsi="Times New Roman"/>
                          <w:b/>
                        </w:rPr>
                        <w:t xml:space="preserve">Senior </w:t>
                      </w:r>
                      <w:r w:rsidR="00B1710B">
                        <w:rPr>
                          <w:rFonts w:ascii="Times New Roman" w:hAnsi="Times New Roman"/>
                          <w:b/>
                        </w:rPr>
                        <w:t>Statistician</w:t>
                      </w:r>
                      <w:r w:rsidRPr="00D1065E">
                        <w:rPr>
                          <w:rFonts w:ascii="Times New Roman" w:hAnsi="Times New Roman"/>
                          <w:b/>
                        </w:rPr>
                        <w:t>)</w:t>
                      </w:r>
                    </w:p>
                    <w:p w14:paraId="717D0B13" w14:textId="55E05388" w:rsidR="00CA212A" w:rsidRPr="00D1065E" w:rsidRDefault="00CA212A" w:rsidP="005B04CC">
                      <w:pPr>
                        <w:spacing w:after="60" w:line="276" w:lineRule="auto"/>
                        <w:ind w:left="1800"/>
                        <w:rPr>
                          <w:rFonts w:ascii="Times New Roman" w:hAnsi="Times New Roman"/>
                          <w:b/>
                        </w:rPr>
                      </w:pPr>
                    </w:p>
                    <w:p w14:paraId="651EBBE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Statistics Mauritius</w:t>
                      </w:r>
                    </w:p>
                    <w:p w14:paraId="671C862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L.I.C. Centre</w:t>
                      </w:r>
                    </w:p>
                    <w:p w14:paraId="4C54820E"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Port-Louis</w:t>
                      </w:r>
                    </w:p>
                    <w:p w14:paraId="610E29C7"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Tel: (230) 208-1800</w:t>
                      </w:r>
                    </w:p>
                    <w:p w14:paraId="77659733"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Fax: (230) 213-0234</w:t>
                      </w:r>
                    </w:p>
                    <w:p w14:paraId="0F666C8D" w14:textId="77777777" w:rsidR="00CA212A" w:rsidRPr="00274795" w:rsidRDefault="00CA212A" w:rsidP="005B04CC">
                      <w:pPr>
                        <w:spacing w:after="60" w:line="276" w:lineRule="auto"/>
                        <w:ind w:left="1800"/>
                        <w:rPr>
                          <w:rFonts w:ascii="Times New Roman" w:hAnsi="Times New Roman"/>
                          <w:b/>
                          <w:lang w:val="fr-FR"/>
                        </w:rPr>
                      </w:pPr>
                      <w:r w:rsidRPr="00274795">
                        <w:rPr>
                          <w:rFonts w:ascii="Times New Roman" w:hAnsi="Times New Roman"/>
                          <w:b/>
                          <w:lang w:val="fr-FR"/>
                        </w:rPr>
                        <w:t>Email: cso_qna@govmu.org</w:t>
                      </w:r>
                    </w:p>
                  </w:txbxContent>
                </v:textbox>
                <w10:wrap type="tight"/>
              </v:shape>
            </w:pict>
          </mc:Fallback>
        </mc:AlternateContent>
      </w:r>
    </w:p>
    <w:p w14:paraId="0CF0748A"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FB3811C"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246D0B1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64FCF1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3EC7AB39"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0D0080B4" w14:textId="77777777" w:rsidR="005B04CC" w:rsidRPr="00F259A9" w:rsidRDefault="00CE10C1" w:rsidP="005B04CC">
      <w:pPr>
        <w:spacing w:after="0" w:line="240" w:lineRule="auto"/>
        <w:jc w:val="both"/>
        <w:rPr>
          <w:rFonts w:ascii="Times New Roman" w:eastAsia="Times New Roman" w:hAnsi="Times New Roman"/>
          <w:sz w:val="24"/>
          <w:szCs w:val="24"/>
          <w:lang w:val="en-US"/>
        </w:rPr>
      </w:pPr>
      <w:r>
        <w:rPr>
          <w:rFonts w:ascii="Times New Roman" w:eastAsia="Times New Roman" w:hAnsi="Times New Roman"/>
          <w:sz w:val="24"/>
          <w:szCs w:val="24"/>
          <w:lang w:val="en-US"/>
        </w:rPr>
        <w:t>-</w:t>
      </w:r>
    </w:p>
    <w:p w14:paraId="67562872"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6F5A79F3"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0545A0"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4E4D101F"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7D705EFB" w14:textId="77777777" w:rsidR="005B04CC" w:rsidRPr="00F259A9" w:rsidRDefault="005B04CC" w:rsidP="005B04CC">
      <w:pPr>
        <w:spacing w:after="0" w:line="240" w:lineRule="auto"/>
        <w:jc w:val="both"/>
        <w:rPr>
          <w:rFonts w:ascii="Times New Roman" w:eastAsia="Times New Roman" w:hAnsi="Times New Roman"/>
          <w:sz w:val="24"/>
          <w:szCs w:val="24"/>
          <w:lang w:val="en-US"/>
        </w:rPr>
      </w:pPr>
    </w:p>
    <w:p w14:paraId="5AF8CEB3" w14:textId="77777777" w:rsidR="0062437E" w:rsidRDefault="0062437E" w:rsidP="00DB3ADE">
      <w:pPr>
        <w:spacing w:after="0" w:line="240" w:lineRule="auto"/>
        <w:jc w:val="both"/>
      </w:pPr>
    </w:p>
    <w:p w14:paraId="161E8B43" w14:textId="77777777" w:rsidR="00492AA6" w:rsidRDefault="00492AA6" w:rsidP="00DB3ADE">
      <w:pPr>
        <w:spacing w:after="0" w:line="240" w:lineRule="auto"/>
        <w:jc w:val="both"/>
      </w:pPr>
    </w:p>
    <w:p w14:paraId="2CD141D6" w14:textId="77777777" w:rsidR="00492AA6" w:rsidRDefault="00492AA6" w:rsidP="00DB3ADE">
      <w:pPr>
        <w:spacing w:after="0" w:line="240" w:lineRule="auto"/>
        <w:jc w:val="both"/>
      </w:pPr>
    </w:p>
    <w:p w14:paraId="72D786EE" w14:textId="77777777" w:rsidR="00492AA6" w:rsidRDefault="00492AA6" w:rsidP="00DB3ADE">
      <w:pPr>
        <w:spacing w:after="0" w:line="240" w:lineRule="auto"/>
        <w:jc w:val="both"/>
      </w:pPr>
    </w:p>
    <w:p w14:paraId="516050A5" w14:textId="77777777" w:rsidR="00492AA6" w:rsidRDefault="00492AA6" w:rsidP="00DB3ADE">
      <w:pPr>
        <w:spacing w:after="0" w:line="240" w:lineRule="auto"/>
        <w:jc w:val="both"/>
      </w:pPr>
    </w:p>
    <w:p w14:paraId="7702B144" w14:textId="77777777" w:rsidR="00492AA6" w:rsidRDefault="00492AA6" w:rsidP="00DB3ADE">
      <w:pPr>
        <w:spacing w:after="0" w:line="240" w:lineRule="auto"/>
        <w:jc w:val="both"/>
      </w:pPr>
    </w:p>
    <w:p w14:paraId="3D576A0D" w14:textId="77777777" w:rsidR="00492AA6" w:rsidRDefault="00492AA6" w:rsidP="00DB3ADE">
      <w:pPr>
        <w:spacing w:after="0" w:line="240" w:lineRule="auto"/>
        <w:jc w:val="both"/>
      </w:pPr>
    </w:p>
    <w:p w14:paraId="5D8C415F" w14:textId="77777777" w:rsidR="00492AA6" w:rsidRDefault="00492AA6" w:rsidP="00DB3ADE">
      <w:pPr>
        <w:spacing w:after="0" w:line="240" w:lineRule="auto"/>
        <w:jc w:val="both"/>
      </w:pPr>
    </w:p>
    <w:p w14:paraId="68B4D2BE" w14:textId="77777777" w:rsidR="00492AA6" w:rsidRDefault="00492AA6" w:rsidP="00DB3ADE">
      <w:pPr>
        <w:spacing w:after="0" w:line="240" w:lineRule="auto"/>
        <w:jc w:val="both"/>
      </w:pPr>
    </w:p>
    <w:p w14:paraId="2BC94071" w14:textId="77777777" w:rsidR="00061F53" w:rsidRDefault="00061F53">
      <w:pPr>
        <w:spacing w:after="0" w:line="240" w:lineRule="auto"/>
        <w:sectPr w:rsidR="00061F53" w:rsidSect="00061F53">
          <w:headerReference w:type="default" r:id="rId16"/>
          <w:headerReference w:type="first" r:id="rId17"/>
          <w:pgSz w:w="11909" w:h="16834" w:code="9"/>
          <w:pgMar w:top="993" w:right="1111" w:bottom="567" w:left="1111" w:header="720" w:footer="505" w:gutter="0"/>
          <w:pgNumType w:start="1"/>
          <w:cols w:space="720"/>
          <w:titlePg/>
          <w:docGrid w:linePitch="360"/>
        </w:sectPr>
      </w:pPr>
    </w:p>
    <w:p w14:paraId="533C6364" w14:textId="77777777" w:rsidR="00492AA6" w:rsidRDefault="00492AA6" w:rsidP="00DB3ADE">
      <w:pPr>
        <w:spacing w:after="0" w:line="240" w:lineRule="auto"/>
        <w:jc w:val="both"/>
      </w:pPr>
    </w:p>
    <w:p w14:paraId="65F23DB8" w14:textId="77777777" w:rsidR="00492AA6" w:rsidRDefault="00755910" w:rsidP="00755910">
      <w:pPr>
        <w:spacing w:after="0" w:line="240" w:lineRule="auto"/>
        <w:ind w:left="7920" w:firstLine="720"/>
        <w:jc w:val="right"/>
        <w:rPr>
          <w:rFonts w:ascii="Times New Roman" w:eastAsia="Times New Roman" w:hAnsi="Times New Roman"/>
          <w:b/>
          <w:sz w:val="24"/>
          <w:szCs w:val="24"/>
          <w:lang w:val="en-US"/>
        </w:rPr>
      </w:pPr>
      <w:r>
        <w:rPr>
          <w:rFonts w:ascii="Times New Roman" w:eastAsia="Times New Roman" w:hAnsi="Times New Roman"/>
          <w:b/>
          <w:sz w:val="24"/>
          <w:szCs w:val="24"/>
          <w:lang w:val="en-US"/>
        </w:rPr>
        <w:t xml:space="preserve"> Annex</w:t>
      </w:r>
    </w:p>
    <w:p w14:paraId="1936B190" w14:textId="77777777" w:rsidR="003177E0" w:rsidRPr="004253B5" w:rsidRDefault="003177E0" w:rsidP="00755910">
      <w:pPr>
        <w:spacing w:after="0" w:line="240" w:lineRule="auto"/>
        <w:ind w:left="7920" w:firstLine="720"/>
        <w:jc w:val="right"/>
        <w:rPr>
          <w:rFonts w:ascii="Times New Roman" w:eastAsia="Times New Roman" w:hAnsi="Times New Roman"/>
          <w:b/>
          <w:sz w:val="24"/>
          <w:szCs w:val="24"/>
          <w:lang w:val="en-US"/>
        </w:rPr>
      </w:pPr>
    </w:p>
    <w:p w14:paraId="62469323" w14:textId="77777777" w:rsidR="003177E0" w:rsidRPr="00D47EFC" w:rsidRDefault="003177E0" w:rsidP="003177E0">
      <w:pPr>
        <w:tabs>
          <w:tab w:val="left" w:pos="3405"/>
        </w:tabs>
        <w:jc w:val="center"/>
        <w:rPr>
          <w:rFonts w:ascii="Times New Roman" w:eastAsia="Times New Roman" w:hAnsi="Times New Roman"/>
          <w:b/>
          <w:sz w:val="24"/>
          <w:szCs w:val="24"/>
          <w:lang w:val="en-US"/>
        </w:rPr>
      </w:pPr>
      <w:r w:rsidRPr="00D47EFC">
        <w:rPr>
          <w:rFonts w:ascii="Times New Roman" w:eastAsia="Times New Roman" w:hAnsi="Times New Roman"/>
          <w:b/>
          <w:sz w:val="24"/>
          <w:szCs w:val="24"/>
          <w:lang w:val="en-US"/>
        </w:rPr>
        <w:t>Concepts, Data Sources and Methods for Compiling Quarterly National Accounts Estimates</w:t>
      </w:r>
    </w:p>
    <w:p w14:paraId="48879DE6" w14:textId="77777777" w:rsidR="003177E0" w:rsidRPr="004253B5" w:rsidRDefault="003177E0" w:rsidP="003177E0">
      <w:pPr>
        <w:spacing w:after="0" w:line="240" w:lineRule="auto"/>
        <w:jc w:val="both"/>
        <w:rPr>
          <w:rFonts w:ascii="Times New Roman" w:eastAsia="Times New Roman" w:hAnsi="Times New Roman"/>
          <w:b/>
          <w:lang w:val="en-US"/>
        </w:rPr>
      </w:pPr>
    </w:p>
    <w:p w14:paraId="15C167E2" w14:textId="77777777" w:rsidR="003177E0" w:rsidRPr="004253B5" w:rsidRDefault="003177E0" w:rsidP="003177E0">
      <w:pPr>
        <w:spacing w:after="0" w:line="240" w:lineRule="auto"/>
        <w:jc w:val="both"/>
        <w:rPr>
          <w:rFonts w:ascii="Times New Roman" w:eastAsia="Times New Roman" w:hAnsi="Times New Roman"/>
          <w:b/>
          <w:lang w:val="en-US"/>
        </w:rPr>
      </w:pPr>
    </w:p>
    <w:p w14:paraId="37BB0F16" w14:textId="77777777" w:rsidR="003177E0" w:rsidRPr="004253B5" w:rsidRDefault="003177E0" w:rsidP="003177E0">
      <w:pPr>
        <w:numPr>
          <w:ilvl w:val="0"/>
          <w:numId w:val="37"/>
        </w:numPr>
        <w:tabs>
          <w:tab w:val="left" w:pos="709"/>
          <w:tab w:val="left" w:pos="1134"/>
        </w:tabs>
        <w:spacing w:after="0" w:line="240" w:lineRule="auto"/>
        <w:ind w:left="709" w:right="28" w:hanging="709"/>
        <w:jc w:val="both"/>
        <w:rPr>
          <w:rFonts w:ascii="Times New Roman" w:eastAsia="Times New Roman" w:hAnsi="Times New Roman"/>
          <w:b/>
          <w:lang w:val="en-US"/>
        </w:rPr>
      </w:pPr>
      <w:r w:rsidRPr="004253B5">
        <w:rPr>
          <w:rFonts w:ascii="Times New Roman" w:eastAsia="Times New Roman" w:hAnsi="Times New Roman"/>
          <w:b/>
          <w:lang w:val="en-US"/>
        </w:rPr>
        <w:t>Concepts and definitions</w:t>
      </w:r>
    </w:p>
    <w:p w14:paraId="1E3E8B7F" w14:textId="77777777" w:rsidR="003177E0" w:rsidRPr="004253B5" w:rsidRDefault="003177E0" w:rsidP="003177E0">
      <w:pPr>
        <w:tabs>
          <w:tab w:val="left" w:pos="1350"/>
        </w:tabs>
        <w:spacing w:after="0" w:line="240" w:lineRule="auto"/>
        <w:jc w:val="both"/>
        <w:rPr>
          <w:rFonts w:ascii="Times New Roman" w:eastAsia="Times New Roman" w:hAnsi="Times New Roman"/>
          <w:lang w:val="x-none" w:eastAsia="x-none"/>
        </w:rPr>
      </w:pPr>
    </w:p>
    <w:p w14:paraId="607A4C12" w14:textId="77777777" w:rsidR="003177E0" w:rsidRPr="004253B5" w:rsidRDefault="003177E0" w:rsidP="003177E0">
      <w:pPr>
        <w:tabs>
          <w:tab w:val="left" w:pos="1350"/>
        </w:tabs>
        <w:spacing w:after="0" w:line="240" w:lineRule="auto"/>
        <w:jc w:val="both"/>
        <w:rPr>
          <w:rFonts w:ascii="Times New Roman" w:eastAsia="Times New Roman" w:hAnsi="Times New Roman"/>
          <w:sz w:val="24"/>
          <w:szCs w:val="24"/>
          <w:lang w:val="x-none" w:eastAsia="x-none"/>
        </w:rPr>
      </w:pPr>
      <w:r w:rsidRPr="004253B5">
        <w:rPr>
          <w:rFonts w:ascii="Times New Roman" w:eastAsia="Times New Roman" w:hAnsi="Times New Roman"/>
          <w:lang w:val="x-none" w:eastAsia="x-none"/>
        </w:rPr>
        <w:t xml:space="preserve">The quarterly estimates have been compiled according to guidelines provided in the IMF manual entitled “Quarterly National Accounts Manual – Concepts, Data sources and Compilation”, which is itself based on the System of National Accounts </w:t>
      </w:r>
      <w:r w:rsidRPr="004253B5">
        <w:rPr>
          <w:rFonts w:ascii="Times New Roman" w:eastAsia="Times New Roman" w:hAnsi="Times New Roman"/>
          <w:lang w:eastAsia="x-none"/>
        </w:rPr>
        <w:t>(S</w:t>
      </w:r>
      <w:r w:rsidRPr="004253B5">
        <w:rPr>
          <w:rFonts w:ascii="Times New Roman" w:eastAsia="Times New Roman" w:hAnsi="Times New Roman"/>
          <w:lang w:val="x-none" w:eastAsia="x-none"/>
        </w:rPr>
        <w:t>NA) of the United Nations and are therefore consistent with annual estimates of the National Accounts</w:t>
      </w:r>
      <w:r w:rsidRPr="004253B5">
        <w:rPr>
          <w:rFonts w:ascii="Times New Roman" w:eastAsia="Times New Roman" w:hAnsi="Times New Roman"/>
          <w:sz w:val="24"/>
          <w:szCs w:val="24"/>
          <w:lang w:val="x-none" w:eastAsia="x-none"/>
        </w:rPr>
        <w:t>.</w:t>
      </w:r>
    </w:p>
    <w:p w14:paraId="4EC52C93" w14:textId="77777777" w:rsidR="003177E0" w:rsidRPr="004253B5" w:rsidRDefault="003177E0" w:rsidP="003177E0">
      <w:pPr>
        <w:spacing w:after="0" w:line="240" w:lineRule="auto"/>
        <w:ind w:right="29"/>
        <w:jc w:val="both"/>
        <w:rPr>
          <w:rFonts w:ascii="Times New Roman" w:eastAsia="Times New Roman" w:hAnsi="Times New Roman"/>
          <w:b/>
          <w:lang w:val="en-US"/>
        </w:rPr>
      </w:pPr>
    </w:p>
    <w:p w14:paraId="7D4BDBAA" w14:textId="77777777" w:rsidR="003177E0" w:rsidRPr="004253B5" w:rsidRDefault="003177E0" w:rsidP="003177E0">
      <w:pPr>
        <w:tabs>
          <w:tab w:val="left" w:pos="1350"/>
        </w:tabs>
        <w:spacing w:after="0" w:line="240" w:lineRule="auto"/>
        <w:jc w:val="both"/>
        <w:rPr>
          <w:rFonts w:ascii="Times New Roman" w:eastAsia="Times New Roman" w:hAnsi="Times New Roman"/>
          <w:lang w:val="en-US" w:eastAsia="x-none"/>
        </w:rPr>
      </w:pPr>
    </w:p>
    <w:p w14:paraId="623707E9" w14:textId="77777777" w:rsidR="003177E0" w:rsidRPr="004253B5" w:rsidRDefault="003177E0" w:rsidP="003177E0">
      <w:pPr>
        <w:tabs>
          <w:tab w:val="left" w:pos="567"/>
        </w:tabs>
        <w:spacing w:after="0" w:line="240" w:lineRule="auto"/>
        <w:jc w:val="both"/>
        <w:rPr>
          <w:rFonts w:ascii="Times New Roman" w:eastAsia="Times New Roman" w:hAnsi="Times New Roman"/>
          <w:b/>
          <w:lang w:eastAsia="x-none"/>
        </w:rPr>
      </w:pPr>
      <w:r w:rsidRPr="004253B5">
        <w:rPr>
          <w:rFonts w:ascii="Times New Roman" w:eastAsia="Times New Roman" w:hAnsi="Times New Roman"/>
          <w:b/>
          <w:lang w:eastAsia="x-none"/>
        </w:rPr>
        <w:t>2.</w:t>
      </w:r>
      <w:r w:rsidRPr="004253B5">
        <w:rPr>
          <w:rFonts w:ascii="Times New Roman" w:eastAsia="Times New Roman" w:hAnsi="Times New Roman"/>
          <w:b/>
          <w:lang w:eastAsia="x-none"/>
        </w:rPr>
        <w:tab/>
      </w:r>
      <w:r w:rsidRPr="004253B5">
        <w:rPr>
          <w:rFonts w:ascii="Times New Roman" w:eastAsia="Times New Roman" w:hAnsi="Times New Roman"/>
          <w:b/>
          <w:lang w:eastAsia="x-none"/>
        </w:rPr>
        <w:tab/>
        <w:t>Sources of data</w:t>
      </w:r>
    </w:p>
    <w:p w14:paraId="743758EC"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0A5B496D"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r w:rsidRPr="004253B5">
        <w:rPr>
          <w:rFonts w:ascii="Times New Roman" w:eastAsia="Times New Roman" w:hAnsi="Times New Roman"/>
          <w:lang w:eastAsia="x-none"/>
        </w:rPr>
        <w:t xml:space="preserve">The objective of the Quarterly National Accounts (QNA) is to provide the best indication of quarterly movements. Indicators for QNA have therefore been chosen according to their ability to capture the movements in the performance of the various sectors.  </w:t>
      </w:r>
    </w:p>
    <w:p w14:paraId="6B1C9F74" w14:textId="77777777" w:rsidR="003177E0" w:rsidRPr="004253B5" w:rsidRDefault="003177E0" w:rsidP="003177E0">
      <w:pPr>
        <w:tabs>
          <w:tab w:val="left" w:pos="720"/>
          <w:tab w:val="left" w:pos="2080"/>
        </w:tabs>
        <w:spacing w:after="0" w:line="240" w:lineRule="auto"/>
        <w:jc w:val="both"/>
        <w:rPr>
          <w:rFonts w:ascii="Times New Roman" w:eastAsia="Times New Roman" w:hAnsi="Times New Roman"/>
          <w:lang w:eastAsia="x-none"/>
        </w:rPr>
      </w:pPr>
    </w:p>
    <w:p w14:paraId="441E2292"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 xml:space="preserve">The main sources of data for compiling QNA estimates include quarterly production accounts of various organisations, quarterly surveys on income and expenditure among enterprises considered as drivers in specific sectors, quarterly quantity produced, quarterly expenditure of Government from the Accountant General Department, quarterly data from administrative sources such as building permits from local government, foreign trade </w:t>
      </w:r>
      <w:r>
        <w:rPr>
          <w:rFonts w:ascii="Times New Roman" w:eastAsia="Times New Roman" w:hAnsi="Times New Roman"/>
          <w:szCs w:val="24"/>
          <w:lang w:eastAsia="x-none"/>
        </w:rPr>
        <w:t xml:space="preserve">and VAT </w:t>
      </w:r>
      <w:r w:rsidRPr="004253B5">
        <w:rPr>
          <w:rFonts w:ascii="Times New Roman" w:eastAsia="Times New Roman" w:hAnsi="Times New Roman"/>
          <w:szCs w:val="24"/>
          <w:lang w:eastAsia="x-none"/>
        </w:rPr>
        <w:t xml:space="preserve">data from the </w:t>
      </w:r>
      <w:r>
        <w:rPr>
          <w:rFonts w:ascii="Times New Roman" w:eastAsia="Times New Roman" w:hAnsi="Times New Roman"/>
          <w:szCs w:val="24"/>
          <w:lang w:eastAsia="x-none"/>
        </w:rPr>
        <w:t>Mauritius Revenue Authority</w:t>
      </w:r>
      <w:r w:rsidRPr="004253B5">
        <w:rPr>
          <w:rFonts w:ascii="Times New Roman" w:eastAsia="Times New Roman" w:hAnsi="Times New Roman"/>
          <w:szCs w:val="24"/>
          <w:lang w:eastAsia="x-none"/>
        </w:rPr>
        <w:t>, tourism receipts from the Bank of Mauritius, as well as some indirect indicators such as employment.</w:t>
      </w:r>
    </w:p>
    <w:p w14:paraId="53211793"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379248C1"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01FDF29A" w14:textId="77777777" w:rsidR="003177E0" w:rsidRPr="004253B5" w:rsidRDefault="003177E0" w:rsidP="003177E0">
      <w:pPr>
        <w:tabs>
          <w:tab w:val="left" w:pos="567"/>
          <w:tab w:val="left" w:pos="709"/>
          <w:tab w:val="left" w:pos="851"/>
        </w:tabs>
        <w:spacing w:after="0" w:line="240" w:lineRule="auto"/>
        <w:jc w:val="both"/>
        <w:rPr>
          <w:rFonts w:ascii="Times New Roman" w:eastAsia="Times New Roman" w:hAnsi="Times New Roman"/>
          <w:b/>
          <w:szCs w:val="24"/>
          <w:lang w:eastAsia="x-none"/>
        </w:rPr>
      </w:pPr>
      <w:r w:rsidRPr="004253B5">
        <w:rPr>
          <w:rFonts w:ascii="Times New Roman" w:eastAsia="Times New Roman" w:hAnsi="Times New Roman"/>
          <w:b/>
          <w:szCs w:val="24"/>
          <w:lang w:eastAsia="x-none"/>
        </w:rPr>
        <w:t>3.</w:t>
      </w:r>
      <w:r w:rsidRPr="004253B5">
        <w:rPr>
          <w:rFonts w:ascii="Times New Roman" w:eastAsia="Times New Roman" w:hAnsi="Times New Roman"/>
          <w:b/>
          <w:szCs w:val="24"/>
          <w:lang w:eastAsia="x-none"/>
        </w:rPr>
        <w:tab/>
      </w:r>
      <w:r w:rsidRPr="004253B5">
        <w:rPr>
          <w:rFonts w:ascii="Times New Roman" w:eastAsia="Times New Roman" w:hAnsi="Times New Roman"/>
          <w:b/>
          <w:szCs w:val="24"/>
          <w:lang w:eastAsia="x-none"/>
        </w:rPr>
        <w:tab/>
        <w:t>Methods used</w:t>
      </w:r>
    </w:p>
    <w:p w14:paraId="0650B34C"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60FB2AAC" w14:textId="77777777" w:rsidR="003177E0" w:rsidRPr="004253B5" w:rsidRDefault="003177E0" w:rsidP="003177E0">
      <w:pPr>
        <w:spacing w:after="0" w:line="240" w:lineRule="auto"/>
        <w:jc w:val="both"/>
        <w:rPr>
          <w:rFonts w:ascii="Times New Roman" w:eastAsia="Times New Roman" w:hAnsi="Times New Roman"/>
          <w:szCs w:val="24"/>
          <w:lang w:eastAsia="x-none"/>
        </w:rPr>
      </w:pPr>
      <w:r w:rsidRPr="004253B5">
        <w:rPr>
          <w:rFonts w:ascii="Times New Roman" w:eastAsia="Times New Roman" w:hAnsi="Times New Roman"/>
          <w:szCs w:val="24"/>
          <w:lang w:eastAsia="x-none"/>
        </w:rPr>
        <w:t>When data on both output and input are available, the quarterly value added estimates are computed as the difference between the output and the intermediate consumption (inputs consumed in the process).  When the quarterly output only is readily available or is compiled on the basis of quarterly data on quantity produced, the value added is computed using the production structure of the industry obtained at the latest Census of Economic Activities or from the latest annual production accounts available.</w:t>
      </w:r>
      <w:r w:rsidRPr="004253B5">
        <w:rPr>
          <w:rFonts w:ascii="Times New Roman" w:eastAsia="Times New Roman" w:hAnsi="Times New Roman"/>
          <w:b/>
          <w:szCs w:val="24"/>
          <w:lang w:eastAsia="x-none"/>
        </w:rPr>
        <w:t xml:space="preserve">  </w:t>
      </w:r>
      <w:r w:rsidRPr="004253B5">
        <w:rPr>
          <w:rFonts w:ascii="Times New Roman" w:eastAsia="Times New Roman" w:hAnsi="Times New Roman"/>
          <w:szCs w:val="24"/>
          <w:lang w:eastAsia="x-none"/>
        </w:rPr>
        <w:t>When indicators on quarterly volume produced and price only are available, these are applied to the last quarterly value added figures to have the estimates for the quarter under review.</w:t>
      </w:r>
    </w:p>
    <w:p w14:paraId="1EA104EF" w14:textId="77777777" w:rsidR="003177E0" w:rsidRPr="004253B5" w:rsidRDefault="003177E0" w:rsidP="003177E0">
      <w:pPr>
        <w:spacing w:after="0" w:line="240" w:lineRule="auto"/>
        <w:jc w:val="both"/>
        <w:rPr>
          <w:rFonts w:ascii="Times New Roman" w:eastAsia="Times New Roman" w:hAnsi="Times New Roman"/>
          <w:szCs w:val="24"/>
          <w:lang w:eastAsia="x-none"/>
        </w:rPr>
      </w:pPr>
    </w:p>
    <w:p w14:paraId="22470411"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 xml:space="preserve">Constant price estimates </w:t>
      </w:r>
      <w:r w:rsidRPr="004253B5">
        <w:rPr>
          <w:rFonts w:ascii="Times New Roman" w:eastAsia="Times New Roman" w:hAnsi="Times New Roman"/>
          <w:szCs w:val="24"/>
          <w:lang w:eastAsia="x-none"/>
        </w:rPr>
        <w:t xml:space="preserve">exclude price </w:t>
      </w:r>
      <w:r w:rsidRPr="004253B5">
        <w:rPr>
          <w:rFonts w:ascii="Times New Roman" w:eastAsia="Times New Roman" w:hAnsi="Times New Roman"/>
          <w:szCs w:val="24"/>
          <w:lang w:val="x-none" w:eastAsia="x-none"/>
        </w:rPr>
        <w:t xml:space="preserve">effects of prices and </w:t>
      </w:r>
      <w:r w:rsidRPr="004253B5">
        <w:rPr>
          <w:rFonts w:ascii="Times New Roman" w:eastAsia="Times New Roman" w:hAnsi="Times New Roman"/>
          <w:szCs w:val="24"/>
          <w:lang w:eastAsia="x-none"/>
        </w:rPr>
        <w:t xml:space="preserve">therefore </w:t>
      </w:r>
      <w:r w:rsidRPr="004253B5">
        <w:rPr>
          <w:rFonts w:ascii="Times New Roman" w:eastAsia="Times New Roman" w:hAnsi="Times New Roman"/>
          <w:szCs w:val="24"/>
          <w:lang w:val="x-none" w:eastAsia="x-none"/>
        </w:rPr>
        <w:t>provide real growths.  The constant price estimates are computed using the double deflation method for sectors where information on both inputs and outputs is available. In practice such data are difficult to obtain, hence ‘proxy indicators’ of volume changes are used if available, otherwise value series are deflated by an appropriate price index.</w:t>
      </w:r>
    </w:p>
    <w:p w14:paraId="1973BF58"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08804B2B"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lang w:val="x-none" w:eastAsia="x-none"/>
        </w:rPr>
        <w:t>As recommended in the Quarterly National Accounts</w:t>
      </w:r>
      <w:r w:rsidRPr="004253B5">
        <w:rPr>
          <w:rFonts w:ascii="Times New Roman" w:eastAsia="Times New Roman" w:hAnsi="Times New Roman"/>
          <w:lang w:eastAsia="x-none"/>
        </w:rPr>
        <w:t xml:space="preserve"> Manual</w:t>
      </w:r>
      <w:r w:rsidRPr="004253B5">
        <w:rPr>
          <w:rFonts w:ascii="Times New Roman" w:eastAsia="Times New Roman" w:hAnsi="Times New Roman"/>
          <w:lang w:val="x-none" w:eastAsia="x-none"/>
        </w:rPr>
        <w:t>, the Annual Overlap Technique has been used to derive constant quarterly estimates, instead of the traditional fixed-base year constant price estimates.  This technique entails compiling estimates for each quarter at the weighted annual average prices of the previous year.  The volume data of QNA are then chain-linked to obtain the constant price series.</w:t>
      </w:r>
    </w:p>
    <w:p w14:paraId="3CD06CF0"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22F0157F" w14:textId="77777777" w:rsidR="003177E0" w:rsidRPr="004253B5" w:rsidRDefault="003177E0" w:rsidP="003177E0">
      <w:pPr>
        <w:spacing w:after="0" w:line="240" w:lineRule="auto"/>
        <w:ind w:left="426" w:hanging="426"/>
        <w:jc w:val="both"/>
        <w:rPr>
          <w:rFonts w:ascii="Times New Roman" w:eastAsia="Times New Roman" w:hAnsi="Times New Roman"/>
          <w:szCs w:val="24"/>
          <w:lang w:val="x-none" w:eastAsia="x-none"/>
        </w:rPr>
      </w:pPr>
    </w:p>
    <w:p w14:paraId="6F756899"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w:t>
      </w:r>
      <w:r w:rsidRPr="004253B5">
        <w:rPr>
          <w:rFonts w:ascii="Times New Roman" w:eastAsia="Times New Roman" w:hAnsi="Times New Roman"/>
          <w:b/>
          <w:szCs w:val="24"/>
          <w:lang w:val="x-none" w:eastAsia="x-none"/>
        </w:rPr>
        <w:tab/>
        <w:t>Seasonal adjustment of quarterly GDP</w:t>
      </w:r>
    </w:p>
    <w:p w14:paraId="063AB005"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147F5BCD"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eastAsia="x-none"/>
        </w:rPr>
        <w:t>V</w:t>
      </w:r>
      <w:proofErr w:type="spellStart"/>
      <w:r w:rsidRPr="004253B5">
        <w:rPr>
          <w:rFonts w:ascii="Times New Roman" w:eastAsia="Times New Roman" w:hAnsi="Times New Roman"/>
          <w:szCs w:val="24"/>
          <w:lang w:val="x-none" w:eastAsia="x-none"/>
        </w:rPr>
        <w:t>alue</w:t>
      </w:r>
      <w:proofErr w:type="spellEnd"/>
      <w:r w:rsidRPr="004253B5">
        <w:rPr>
          <w:rFonts w:ascii="Times New Roman" w:eastAsia="Times New Roman" w:hAnsi="Times New Roman"/>
          <w:szCs w:val="24"/>
          <w:lang w:val="x-none" w:eastAsia="x-none"/>
        </w:rPr>
        <w:t xml:space="preserve"> added by sector and total GDP </w:t>
      </w:r>
      <w:r w:rsidRPr="004253B5">
        <w:rPr>
          <w:rFonts w:ascii="Times New Roman" w:eastAsia="Times New Roman" w:hAnsi="Times New Roman"/>
          <w:szCs w:val="24"/>
          <w:lang w:eastAsia="x-none"/>
        </w:rPr>
        <w:t xml:space="preserve">have been seasonally adjusted and </w:t>
      </w:r>
      <w:r w:rsidRPr="004253B5">
        <w:rPr>
          <w:rFonts w:ascii="Times New Roman" w:eastAsia="Times New Roman" w:hAnsi="Times New Roman"/>
          <w:szCs w:val="24"/>
          <w:lang w:val="x-none" w:eastAsia="x-none"/>
        </w:rPr>
        <w:t xml:space="preserve">are </w:t>
      </w:r>
      <w:r w:rsidRPr="004253B5">
        <w:rPr>
          <w:rFonts w:ascii="Times New Roman" w:eastAsia="Times New Roman" w:hAnsi="Times New Roman"/>
          <w:szCs w:val="24"/>
          <w:lang w:eastAsia="x-none"/>
        </w:rPr>
        <w:t>published on the web site of the office</w:t>
      </w:r>
      <w:r w:rsidRPr="004253B5">
        <w:rPr>
          <w:rFonts w:ascii="Times New Roman" w:eastAsia="Times New Roman" w:hAnsi="Times New Roman"/>
          <w:szCs w:val="24"/>
          <w:lang w:val="x-none" w:eastAsia="x-none"/>
        </w:rPr>
        <w:t xml:space="preserve">. The methodology adopted in the seasonal adjustment exercise is briefly given below. Seasonally adjusted time series has historically been a common practice in </w:t>
      </w:r>
      <w:proofErr w:type="spellStart"/>
      <w:r w:rsidRPr="004253B5">
        <w:rPr>
          <w:rFonts w:ascii="Times New Roman" w:eastAsia="Times New Roman" w:hAnsi="Times New Roman"/>
          <w:szCs w:val="24"/>
          <w:lang w:val="x-none" w:eastAsia="x-none"/>
        </w:rPr>
        <w:t>analyzing</w:t>
      </w:r>
      <w:proofErr w:type="spellEnd"/>
      <w:r w:rsidRPr="004253B5">
        <w:rPr>
          <w:rFonts w:ascii="Times New Roman" w:eastAsia="Times New Roman" w:hAnsi="Times New Roman"/>
          <w:szCs w:val="24"/>
          <w:lang w:val="x-none" w:eastAsia="x-none"/>
        </w:rPr>
        <w:t xml:space="preserve"> business cycles. Currently this is widely use</w:t>
      </w:r>
      <w:r>
        <w:rPr>
          <w:rFonts w:ascii="Times New Roman" w:eastAsia="Times New Roman" w:hAnsi="Times New Roman"/>
          <w:szCs w:val="24"/>
          <w:lang w:eastAsia="x-none"/>
        </w:rPr>
        <w:t>d</w:t>
      </w:r>
      <w:r w:rsidRPr="004253B5">
        <w:rPr>
          <w:rFonts w:ascii="Times New Roman" w:eastAsia="Times New Roman" w:hAnsi="Times New Roman"/>
          <w:szCs w:val="24"/>
          <w:lang w:val="x-none" w:eastAsia="x-none"/>
        </w:rPr>
        <w:t xml:space="preserve"> by a majority of statistical offices, central banks and policy analysts to describe and understand the most recent economic developments.</w:t>
      </w:r>
    </w:p>
    <w:p w14:paraId="74F192D9"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729B84B1"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533E6FDD" w14:textId="77777777" w:rsidR="003177E0" w:rsidRDefault="003177E0" w:rsidP="003177E0">
      <w:pPr>
        <w:spacing w:after="0" w:line="240" w:lineRule="auto"/>
        <w:jc w:val="both"/>
        <w:rPr>
          <w:rFonts w:ascii="Times New Roman" w:eastAsia="Times New Roman" w:hAnsi="Times New Roman"/>
          <w:szCs w:val="24"/>
          <w:lang w:val="x-none" w:eastAsia="x-none"/>
        </w:rPr>
      </w:pPr>
    </w:p>
    <w:p w14:paraId="1D564AFA" w14:textId="77777777" w:rsidR="003177E0" w:rsidRPr="004253B5" w:rsidRDefault="003177E0" w:rsidP="003177E0">
      <w:pPr>
        <w:tabs>
          <w:tab w:val="left" w:pos="567"/>
        </w:tabs>
        <w:spacing w:after="0" w:line="240" w:lineRule="auto"/>
        <w:jc w:val="both"/>
        <w:rPr>
          <w:rFonts w:ascii="Times New Roman" w:eastAsia="Times New Roman" w:hAnsi="Times New Roman"/>
          <w:b/>
          <w:szCs w:val="24"/>
          <w:lang w:val="x-none" w:eastAsia="x-none"/>
        </w:rPr>
      </w:pPr>
      <w:r w:rsidRPr="004253B5">
        <w:rPr>
          <w:rFonts w:ascii="Times New Roman" w:eastAsia="Times New Roman" w:hAnsi="Times New Roman"/>
          <w:b/>
          <w:szCs w:val="24"/>
          <w:lang w:val="x-none" w:eastAsia="x-none"/>
        </w:rPr>
        <w:t>4.1</w:t>
      </w:r>
      <w:r w:rsidRPr="004253B5">
        <w:rPr>
          <w:rFonts w:ascii="Times New Roman" w:eastAsia="Times New Roman" w:hAnsi="Times New Roman"/>
          <w:b/>
          <w:szCs w:val="24"/>
          <w:lang w:val="x-none" w:eastAsia="x-none"/>
        </w:rPr>
        <w:tab/>
        <w:t>Procedures for seasonal adjustment of quarterly GDP</w:t>
      </w:r>
    </w:p>
    <w:p w14:paraId="12871C8F"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p>
    <w:p w14:paraId="645F553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QNA data are subject to seasonal variations which are recurrent within a year pattern.  For example, activities of “Wholesale and retail  trade” are  usually lowest in the first quarters, but highest in the fourth quarters in line with the high demand for consumption goods at the end of the year; activities of “Hotels and restaurants” are highest in the first and last quarters in line with high tourist arrivals during these quarters. For meaningful comparison of quarter to quarter growth, particularly for identifying turning points, the seasonal component must be removed from the data.</w:t>
      </w:r>
    </w:p>
    <w:p w14:paraId="385512D2" w14:textId="77777777" w:rsidR="003177E0" w:rsidRPr="004253B5" w:rsidRDefault="003177E0" w:rsidP="003177E0">
      <w:pPr>
        <w:spacing w:after="0" w:line="240" w:lineRule="auto"/>
        <w:jc w:val="both"/>
        <w:rPr>
          <w:rFonts w:ascii="Times New Roman" w:eastAsia="Times New Roman" w:hAnsi="Times New Roman"/>
          <w:sz w:val="20"/>
          <w:szCs w:val="24"/>
          <w:lang w:val="x-none" w:eastAsia="x-none"/>
        </w:rPr>
      </w:pPr>
    </w:p>
    <w:p w14:paraId="32BFD516"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procedures for carrying out the seasonal adjustment exercise are as follows:</w:t>
      </w:r>
    </w:p>
    <w:p w14:paraId="045E7BD2"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37C0DE10"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w:t>
      </w:r>
      <w:proofErr w:type="spellStart"/>
      <w:r w:rsidRPr="004253B5">
        <w:rPr>
          <w:rFonts w:ascii="Times New Roman" w:eastAsia="Times New Roman" w:hAnsi="Times New Roman"/>
          <w:szCs w:val="24"/>
          <w:lang w:val="x-none" w:eastAsia="x-none"/>
        </w:rPr>
        <w:t>i</w:t>
      </w:r>
      <w:proofErr w:type="spellEnd"/>
      <w:r w:rsidRPr="004253B5">
        <w:rPr>
          <w:rFonts w:ascii="Times New Roman" w:eastAsia="Times New Roman" w:hAnsi="Times New Roman"/>
          <w:szCs w:val="24"/>
          <w:lang w:val="x-none" w:eastAsia="x-none"/>
        </w:rPr>
        <w:t xml:space="preserve">) </w:t>
      </w:r>
      <w:r w:rsidRPr="004253B5">
        <w:rPr>
          <w:rFonts w:ascii="Times New Roman" w:eastAsia="Times New Roman" w:hAnsi="Times New Roman"/>
          <w:szCs w:val="24"/>
          <w:lang w:val="x-none" w:eastAsia="x-none"/>
        </w:rPr>
        <w:tab/>
        <w:t>The software, Demetra, developed by Eurostat and which includes the X-12 program has been used.</w:t>
      </w:r>
    </w:p>
    <w:p w14:paraId="7D13DD2E"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E1937F3"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w:t>
      </w:r>
      <w:r w:rsidRPr="004253B5">
        <w:rPr>
          <w:rFonts w:ascii="Times New Roman" w:eastAsia="Times New Roman" w:hAnsi="Times New Roman"/>
          <w:szCs w:val="24"/>
          <w:lang w:val="x-none" w:eastAsia="x-none"/>
        </w:rPr>
        <w:tab/>
        <w:t>Forward adjustment, instead of concurrent adjustment, has been used for quarterly series up to the most recently completed year, that is seasonal factors for the four quarters ahead are estimated using the X-12 procedure. When a new data point becomes available, the seasonally adjusted value of the new data point is obtained by dividing it by the appropriate forward factor if model is multiplicative  or subtracting from it the appropriate forward factor if the underlying model is additive.</w:t>
      </w:r>
    </w:p>
    <w:p w14:paraId="28846A6D"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7AF3A8E4"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(iii)</w:t>
      </w:r>
      <w:r w:rsidRPr="004253B5">
        <w:rPr>
          <w:rFonts w:ascii="Times New Roman" w:eastAsia="Times New Roman" w:hAnsi="Times New Roman"/>
          <w:szCs w:val="24"/>
          <w:lang w:val="x-none" w:eastAsia="x-none"/>
        </w:rPr>
        <w:tab/>
        <w:t>The seasonal adjustment exercise</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has been reworked using data estimated up to </w:t>
      </w:r>
      <w:r>
        <w:rPr>
          <w:rFonts w:ascii="Times New Roman" w:eastAsia="Times New Roman" w:hAnsi="Times New Roman"/>
          <w:szCs w:val="24"/>
          <w:lang w:eastAsia="x-none"/>
        </w:rPr>
        <w:t>the most recently completed year</w:t>
      </w:r>
      <w:r w:rsidRPr="004253B5">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In the light of the new seasonal factors, the seasonally adjusted growth rates have been revised.</w:t>
      </w:r>
    </w:p>
    <w:p w14:paraId="70A3361A"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405F6647"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(iv)</w:t>
      </w:r>
      <w:r w:rsidRPr="004253B5">
        <w:rPr>
          <w:rFonts w:ascii="Times New Roman" w:eastAsia="Times New Roman" w:hAnsi="Times New Roman"/>
          <w:szCs w:val="24"/>
          <w:lang w:val="x-none" w:eastAsia="x-none"/>
        </w:rPr>
        <w:tab/>
        <w:t>Direct</w:t>
      </w:r>
      <w:r>
        <w:rPr>
          <w:rFonts w:ascii="Times New Roman" w:eastAsia="Times New Roman" w:hAnsi="Times New Roman"/>
          <w:szCs w:val="24"/>
          <w:lang w:val="x-none" w:eastAsia="x-none"/>
        </w:rPr>
        <w:t xml:space="preserve"> adjustment of the aggregate GVA</w:t>
      </w:r>
      <w:r w:rsidRPr="004253B5">
        <w:rPr>
          <w:rFonts w:ascii="Times New Roman" w:eastAsia="Times New Roman" w:hAnsi="Times New Roman"/>
          <w:szCs w:val="24"/>
          <w:lang w:val="x-none" w:eastAsia="x-none"/>
        </w:rPr>
        <w:t xml:space="preserve"> has been used t</w:t>
      </w:r>
      <w:r>
        <w:rPr>
          <w:rFonts w:ascii="Times New Roman" w:eastAsia="Times New Roman" w:hAnsi="Times New Roman"/>
          <w:szCs w:val="24"/>
          <w:lang w:val="x-none" w:eastAsia="x-none"/>
        </w:rPr>
        <w:t>o obtain seasonally adjusted GVA</w:t>
      </w:r>
      <w:r w:rsidRPr="004253B5">
        <w:rPr>
          <w:rFonts w:ascii="Times New Roman" w:eastAsia="Times New Roman" w:hAnsi="Times New Roman"/>
          <w:szCs w:val="24"/>
          <w:lang w:val="x-none" w:eastAsia="x-none"/>
        </w:rPr>
        <w:t>.</w:t>
      </w:r>
    </w:p>
    <w:p w14:paraId="26E37BC0"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p>
    <w:p w14:paraId="000F32F2" w14:textId="77777777" w:rsidR="003177E0" w:rsidRPr="004253B5" w:rsidRDefault="003177E0" w:rsidP="003177E0">
      <w:pPr>
        <w:tabs>
          <w:tab w:val="left" w:pos="540"/>
        </w:tabs>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(v)</w:t>
      </w:r>
      <w:r w:rsidRPr="004253B5">
        <w:rPr>
          <w:rFonts w:ascii="Times New Roman" w:eastAsia="Times New Roman" w:hAnsi="Times New Roman"/>
          <w:szCs w:val="24"/>
          <w:lang w:val="x-none" w:eastAsia="x-none"/>
        </w:rPr>
        <w:tab/>
        <w:t>Adjustments have been made so that the sums of quarterly seasonally adjusted data are equal to the original yearly totals.</w:t>
      </w:r>
    </w:p>
    <w:p w14:paraId="6222183F" w14:textId="77777777" w:rsidR="003177E0" w:rsidRPr="004253B5" w:rsidRDefault="003177E0" w:rsidP="003177E0">
      <w:pPr>
        <w:spacing w:after="0" w:line="240" w:lineRule="auto"/>
        <w:jc w:val="both"/>
        <w:rPr>
          <w:rFonts w:ascii="Times New Roman" w:eastAsia="Times New Roman" w:hAnsi="Times New Roman"/>
          <w:lang w:val="x-none" w:eastAsia="x-none"/>
        </w:rPr>
      </w:pPr>
    </w:p>
    <w:p w14:paraId="51091AC7" w14:textId="77777777" w:rsidR="003177E0" w:rsidRPr="004253B5" w:rsidRDefault="003177E0" w:rsidP="003177E0">
      <w:pPr>
        <w:spacing w:after="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It should be noted that different seasonal adjustment methods, no matter how carefully they have been implemented, do not always yield identical results if applied to the same time series. In addition, even if the same seasonal adjustment method is applied, there may be substantial revisions, particular towards the end of the time series, when new data are included in the calculation and taking account of possible shifts in the seasonal movements. Consequently, seasonally adjusted data remain provisional for longer than unadjusted figures, which are also subject to revisions.</w:t>
      </w:r>
    </w:p>
    <w:p w14:paraId="65552F5D"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1006F248" w14:textId="77777777" w:rsidR="003177E0" w:rsidRPr="004253B5" w:rsidRDefault="003177E0" w:rsidP="003177E0">
      <w:pPr>
        <w:spacing w:after="0" w:line="240" w:lineRule="auto"/>
        <w:jc w:val="both"/>
        <w:rPr>
          <w:rFonts w:ascii="Times New Roman" w:eastAsia="Times New Roman" w:hAnsi="Times New Roman"/>
          <w:b/>
          <w:sz w:val="24"/>
          <w:szCs w:val="24"/>
          <w:lang w:val="en-US"/>
        </w:rPr>
      </w:pPr>
    </w:p>
    <w:p w14:paraId="7589726B" w14:textId="77777777" w:rsidR="003177E0" w:rsidRPr="004253B5" w:rsidRDefault="003177E0" w:rsidP="003177E0">
      <w:pPr>
        <w:tabs>
          <w:tab w:val="left" w:pos="720"/>
        </w:tabs>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 w:val="24"/>
          <w:szCs w:val="24"/>
          <w:lang w:val="en-US"/>
        </w:rPr>
        <w:t>5.</w:t>
      </w:r>
      <w:r w:rsidRPr="004253B5">
        <w:rPr>
          <w:rFonts w:ascii="Times New Roman" w:eastAsia="Times New Roman" w:hAnsi="Times New Roman"/>
          <w:b/>
          <w:sz w:val="24"/>
          <w:szCs w:val="24"/>
          <w:lang w:val="en-US"/>
        </w:rPr>
        <w:tab/>
      </w:r>
      <w:r w:rsidRPr="004253B5">
        <w:rPr>
          <w:rFonts w:ascii="Times New Roman" w:eastAsia="Times New Roman" w:hAnsi="Times New Roman"/>
          <w:b/>
          <w:szCs w:val="24"/>
          <w:lang w:val="en-US"/>
        </w:rPr>
        <w:t xml:space="preserve">Data sources, methods and indicators used for the estimation of </w:t>
      </w:r>
      <w:r>
        <w:rPr>
          <w:rFonts w:ascii="Times New Roman" w:eastAsia="Times New Roman" w:hAnsi="Times New Roman"/>
          <w:b/>
          <w:szCs w:val="24"/>
          <w:lang w:val="en-US"/>
        </w:rPr>
        <w:t>Q</w:t>
      </w:r>
      <w:r w:rsidRPr="004253B5">
        <w:rPr>
          <w:rFonts w:ascii="Times New Roman" w:eastAsia="Times New Roman" w:hAnsi="Times New Roman"/>
          <w:b/>
          <w:szCs w:val="24"/>
          <w:lang w:val="en-US"/>
        </w:rPr>
        <w:t xml:space="preserve">uarterly </w:t>
      </w:r>
      <w:r>
        <w:rPr>
          <w:rFonts w:ascii="Times New Roman" w:eastAsia="Times New Roman" w:hAnsi="Times New Roman"/>
          <w:b/>
          <w:szCs w:val="24"/>
          <w:lang w:val="en-US"/>
        </w:rPr>
        <w:t>National Accounts Estimates</w:t>
      </w:r>
    </w:p>
    <w:p w14:paraId="34F770E7" w14:textId="77777777" w:rsidR="003177E0" w:rsidRPr="004253B5" w:rsidRDefault="003177E0" w:rsidP="003177E0">
      <w:pPr>
        <w:spacing w:after="0" w:line="240" w:lineRule="auto"/>
        <w:jc w:val="both"/>
        <w:rPr>
          <w:rFonts w:ascii="Times New Roman" w:eastAsia="Times New Roman" w:hAnsi="Times New Roman"/>
          <w:sz w:val="24"/>
          <w:szCs w:val="24"/>
          <w:lang w:val="x-none" w:eastAsia="x-none"/>
        </w:rPr>
      </w:pPr>
    </w:p>
    <w:p w14:paraId="13B3157A" w14:textId="77777777" w:rsidR="003177E0" w:rsidRDefault="003177E0" w:rsidP="003177E0">
      <w:pPr>
        <w:spacing w:after="120" w:line="240" w:lineRule="auto"/>
        <w:jc w:val="both"/>
        <w:rPr>
          <w:rFonts w:ascii="Times New Roman" w:eastAsia="Times New Roman" w:hAnsi="Times New Roman"/>
          <w:szCs w:val="24"/>
          <w:lang w:val="x-none" w:eastAsia="x-none"/>
        </w:rPr>
      </w:pPr>
      <w:r w:rsidRPr="004253B5">
        <w:rPr>
          <w:rFonts w:ascii="Times New Roman" w:eastAsia="Times New Roman" w:hAnsi="Times New Roman"/>
          <w:szCs w:val="24"/>
          <w:lang w:val="x-none" w:eastAsia="x-none"/>
        </w:rPr>
        <w:t>The table below gives the data sources</w:t>
      </w:r>
      <w:r>
        <w:rPr>
          <w:rFonts w:ascii="Times New Roman" w:eastAsia="Times New Roman" w:hAnsi="Times New Roman"/>
          <w:szCs w:val="24"/>
          <w:lang w:eastAsia="x-none"/>
        </w:rPr>
        <w:t xml:space="preserve">, </w:t>
      </w:r>
      <w:r w:rsidRPr="004253B5">
        <w:rPr>
          <w:rFonts w:ascii="Times New Roman" w:eastAsia="Times New Roman" w:hAnsi="Times New Roman"/>
          <w:szCs w:val="24"/>
          <w:lang w:val="x-none" w:eastAsia="x-none"/>
        </w:rPr>
        <w:t xml:space="preserve">methods </w:t>
      </w:r>
      <w:r>
        <w:rPr>
          <w:rFonts w:ascii="Times New Roman" w:eastAsia="Times New Roman" w:hAnsi="Times New Roman"/>
          <w:szCs w:val="24"/>
          <w:lang w:eastAsia="x-none"/>
        </w:rPr>
        <w:t xml:space="preserve">and indicators </w:t>
      </w:r>
      <w:r w:rsidRPr="004253B5">
        <w:rPr>
          <w:rFonts w:ascii="Times New Roman" w:eastAsia="Times New Roman" w:hAnsi="Times New Roman"/>
          <w:szCs w:val="24"/>
          <w:lang w:val="x-none" w:eastAsia="x-none"/>
        </w:rPr>
        <w:t xml:space="preserve">used for the estimation of quarterly </w:t>
      </w:r>
      <w:r>
        <w:rPr>
          <w:rFonts w:ascii="Times New Roman" w:eastAsia="Times New Roman" w:hAnsi="Times New Roman"/>
          <w:szCs w:val="24"/>
          <w:lang w:eastAsia="x-none"/>
        </w:rPr>
        <w:t xml:space="preserve">national accounts </w:t>
      </w:r>
      <w:r w:rsidRPr="004253B5">
        <w:rPr>
          <w:rFonts w:ascii="Times New Roman" w:eastAsia="Times New Roman" w:hAnsi="Times New Roman"/>
          <w:szCs w:val="24"/>
          <w:lang w:val="x-none" w:eastAsia="x-none"/>
        </w:rPr>
        <w:t>estimates at current and constant prices</w:t>
      </w:r>
      <w:r>
        <w:rPr>
          <w:rFonts w:ascii="Times New Roman" w:eastAsia="Times New Roman" w:hAnsi="Times New Roman"/>
          <w:szCs w:val="24"/>
          <w:lang w:eastAsia="x-none"/>
        </w:rPr>
        <w:t>.</w:t>
      </w:r>
      <w:r w:rsidRPr="004253B5">
        <w:rPr>
          <w:rFonts w:ascii="Times New Roman" w:eastAsia="Times New Roman" w:hAnsi="Times New Roman"/>
          <w:szCs w:val="24"/>
          <w:lang w:val="x-none" w:eastAsia="x-none"/>
        </w:rPr>
        <w:t xml:space="preserve">  </w:t>
      </w:r>
    </w:p>
    <w:p w14:paraId="584BAEB4"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A7A10D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7E620E9"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02898C0D"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1CE766F"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8A26482" w14:textId="35476180" w:rsidR="003177E0" w:rsidRDefault="003177E0" w:rsidP="003177E0">
      <w:pPr>
        <w:spacing w:after="120" w:line="240" w:lineRule="auto"/>
        <w:jc w:val="both"/>
        <w:rPr>
          <w:rFonts w:ascii="Times New Roman" w:eastAsia="Times New Roman" w:hAnsi="Times New Roman"/>
          <w:szCs w:val="24"/>
          <w:lang w:val="x-none" w:eastAsia="x-none"/>
        </w:rPr>
      </w:pPr>
    </w:p>
    <w:p w14:paraId="0E743036" w14:textId="77777777" w:rsidR="00DE2C6D" w:rsidRDefault="00DE2C6D" w:rsidP="003177E0">
      <w:pPr>
        <w:spacing w:after="120" w:line="240" w:lineRule="auto"/>
        <w:jc w:val="both"/>
        <w:rPr>
          <w:rFonts w:ascii="Times New Roman" w:eastAsia="Times New Roman" w:hAnsi="Times New Roman"/>
          <w:szCs w:val="24"/>
          <w:lang w:val="x-none" w:eastAsia="x-none"/>
        </w:rPr>
      </w:pPr>
    </w:p>
    <w:p w14:paraId="28F69416"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169BE710"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75FC06D5"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609F1828"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26E9D42" w14:textId="77777777" w:rsidR="003177E0" w:rsidRDefault="003177E0" w:rsidP="003177E0">
      <w:pPr>
        <w:spacing w:after="120" w:line="240" w:lineRule="auto"/>
        <w:jc w:val="both"/>
        <w:rPr>
          <w:rFonts w:ascii="Times New Roman" w:eastAsia="Times New Roman" w:hAnsi="Times New Roman"/>
          <w:szCs w:val="24"/>
          <w:lang w:val="x-none" w:eastAsia="x-none"/>
        </w:rPr>
      </w:pPr>
    </w:p>
    <w:p w14:paraId="586A2FA8" w14:textId="77777777" w:rsidR="003177E0" w:rsidRPr="0084243B" w:rsidRDefault="003177E0" w:rsidP="003177E0">
      <w:pPr>
        <w:numPr>
          <w:ilvl w:val="0"/>
          <w:numId w:val="41"/>
        </w:numPr>
        <w:spacing w:after="120" w:line="240" w:lineRule="auto"/>
        <w:ind w:left="-142"/>
        <w:rPr>
          <w:rFonts w:ascii="Times New Roman" w:eastAsia="Times New Roman" w:hAnsi="Times New Roman"/>
          <w:b/>
          <w:szCs w:val="24"/>
          <w:lang w:eastAsia="x-none"/>
        </w:rPr>
      </w:pPr>
      <w:r w:rsidRPr="0084243B">
        <w:rPr>
          <w:rFonts w:ascii="Times New Roman" w:eastAsia="Times New Roman" w:hAnsi="Times New Roman"/>
          <w:b/>
          <w:szCs w:val="24"/>
          <w:lang w:eastAsia="x-none"/>
        </w:rPr>
        <w:lastRenderedPageBreak/>
        <w:t>Production Approach</w:t>
      </w:r>
    </w:p>
    <w:tbl>
      <w:tblPr>
        <w:tblW w:w="10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50"/>
        <w:gridCol w:w="2693"/>
        <w:gridCol w:w="3263"/>
        <w:gridCol w:w="3107"/>
        <w:gridCol w:w="6"/>
      </w:tblGrid>
      <w:tr w:rsidR="003177E0" w:rsidRPr="004253B5" w14:paraId="17386ABB" w14:textId="77777777" w:rsidTr="0058687D">
        <w:trPr>
          <w:cantSplit/>
          <w:trHeight w:val="287"/>
          <w:tblHeader/>
          <w:jc w:val="center"/>
        </w:trPr>
        <w:tc>
          <w:tcPr>
            <w:tcW w:w="1650" w:type="dxa"/>
            <w:tcBorders>
              <w:bottom w:val="single" w:sz="4" w:space="0" w:color="auto"/>
            </w:tcBorders>
            <w:shd w:val="clear" w:color="auto" w:fill="A6A6A6"/>
            <w:vAlign w:val="center"/>
          </w:tcPr>
          <w:p w14:paraId="7CB32867"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Industry Group</w:t>
            </w:r>
          </w:p>
        </w:tc>
        <w:tc>
          <w:tcPr>
            <w:tcW w:w="2693" w:type="dxa"/>
            <w:tcBorders>
              <w:bottom w:val="single" w:sz="4" w:space="0" w:color="auto"/>
            </w:tcBorders>
            <w:shd w:val="clear" w:color="auto" w:fill="A6A6A6"/>
            <w:vAlign w:val="center"/>
          </w:tcPr>
          <w:p w14:paraId="0021F899"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Data Sources</w:t>
            </w:r>
          </w:p>
        </w:tc>
        <w:tc>
          <w:tcPr>
            <w:tcW w:w="3263" w:type="dxa"/>
            <w:tcBorders>
              <w:bottom w:val="single" w:sz="4" w:space="0" w:color="auto"/>
            </w:tcBorders>
            <w:shd w:val="clear" w:color="auto" w:fill="A6A6A6"/>
            <w:vAlign w:val="center"/>
          </w:tcPr>
          <w:p w14:paraId="324ABEC1"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Methods</w:t>
            </w:r>
          </w:p>
        </w:tc>
        <w:tc>
          <w:tcPr>
            <w:tcW w:w="3113" w:type="dxa"/>
            <w:gridSpan w:val="2"/>
            <w:tcBorders>
              <w:bottom w:val="single" w:sz="4" w:space="0" w:color="auto"/>
            </w:tcBorders>
            <w:shd w:val="clear" w:color="auto" w:fill="A6A6A6"/>
          </w:tcPr>
          <w:p w14:paraId="7884BC4A" w14:textId="77777777" w:rsidR="003177E0" w:rsidRPr="004253B5" w:rsidRDefault="003177E0" w:rsidP="0058687D">
            <w:pPr>
              <w:spacing w:after="0" w:line="240" w:lineRule="auto"/>
              <w:jc w:val="center"/>
              <w:rPr>
                <w:rFonts w:ascii="Times New Roman" w:eastAsia="Times New Roman" w:hAnsi="Times New Roman"/>
                <w:b/>
                <w:szCs w:val="24"/>
                <w:lang w:val="en-US"/>
              </w:rPr>
            </w:pPr>
            <w:r>
              <w:rPr>
                <w:rFonts w:ascii="Times New Roman" w:eastAsia="Times New Roman" w:hAnsi="Times New Roman"/>
                <w:b/>
                <w:szCs w:val="24"/>
                <w:lang w:val="en-US"/>
              </w:rPr>
              <w:t>Indicator – Constant Price Estimates</w:t>
            </w:r>
          </w:p>
        </w:tc>
      </w:tr>
      <w:tr w:rsidR="003177E0" w:rsidRPr="004253B5" w14:paraId="7DBCA7DD" w14:textId="77777777" w:rsidTr="0058687D">
        <w:trPr>
          <w:cantSplit/>
          <w:trHeight w:val="70"/>
          <w:jc w:val="center"/>
        </w:trPr>
        <w:tc>
          <w:tcPr>
            <w:tcW w:w="10719" w:type="dxa"/>
            <w:gridSpan w:val="5"/>
            <w:shd w:val="clear" w:color="auto" w:fill="D9D9D9"/>
          </w:tcPr>
          <w:p w14:paraId="6A63478C" w14:textId="77777777" w:rsidR="003177E0" w:rsidRPr="004253B5" w:rsidRDefault="003177E0" w:rsidP="0058687D">
            <w:pPr>
              <w:spacing w:after="0" w:line="240" w:lineRule="auto"/>
              <w:contextualSpacing/>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A. Agriculture, </w:t>
            </w:r>
            <w:r>
              <w:rPr>
                <w:rFonts w:ascii="Times New Roman" w:eastAsia="Times New Roman" w:hAnsi="Times New Roman"/>
                <w:b/>
                <w:szCs w:val="24"/>
                <w:lang w:val="en-US"/>
              </w:rPr>
              <w:t>f</w:t>
            </w:r>
            <w:r w:rsidRPr="004253B5">
              <w:rPr>
                <w:rFonts w:ascii="Times New Roman" w:eastAsia="Times New Roman" w:hAnsi="Times New Roman"/>
                <w:b/>
                <w:szCs w:val="24"/>
                <w:lang w:val="en-US"/>
              </w:rPr>
              <w:t xml:space="preserve">orestry and </w:t>
            </w:r>
            <w:r>
              <w:rPr>
                <w:rFonts w:ascii="Times New Roman" w:eastAsia="Times New Roman" w:hAnsi="Times New Roman"/>
                <w:b/>
                <w:szCs w:val="24"/>
                <w:lang w:val="en-US"/>
              </w:rPr>
              <w:t>f</w:t>
            </w:r>
            <w:r w:rsidRPr="004253B5">
              <w:rPr>
                <w:rFonts w:ascii="Times New Roman" w:eastAsia="Times New Roman" w:hAnsi="Times New Roman"/>
                <w:b/>
                <w:szCs w:val="24"/>
                <w:lang w:val="en-US"/>
              </w:rPr>
              <w:t>ishing</w:t>
            </w:r>
          </w:p>
        </w:tc>
      </w:tr>
      <w:tr w:rsidR="003177E0" w:rsidRPr="004253B5" w14:paraId="1FA153D3" w14:textId="77777777" w:rsidTr="0058687D">
        <w:trPr>
          <w:cantSplit/>
          <w:trHeight w:val="3050"/>
          <w:jc w:val="center"/>
        </w:trPr>
        <w:tc>
          <w:tcPr>
            <w:tcW w:w="1650" w:type="dxa"/>
          </w:tcPr>
          <w:p w14:paraId="4980B99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Cane</w:t>
            </w:r>
          </w:p>
        </w:tc>
        <w:tc>
          <w:tcPr>
            <w:tcW w:w="2693" w:type="dxa"/>
          </w:tcPr>
          <w:p w14:paraId="6A5D2D9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13AA3812"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Survey of sugar factories for the quarterly cost structure.</w:t>
            </w:r>
          </w:p>
          <w:p w14:paraId="0435D1F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Pr>
          <w:p w14:paraId="1FC40EBA"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estimates: Based on the final annual production accounts.</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Annual gross output and intermediate consumption are allocated to quarters according to cost structure of cane growing furnished by surveyed sugar factories. The value added is thereafter derived.</w:t>
            </w:r>
          </w:p>
          <w:p w14:paraId="3F75B8EE" w14:textId="18A72278"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Preliminary estimates: value added for the year based on expected production and price of sugar is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using the latest </w:t>
            </w:r>
            <w:r w:rsidR="00B065D1"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structure. </w:t>
            </w:r>
          </w:p>
        </w:tc>
        <w:tc>
          <w:tcPr>
            <w:tcW w:w="3113" w:type="dxa"/>
            <w:gridSpan w:val="2"/>
          </w:tcPr>
          <w:p w14:paraId="3547D41E"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Preliminary quarterly changes are based on the annual price deflator.</w:t>
            </w:r>
          </w:p>
        </w:tc>
      </w:tr>
      <w:tr w:rsidR="003177E0" w:rsidRPr="004253B5" w14:paraId="4CEC94B7" w14:textId="77777777" w:rsidTr="0058687D">
        <w:trPr>
          <w:cantSplit/>
          <w:trHeight w:val="1824"/>
          <w:jc w:val="center"/>
        </w:trPr>
        <w:tc>
          <w:tcPr>
            <w:tcW w:w="1650" w:type="dxa"/>
          </w:tcPr>
          <w:p w14:paraId="0B197FB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Tea</w:t>
            </w:r>
          </w:p>
          <w:p w14:paraId="6C45AD4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48156B2A"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and prices of tea from Tea Board. </w:t>
            </w:r>
          </w:p>
          <w:p w14:paraId="78BCF329"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 Agricultural Cost of Production Survey (ACOPS 2005)</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c>
          <w:tcPr>
            <w:tcW w:w="3263" w:type="dxa"/>
          </w:tcPr>
          <w:p w14:paraId="03C961FC"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based on quarterly production and prices.</w:t>
            </w:r>
          </w:p>
          <w:p w14:paraId="5FC0BE36" w14:textId="77777777" w:rsidR="003177E0" w:rsidRPr="004253B5"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004E0A44" w14:textId="77777777" w:rsidR="003177E0" w:rsidRPr="0084243B" w:rsidRDefault="003177E0" w:rsidP="0058687D">
            <w:pPr>
              <w:numPr>
                <w:ilvl w:val="0"/>
                <w:numId w:val="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intermediate consumption (IC).</w:t>
            </w:r>
          </w:p>
        </w:tc>
      </w:tr>
      <w:tr w:rsidR="003177E0" w:rsidRPr="004253B5" w14:paraId="4FBF5EB6" w14:textId="77777777" w:rsidTr="0058687D">
        <w:trPr>
          <w:cantSplit/>
          <w:trHeight w:val="2544"/>
          <w:jc w:val="center"/>
        </w:trPr>
        <w:tc>
          <w:tcPr>
            <w:tcW w:w="1650" w:type="dxa"/>
          </w:tcPr>
          <w:p w14:paraId="2B120B4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Food crops</w:t>
            </w:r>
          </w:p>
        </w:tc>
        <w:tc>
          <w:tcPr>
            <w:tcW w:w="2693" w:type="dxa"/>
          </w:tcPr>
          <w:p w14:paraId="6E482A2A"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Monthly quantities of food crops from </w:t>
            </w:r>
            <w:r>
              <w:rPr>
                <w:rFonts w:ascii="Times New Roman" w:eastAsia="Times New Roman" w:hAnsi="Times New Roman"/>
                <w:szCs w:val="24"/>
                <w:lang w:val="en-US"/>
              </w:rPr>
              <w:t>Food and Agricultural Research and Extension Institute (FAREI)</w:t>
            </w:r>
            <w:r w:rsidRPr="004253B5">
              <w:rPr>
                <w:rFonts w:ascii="Times New Roman" w:eastAsia="Times New Roman" w:hAnsi="Times New Roman"/>
                <w:szCs w:val="24"/>
                <w:lang w:val="en-US"/>
              </w:rPr>
              <w:t>.</w:t>
            </w:r>
          </w:p>
          <w:p w14:paraId="61867901"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 through the monthly consumer price surveys.</w:t>
            </w:r>
          </w:p>
          <w:p w14:paraId="7EDCFCFE"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7EE2901C"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Output is based on quarterly quantities of food crops produced and producers’ price obtained from retail prices adjusted for transport and trade margins.</w:t>
            </w:r>
          </w:p>
          <w:p w14:paraId="54BF7B7B" w14:textId="77777777" w:rsidR="003177E0" w:rsidRPr="004253B5"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50F0FA85" w14:textId="77777777" w:rsidR="003177E0" w:rsidRPr="0084243B" w:rsidRDefault="003177E0" w:rsidP="0058687D">
            <w:pPr>
              <w:numPr>
                <w:ilvl w:val="0"/>
                <w:numId w:val="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Double deflation using relevant component of</w:t>
            </w:r>
            <w:r>
              <w:rPr>
                <w:rFonts w:ascii="Times New Roman" w:eastAsia="Times New Roman" w:hAnsi="Times New Roman"/>
                <w:szCs w:val="24"/>
                <w:lang w:val="en-US"/>
              </w:rPr>
              <w:t xml:space="preserve"> </w:t>
            </w:r>
            <w:r w:rsidRPr="0084243B">
              <w:rPr>
                <w:rFonts w:ascii="Times New Roman" w:eastAsia="Times New Roman" w:hAnsi="Times New Roman"/>
                <w:szCs w:val="24"/>
                <w:lang w:val="en-US"/>
              </w:rPr>
              <w:t>PPI-A for output and a weighted price index based on retail prices of relevant inputs for IC.</w:t>
            </w:r>
          </w:p>
          <w:p w14:paraId="47C79C2E"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84243B">
              <w:rPr>
                <w:rFonts w:ascii="Times New Roman" w:eastAsia="Times New Roman" w:hAnsi="Times New Roman"/>
                <w:szCs w:val="24"/>
                <w:lang w:val="en-US"/>
              </w:rPr>
              <w:t xml:space="preserve"> </w:t>
            </w:r>
          </w:p>
        </w:tc>
      </w:tr>
      <w:tr w:rsidR="003177E0" w:rsidRPr="004253B5" w14:paraId="2E1C21DB" w14:textId="77777777" w:rsidTr="0058687D">
        <w:trPr>
          <w:cantSplit/>
          <w:trHeight w:val="2099"/>
          <w:jc w:val="center"/>
        </w:trPr>
        <w:tc>
          <w:tcPr>
            <w:tcW w:w="1650" w:type="dxa"/>
          </w:tcPr>
          <w:p w14:paraId="7BA1495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Flowers</w:t>
            </w:r>
          </w:p>
        </w:tc>
        <w:tc>
          <w:tcPr>
            <w:tcW w:w="2693" w:type="dxa"/>
          </w:tcPr>
          <w:p w14:paraId="7586F3DA"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exports of flowers from Trade Statistics. An estimate is worked out for locally sold flowers, based on number of weddings, deaths, religious ceremonies, etc.</w:t>
            </w:r>
          </w:p>
        </w:tc>
        <w:tc>
          <w:tcPr>
            <w:tcW w:w="3263" w:type="dxa"/>
          </w:tcPr>
          <w:p w14:paraId="5545F86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Output is based on quarterly quantities produced and on producers’ price obtained from retail prices adjusted for transport and trade margins </w:t>
            </w:r>
          </w:p>
          <w:p w14:paraId="7856FA74"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ACOPS 2005</w:t>
            </w:r>
          </w:p>
        </w:tc>
        <w:tc>
          <w:tcPr>
            <w:tcW w:w="3113" w:type="dxa"/>
            <w:gridSpan w:val="2"/>
          </w:tcPr>
          <w:p w14:paraId="3BD32416" w14:textId="77777777" w:rsidR="003177E0" w:rsidRPr="0084243B"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relevant component of </w:t>
            </w:r>
            <w:r w:rsidRPr="0084243B">
              <w:rPr>
                <w:rFonts w:ascii="Times New Roman" w:eastAsia="Times New Roman" w:hAnsi="Times New Roman"/>
                <w:szCs w:val="24"/>
                <w:lang w:val="en-US"/>
              </w:rPr>
              <w:t>PPI-A for output and a weighted price index based on retail prices of relevant inputs for IC.</w:t>
            </w:r>
          </w:p>
        </w:tc>
      </w:tr>
      <w:tr w:rsidR="003177E0" w:rsidRPr="004253B5" w14:paraId="0D116FDC" w14:textId="77777777" w:rsidTr="0058687D">
        <w:trPr>
          <w:cantSplit/>
          <w:trHeight w:val="2184"/>
          <w:jc w:val="center"/>
        </w:trPr>
        <w:tc>
          <w:tcPr>
            <w:tcW w:w="1650" w:type="dxa"/>
          </w:tcPr>
          <w:p w14:paraId="084B9B7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Fruits</w:t>
            </w:r>
          </w:p>
        </w:tc>
        <w:tc>
          <w:tcPr>
            <w:tcW w:w="2693" w:type="dxa"/>
          </w:tcPr>
          <w:p w14:paraId="5796D919"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Monthly production of some fruits from FAREI.</w:t>
            </w:r>
          </w:p>
          <w:p w14:paraId="511383E0"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Quarterly production of other fruits based on </w:t>
            </w:r>
            <w:r>
              <w:rPr>
                <w:rFonts w:ascii="Times New Roman" w:eastAsia="Times New Roman" w:hAnsi="Times New Roman"/>
                <w:szCs w:val="24"/>
                <w:lang w:val="en-US"/>
              </w:rPr>
              <w:t xml:space="preserve">2014 </w:t>
            </w:r>
            <w:r w:rsidRPr="004253B5">
              <w:rPr>
                <w:rFonts w:ascii="Times New Roman" w:eastAsia="Times New Roman" w:hAnsi="Times New Roman"/>
                <w:szCs w:val="24"/>
                <w:lang w:val="en-US"/>
              </w:rPr>
              <w:t>C</w:t>
            </w:r>
            <w:r>
              <w:rPr>
                <w:rFonts w:ascii="Times New Roman" w:eastAsia="Times New Roman" w:hAnsi="Times New Roman"/>
                <w:szCs w:val="24"/>
                <w:lang w:val="en-US"/>
              </w:rPr>
              <w:t>ensus of Agriculture</w:t>
            </w:r>
            <w:r w:rsidRPr="004253B5">
              <w:rPr>
                <w:rFonts w:ascii="Times New Roman" w:eastAsia="Times New Roman" w:hAnsi="Times New Roman"/>
                <w:szCs w:val="24"/>
                <w:lang w:val="en-US"/>
              </w:rPr>
              <w:t>, supplemented with data from other sources.</w:t>
            </w:r>
          </w:p>
          <w:p w14:paraId="74B70283" w14:textId="77777777" w:rsidR="003177E0" w:rsidRPr="004253B5" w:rsidRDefault="003177E0" w:rsidP="0058687D">
            <w:pPr>
              <w:numPr>
                <w:ilvl w:val="0"/>
                <w:numId w:val="9"/>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Benchmark ratios from</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ACOPS 2005</w:t>
            </w:r>
            <w:r>
              <w:rPr>
                <w:rFonts w:ascii="Times New Roman" w:eastAsia="Times New Roman" w:hAnsi="Times New Roman"/>
                <w:szCs w:val="24"/>
                <w:lang w:val="en-US"/>
              </w:rPr>
              <w:t>.</w:t>
            </w:r>
          </w:p>
        </w:tc>
        <w:tc>
          <w:tcPr>
            <w:tcW w:w="3263" w:type="dxa"/>
          </w:tcPr>
          <w:p w14:paraId="2BE84923"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based on quarterly quantities produced and on producers’ price obtained from retail prices adjusted for transport and trade margins.</w:t>
            </w:r>
          </w:p>
          <w:p w14:paraId="094A8CC6"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Pr>
          <w:p w14:paraId="0C073F3B" w14:textId="77777777" w:rsidR="003177E0" w:rsidRPr="004253B5" w:rsidRDefault="003177E0" w:rsidP="0058687D">
            <w:pPr>
              <w:numPr>
                <w:ilvl w:val="0"/>
                <w:numId w:val="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component of PPI-A</w:t>
            </w:r>
            <w:r>
              <w:rPr>
                <w:rFonts w:ascii="Times New Roman" w:eastAsia="Times New Roman" w:hAnsi="Times New Roman"/>
                <w:szCs w:val="24"/>
                <w:lang w:val="en-US"/>
              </w:rPr>
              <w:t>.</w:t>
            </w:r>
          </w:p>
        </w:tc>
      </w:tr>
      <w:tr w:rsidR="003177E0" w:rsidRPr="004253B5" w14:paraId="0994159D" w14:textId="77777777" w:rsidTr="0058687D">
        <w:trPr>
          <w:cantSplit/>
          <w:trHeight w:val="2438"/>
          <w:jc w:val="center"/>
        </w:trPr>
        <w:tc>
          <w:tcPr>
            <w:tcW w:w="1650" w:type="dxa"/>
          </w:tcPr>
          <w:p w14:paraId="70FD11F4"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Livestock, Poultry and Related Products</w:t>
            </w:r>
          </w:p>
        </w:tc>
        <w:tc>
          <w:tcPr>
            <w:tcW w:w="2693" w:type="dxa"/>
          </w:tcPr>
          <w:p w14:paraId="37A69EF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of poultry from survey among main breeders.</w:t>
            </w:r>
          </w:p>
          <w:p w14:paraId="0E2D8E8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quantity of livestock slaughtered from the Mauritius Meat Authority (MMA) adjusted for illegal slaughtering.</w:t>
            </w:r>
          </w:p>
          <w:p w14:paraId="04C0886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Retail prices.</w:t>
            </w:r>
          </w:p>
        </w:tc>
        <w:tc>
          <w:tcPr>
            <w:tcW w:w="3263" w:type="dxa"/>
          </w:tcPr>
          <w:p w14:paraId="693D072B" w14:textId="77777777" w:rsidR="003177E0" w:rsidRPr="004253B5" w:rsidRDefault="003177E0" w:rsidP="0058687D">
            <w:pPr>
              <w:numPr>
                <w:ilvl w:val="0"/>
                <w:numId w:val="2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produced and on producers’ price derived from retail prices adjusted for transport and trade margins. </w:t>
            </w:r>
          </w:p>
          <w:p w14:paraId="6548E83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Pr>
          <w:p w14:paraId="39017FE4" w14:textId="77777777" w:rsidR="003177E0" w:rsidRPr="00D74CA0" w:rsidRDefault="003177E0" w:rsidP="0058687D">
            <w:pPr>
              <w:pStyle w:val="ListParagraph"/>
              <w:numPr>
                <w:ilvl w:val="0"/>
                <w:numId w:val="28"/>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Deflation using component of PPI-A. </w:t>
            </w:r>
          </w:p>
        </w:tc>
      </w:tr>
      <w:tr w:rsidR="003177E0" w:rsidRPr="004253B5" w14:paraId="3D868062" w14:textId="77777777" w:rsidTr="0058687D">
        <w:trPr>
          <w:cantSplit/>
          <w:trHeight w:val="3386"/>
          <w:jc w:val="center"/>
        </w:trPr>
        <w:tc>
          <w:tcPr>
            <w:tcW w:w="1650" w:type="dxa"/>
            <w:tcBorders>
              <w:bottom w:val="single" w:sz="4" w:space="0" w:color="auto"/>
            </w:tcBorders>
          </w:tcPr>
          <w:p w14:paraId="110DDBF7" w14:textId="77777777" w:rsidR="003177E0" w:rsidRPr="004253B5" w:rsidRDefault="003177E0" w:rsidP="0058687D">
            <w:pPr>
              <w:spacing w:after="0" w:line="240" w:lineRule="auto"/>
              <w:ind w:right="-188"/>
              <w:jc w:val="both"/>
              <w:rPr>
                <w:rFonts w:ascii="Times New Roman" w:eastAsia="Times New Roman" w:hAnsi="Times New Roman"/>
                <w:szCs w:val="24"/>
                <w:lang w:val="en-US"/>
              </w:rPr>
            </w:pPr>
            <w:r w:rsidRPr="004253B5">
              <w:rPr>
                <w:rFonts w:ascii="Times New Roman" w:eastAsia="Times New Roman" w:hAnsi="Times New Roman"/>
                <w:szCs w:val="24"/>
                <w:lang w:val="en-US"/>
              </w:rPr>
              <w:t>Government Services</w:t>
            </w:r>
          </w:p>
        </w:tc>
        <w:tc>
          <w:tcPr>
            <w:tcW w:w="2693" w:type="dxa"/>
            <w:tcBorders>
              <w:bottom w:val="single" w:sz="4" w:space="0" w:color="auto"/>
            </w:tcBorders>
          </w:tcPr>
          <w:p w14:paraId="5BBC417C"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of Budgetary Central Government from the Accountant General Department.</w:t>
            </w:r>
          </w:p>
          <w:p w14:paraId="60291912" w14:textId="77777777"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Rodrigues from Rodrigues Regional Assembly (RRA).</w:t>
            </w:r>
          </w:p>
          <w:p w14:paraId="23B3BE61" w14:textId="6B005ACE" w:rsidR="003177E0" w:rsidRPr="00D278A6"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D278A6">
              <w:rPr>
                <w:rFonts w:ascii="Times New Roman" w:eastAsia="Times New Roman" w:hAnsi="Times New Roman"/>
                <w:szCs w:val="24"/>
                <w:lang w:val="en-US"/>
              </w:rPr>
              <w:t>Expenditure for Extra Budgetary Units (EBUs) and Local Government is estimated</w:t>
            </w:r>
            <w:r w:rsidR="00D278A6" w:rsidRPr="00D278A6">
              <w:rPr>
                <w:rFonts w:ascii="Times New Roman" w:eastAsia="Times New Roman" w:hAnsi="Times New Roman"/>
                <w:szCs w:val="24"/>
                <w:lang w:val="en-US"/>
              </w:rPr>
              <w:t xml:space="preserve"> based on Government Finance Statistics (GFS) figures obtained from final accounts.</w:t>
            </w:r>
          </w:p>
        </w:tc>
        <w:tc>
          <w:tcPr>
            <w:tcW w:w="3263" w:type="dxa"/>
            <w:tcBorders>
              <w:bottom w:val="single" w:sz="4" w:space="0" w:color="auto"/>
            </w:tcBorders>
          </w:tcPr>
          <w:p w14:paraId="419B45DC"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estimated at cost, that is, it is equal to compensation of employees and consumption of fixed capital.</w:t>
            </w:r>
          </w:p>
          <w:p w14:paraId="7CD3F2B8"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6A1368F7"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05AEA9C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8B39C79"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Vehicle Price Index (for vehicles) and a combination of PPI and </w:t>
            </w:r>
            <w:r>
              <w:rPr>
                <w:rFonts w:ascii="Times New Roman" w:eastAsia="Times New Roman" w:hAnsi="Times New Roman"/>
                <w:szCs w:val="24"/>
                <w:lang w:val="en-US"/>
              </w:rPr>
              <w:t>Import Price Index (</w:t>
            </w:r>
            <w:r w:rsidRPr="004253B5">
              <w:rPr>
                <w:rFonts w:ascii="Times New Roman" w:eastAsia="Times New Roman" w:hAnsi="Times New Roman"/>
                <w:szCs w:val="24"/>
                <w:lang w:val="en-US"/>
              </w:rPr>
              <w:t>IPI</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(for machinery and equipment excluding vehicles).</w:t>
            </w:r>
          </w:p>
        </w:tc>
      </w:tr>
      <w:tr w:rsidR="003177E0" w:rsidRPr="004253B5" w14:paraId="71F4AA20" w14:textId="77777777" w:rsidTr="0058687D">
        <w:trPr>
          <w:cantSplit/>
          <w:trHeight w:val="1373"/>
          <w:jc w:val="center"/>
        </w:trPr>
        <w:tc>
          <w:tcPr>
            <w:tcW w:w="1650" w:type="dxa"/>
            <w:tcBorders>
              <w:bottom w:val="single" w:sz="4" w:space="0" w:color="auto"/>
            </w:tcBorders>
          </w:tcPr>
          <w:p w14:paraId="6BF812C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Fishing</w:t>
            </w:r>
          </w:p>
        </w:tc>
        <w:tc>
          <w:tcPr>
            <w:tcW w:w="2693" w:type="dxa"/>
            <w:tcBorders>
              <w:bottom w:val="single" w:sz="4" w:space="0" w:color="auto"/>
            </w:tcBorders>
          </w:tcPr>
          <w:p w14:paraId="26F6558F" w14:textId="77777777" w:rsidR="003177E0" w:rsidRPr="004253B5"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fish caught from the Albion Fisheries Research Centre (AFRC)</w:t>
            </w:r>
          </w:p>
          <w:p w14:paraId="533D180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Retail prices.</w:t>
            </w:r>
          </w:p>
        </w:tc>
        <w:tc>
          <w:tcPr>
            <w:tcW w:w="3263" w:type="dxa"/>
            <w:tcBorders>
              <w:bottom w:val="single" w:sz="4" w:space="0" w:color="auto"/>
            </w:tcBorders>
          </w:tcPr>
          <w:p w14:paraId="69CEBC05" w14:textId="77777777" w:rsidR="003177E0" w:rsidRPr="0084243B" w:rsidRDefault="003177E0" w:rsidP="0058687D">
            <w:pPr>
              <w:numPr>
                <w:ilvl w:val="0"/>
                <w:numId w:val="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based on quarterly quantities of fish caught and producers’ price derived from retail prices adjusted for trade margins. </w:t>
            </w:r>
          </w:p>
        </w:tc>
        <w:tc>
          <w:tcPr>
            <w:tcW w:w="3113" w:type="dxa"/>
            <w:gridSpan w:val="2"/>
            <w:tcBorders>
              <w:bottom w:val="single" w:sz="4" w:space="0" w:color="auto"/>
            </w:tcBorders>
          </w:tcPr>
          <w:p w14:paraId="3B100DF8" w14:textId="77777777" w:rsidR="003177E0" w:rsidRPr="0084243B"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quarterly changes in the estimated producers’ price based on retail prices. </w:t>
            </w:r>
          </w:p>
        </w:tc>
      </w:tr>
      <w:tr w:rsidR="003177E0" w:rsidRPr="004253B5" w14:paraId="00C0850D" w14:textId="77777777" w:rsidTr="0058687D">
        <w:trPr>
          <w:cantSplit/>
          <w:trHeight w:val="70"/>
          <w:jc w:val="center"/>
        </w:trPr>
        <w:tc>
          <w:tcPr>
            <w:tcW w:w="10719" w:type="dxa"/>
            <w:gridSpan w:val="5"/>
            <w:tcBorders>
              <w:top w:val="single" w:sz="4" w:space="0" w:color="auto"/>
            </w:tcBorders>
            <w:shd w:val="clear" w:color="auto" w:fill="D9D9D9"/>
            <w:vAlign w:val="center"/>
          </w:tcPr>
          <w:p w14:paraId="522F6EF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B. Mining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q</w:t>
            </w:r>
            <w:r w:rsidRPr="004253B5">
              <w:rPr>
                <w:rFonts w:ascii="Times New Roman" w:eastAsia="Times New Roman" w:hAnsi="Times New Roman"/>
                <w:b/>
                <w:szCs w:val="24"/>
                <w:lang w:val="en-US"/>
              </w:rPr>
              <w:t>uarrying</w:t>
            </w:r>
          </w:p>
        </w:tc>
      </w:tr>
      <w:tr w:rsidR="003177E0" w:rsidRPr="004253B5" w14:paraId="5142152A" w14:textId="77777777" w:rsidTr="0058687D">
        <w:trPr>
          <w:cantSplit/>
          <w:trHeight w:val="1223"/>
          <w:jc w:val="center"/>
        </w:trPr>
        <w:tc>
          <w:tcPr>
            <w:tcW w:w="1650" w:type="dxa"/>
            <w:vMerge w:val="restart"/>
          </w:tcPr>
          <w:p w14:paraId="74BCE13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Mining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Quarrying</w:t>
            </w:r>
          </w:p>
          <w:p w14:paraId="0D19F71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292491"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quantities of salt produced and sand extracted, and their prices through surveys of establishments.</w:t>
            </w:r>
          </w:p>
        </w:tc>
        <w:tc>
          <w:tcPr>
            <w:tcW w:w="3263" w:type="dxa"/>
          </w:tcPr>
          <w:p w14:paraId="1D6CA825"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data collected from quarterly surveys</w:t>
            </w:r>
          </w:p>
          <w:p w14:paraId="6C7B4245" w14:textId="77777777" w:rsidR="003177E0" w:rsidRPr="004253B5" w:rsidRDefault="003177E0" w:rsidP="0058687D">
            <w:pPr>
              <w:spacing w:after="0" w:line="240" w:lineRule="auto"/>
              <w:jc w:val="both"/>
              <w:rPr>
                <w:rFonts w:ascii="Times New Roman" w:eastAsia="Times New Roman" w:hAnsi="Times New Roman"/>
                <w:b/>
                <w:szCs w:val="24"/>
                <w:lang w:val="en-US"/>
              </w:rPr>
            </w:pPr>
          </w:p>
        </w:tc>
        <w:tc>
          <w:tcPr>
            <w:tcW w:w="3113" w:type="dxa"/>
            <w:gridSpan w:val="2"/>
          </w:tcPr>
          <w:p w14:paraId="4FAA3F0F"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using appropriate component of CPI.</w:t>
            </w:r>
          </w:p>
        </w:tc>
      </w:tr>
      <w:tr w:rsidR="003177E0" w:rsidRPr="004253B5" w14:paraId="23EA0C58" w14:textId="77777777" w:rsidTr="0058687D">
        <w:trPr>
          <w:cantSplit/>
          <w:trHeight w:val="740"/>
          <w:jc w:val="center"/>
        </w:trPr>
        <w:tc>
          <w:tcPr>
            <w:tcW w:w="1650" w:type="dxa"/>
            <w:vMerge/>
            <w:tcBorders>
              <w:bottom w:val="single" w:sz="4" w:space="0" w:color="auto"/>
            </w:tcBorders>
          </w:tcPr>
          <w:p w14:paraId="6F32C99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2C332CA6" w14:textId="77777777" w:rsidR="006C6D43" w:rsidRDefault="003177E0" w:rsidP="006C6D43">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Value Added Tax (VAT) </w:t>
            </w:r>
            <w:r w:rsidRPr="004253B5">
              <w:rPr>
                <w:rFonts w:ascii="Times New Roman" w:eastAsia="Times New Roman" w:hAnsi="Times New Roman"/>
                <w:szCs w:val="24"/>
                <w:lang w:val="en-US"/>
              </w:rPr>
              <w:t>data from the Mauritius Revenue Authority (MRA).</w:t>
            </w:r>
          </w:p>
          <w:p w14:paraId="5E0CFD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3BB90C2F" w14:textId="77777777" w:rsidR="00A40AFA" w:rsidRDefault="00A40AFA" w:rsidP="00A40AFA">
            <w:pPr>
              <w:spacing w:after="0" w:line="240" w:lineRule="auto"/>
              <w:ind w:right="28"/>
              <w:jc w:val="both"/>
              <w:rPr>
                <w:rFonts w:ascii="Times New Roman" w:eastAsia="Times New Roman" w:hAnsi="Times New Roman"/>
                <w:szCs w:val="24"/>
                <w:lang w:val="en-US"/>
              </w:rPr>
            </w:pPr>
          </w:p>
          <w:p w14:paraId="5C39F93D" w14:textId="77777777" w:rsidR="00A40AFA" w:rsidRDefault="00A40AFA" w:rsidP="00A40AFA">
            <w:pPr>
              <w:spacing w:after="0" w:line="240" w:lineRule="auto"/>
              <w:ind w:right="28"/>
              <w:jc w:val="both"/>
              <w:rPr>
                <w:rFonts w:ascii="Times New Roman" w:eastAsia="Times New Roman" w:hAnsi="Times New Roman"/>
                <w:szCs w:val="24"/>
                <w:lang w:val="en-US"/>
              </w:rPr>
            </w:pPr>
          </w:p>
          <w:p w14:paraId="33EF2EF9" w14:textId="77777777" w:rsidR="00A40AFA" w:rsidRDefault="00A40AFA" w:rsidP="00A40AFA">
            <w:pPr>
              <w:spacing w:after="0" w:line="240" w:lineRule="auto"/>
              <w:ind w:right="28"/>
              <w:jc w:val="both"/>
              <w:rPr>
                <w:rFonts w:ascii="Times New Roman" w:eastAsia="Times New Roman" w:hAnsi="Times New Roman"/>
                <w:szCs w:val="24"/>
                <w:lang w:val="en-US"/>
              </w:rPr>
            </w:pPr>
          </w:p>
          <w:p w14:paraId="1BE9F9CF" w14:textId="77777777" w:rsidR="00A40AFA" w:rsidRDefault="00A40AFA" w:rsidP="00A40AFA">
            <w:pPr>
              <w:spacing w:after="0" w:line="240" w:lineRule="auto"/>
              <w:ind w:right="28"/>
              <w:jc w:val="both"/>
              <w:rPr>
                <w:rFonts w:ascii="Times New Roman" w:eastAsia="Times New Roman" w:hAnsi="Times New Roman"/>
                <w:szCs w:val="24"/>
                <w:lang w:val="en-US"/>
              </w:rPr>
            </w:pPr>
          </w:p>
          <w:p w14:paraId="6A31E5DB" w14:textId="77777777" w:rsidR="00A40AFA" w:rsidRDefault="00A40AFA" w:rsidP="00A40AFA">
            <w:pPr>
              <w:spacing w:after="0" w:line="240" w:lineRule="auto"/>
              <w:ind w:right="28"/>
              <w:jc w:val="both"/>
              <w:rPr>
                <w:rFonts w:ascii="Times New Roman" w:eastAsia="Times New Roman" w:hAnsi="Times New Roman"/>
                <w:szCs w:val="24"/>
                <w:lang w:val="en-US"/>
              </w:rPr>
            </w:pPr>
          </w:p>
          <w:p w14:paraId="58975595" w14:textId="77777777" w:rsidR="00A40AFA" w:rsidRDefault="00A40AFA" w:rsidP="00A40AFA">
            <w:pPr>
              <w:spacing w:after="0" w:line="240" w:lineRule="auto"/>
              <w:ind w:right="28"/>
              <w:jc w:val="both"/>
              <w:rPr>
                <w:rFonts w:ascii="Times New Roman" w:eastAsia="Times New Roman" w:hAnsi="Times New Roman"/>
                <w:szCs w:val="24"/>
                <w:lang w:val="en-US"/>
              </w:rPr>
            </w:pPr>
          </w:p>
          <w:p w14:paraId="643146A4" w14:textId="77777777" w:rsidR="00A40AFA" w:rsidRDefault="00A40AFA" w:rsidP="00A40AFA">
            <w:pPr>
              <w:spacing w:after="0" w:line="240" w:lineRule="auto"/>
              <w:ind w:right="28"/>
              <w:jc w:val="both"/>
              <w:rPr>
                <w:rFonts w:ascii="Times New Roman" w:eastAsia="Times New Roman" w:hAnsi="Times New Roman"/>
                <w:szCs w:val="24"/>
                <w:lang w:val="en-US"/>
              </w:rPr>
            </w:pPr>
          </w:p>
          <w:p w14:paraId="4F9137E2" w14:textId="77777777" w:rsidR="00A40AFA" w:rsidRDefault="00A40AFA" w:rsidP="00A40AFA">
            <w:pPr>
              <w:spacing w:after="0" w:line="240" w:lineRule="auto"/>
              <w:ind w:right="28"/>
              <w:jc w:val="both"/>
              <w:rPr>
                <w:rFonts w:ascii="Times New Roman" w:eastAsia="Times New Roman" w:hAnsi="Times New Roman"/>
                <w:szCs w:val="24"/>
                <w:lang w:val="en-US"/>
              </w:rPr>
            </w:pPr>
          </w:p>
          <w:p w14:paraId="20716A8E" w14:textId="77777777" w:rsidR="00A40AFA" w:rsidRDefault="00A40AFA" w:rsidP="00A40AFA">
            <w:pPr>
              <w:spacing w:after="0" w:line="240" w:lineRule="auto"/>
              <w:ind w:right="28"/>
              <w:jc w:val="both"/>
              <w:rPr>
                <w:rFonts w:ascii="Times New Roman" w:eastAsia="Times New Roman" w:hAnsi="Times New Roman"/>
                <w:szCs w:val="24"/>
                <w:lang w:val="en-US"/>
              </w:rPr>
            </w:pPr>
          </w:p>
          <w:p w14:paraId="4E2B0723" w14:textId="77777777" w:rsidR="00A40AFA" w:rsidRDefault="00A40AFA" w:rsidP="00A40AFA">
            <w:pPr>
              <w:spacing w:after="0" w:line="240" w:lineRule="auto"/>
              <w:ind w:right="28"/>
              <w:jc w:val="both"/>
              <w:rPr>
                <w:rFonts w:ascii="Times New Roman" w:eastAsia="Times New Roman" w:hAnsi="Times New Roman"/>
                <w:szCs w:val="24"/>
                <w:lang w:val="en-US"/>
              </w:rPr>
            </w:pPr>
          </w:p>
          <w:p w14:paraId="7CD694A7" w14:textId="77777777" w:rsidR="00A40AFA" w:rsidRDefault="00A40AFA" w:rsidP="00A40AFA">
            <w:pPr>
              <w:spacing w:after="0" w:line="240" w:lineRule="auto"/>
              <w:ind w:right="28"/>
              <w:jc w:val="both"/>
              <w:rPr>
                <w:rFonts w:ascii="Times New Roman" w:eastAsia="Times New Roman" w:hAnsi="Times New Roman"/>
                <w:szCs w:val="24"/>
                <w:lang w:val="en-US"/>
              </w:rPr>
            </w:pPr>
          </w:p>
          <w:p w14:paraId="768FB68D" w14:textId="77777777" w:rsidR="00A40AFA" w:rsidRDefault="00A40AFA" w:rsidP="00A40AFA">
            <w:pPr>
              <w:spacing w:after="0" w:line="240" w:lineRule="auto"/>
              <w:ind w:right="28"/>
              <w:jc w:val="both"/>
              <w:rPr>
                <w:rFonts w:ascii="Times New Roman" w:eastAsia="Times New Roman" w:hAnsi="Times New Roman"/>
                <w:szCs w:val="24"/>
                <w:lang w:val="en-US"/>
              </w:rPr>
            </w:pPr>
          </w:p>
          <w:p w14:paraId="0A6D98AE" w14:textId="4F11BD15" w:rsidR="00A40AFA" w:rsidRPr="00A40AFA"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bottom w:val="single" w:sz="4" w:space="0" w:color="auto"/>
            </w:tcBorders>
          </w:tcPr>
          <w:p w14:paraId="2986FC71"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113" w:type="dxa"/>
            <w:gridSpan w:val="2"/>
            <w:tcBorders>
              <w:bottom w:val="single" w:sz="4" w:space="0" w:color="auto"/>
            </w:tcBorders>
          </w:tcPr>
          <w:p w14:paraId="3A8F3B7D" w14:textId="77777777" w:rsidR="003177E0" w:rsidRPr="004253B5" w:rsidRDefault="003177E0" w:rsidP="0058687D">
            <w:pPr>
              <w:numPr>
                <w:ilvl w:val="0"/>
                <w:numId w:val="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using component of </w:t>
            </w:r>
            <w:r>
              <w:rPr>
                <w:rFonts w:ascii="Times New Roman" w:eastAsia="Times New Roman" w:hAnsi="Times New Roman"/>
                <w:szCs w:val="24"/>
                <w:lang w:val="en-US"/>
              </w:rPr>
              <w:t>Producer Price Index – Manufacturing (</w:t>
            </w:r>
            <w:r w:rsidRPr="004253B5">
              <w:rPr>
                <w:rFonts w:ascii="Times New Roman" w:eastAsia="Times New Roman" w:hAnsi="Times New Roman"/>
                <w:szCs w:val="24"/>
                <w:lang w:val="en-US"/>
              </w:rPr>
              <w:t>PPI-M</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r>
      <w:tr w:rsidR="003177E0" w:rsidRPr="004253B5" w14:paraId="3F29CF51" w14:textId="77777777" w:rsidTr="0058687D">
        <w:trPr>
          <w:trHeight w:val="80"/>
          <w:jc w:val="center"/>
        </w:trPr>
        <w:tc>
          <w:tcPr>
            <w:tcW w:w="10719" w:type="dxa"/>
            <w:gridSpan w:val="5"/>
            <w:tcBorders>
              <w:top w:val="nil"/>
            </w:tcBorders>
            <w:shd w:val="clear" w:color="auto" w:fill="D9D9D9"/>
          </w:tcPr>
          <w:p w14:paraId="64E84EF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C. Manufacturing</w:t>
            </w:r>
          </w:p>
        </w:tc>
      </w:tr>
      <w:tr w:rsidR="003177E0" w:rsidRPr="004253B5" w14:paraId="10593E9C" w14:textId="77777777" w:rsidTr="0058687D">
        <w:trPr>
          <w:cantSplit/>
          <w:trHeight w:val="3310"/>
          <w:jc w:val="center"/>
        </w:trPr>
        <w:tc>
          <w:tcPr>
            <w:tcW w:w="1650" w:type="dxa"/>
          </w:tcPr>
          <w:p w14:paraId="420326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Sugar Milling</w:t>
            </w:r>
          </w:p>
        </w:tc>
        <w:tc>
          <w:tcPr>
            <w:tcW w:w="2693" w:type="dxa"/>
          </w:tcPr>
          <w:p w14:paraId="0DF262C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and price of sugar.</w:t>
            </w:r>
          </w:p>
          <w:p w14:paraId="26C51E27"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Final annual production accounts.</w:t>
            </w:r>
          </w:p>
          <w:p w14:paraId="7322832D" w14:textId="77777777" w:rsidR="003177E0" w:rsidRPr="004253B5" w:rsidRDefault="003177E0" w:rsidP="0058687D">
            <w:pPr>
              <w:numPr>
                <w:ilvl w:val="0"/>
                <w:numId w:val="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Survey of sugar factories to have the quarterly cost structure. </w:t>
            </w:r>
          </w:p>
        </w:tc>
        <w:tc>
          <w:tcPr>
            <w:tcW w:w="3263" w:type="dxa"/>
          </w:tcPr>
          <w:p w14:paraId="0E0F3A5B" w14:textId="77777777" w:rsidR="003177E0" w:rsidRPr="004253B5" w:rsidRDefault="003177E0" w:rsidP="0058687D">
            <w:pPr>
              <w:numPr>
                <w:ilvl w:val="0"/>
                <w:numId w:val="10"/>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Final estimates: Based on the final annual production accounts; Annual gross output and intermediate consumption are allocated to quarters according to cost structure of sugar milling activities furnished by surveyed sugar factories. The value added is thereafter derived.</w:t>
            </w:r>
          </w:p>
          <w:p w14:paraId="793E62D6" w14:textId="7C2C9CB1" w:rsidR="003177E0" w:rsidRPr="0051161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Preliminary estimates: value added for the year based on expected production and price of sugar. The estimate is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using the latest value</w:t>
            </w:r>
            <w:r w:rsidR="00FA20D0">
              <w:rPr>
                <w:rFonts w:ascii="Times New Roman" w:eastAsia="Times New Roman" w:hAnsi="Times New Roman"/>
                <w:szCs w:val="24"/>
                <w:lang w:val="en-US"/>
              </w:rPr>
              <w:t>-</w:t>
            </w:r>
            <w:r w:rsidRPr="004253B5">
              <w:rPr>
                <w:rFonts w:ascii="Times New Roman" w:eastAsia="Times New Roman" w:hAnsi="Times New Roman"/>
                <w:szCs w:val="24"/>
                <w:lang w:val="en-US"/>
              </w:rPr>
              <w:t xml:space="preserve">added structure. </w:t>
            </w:r>
          </w:p>
        </w:tc>
        <w:tc>
          <w:tcPr>
            <w:tcW w:w="3113" w:type="dxa"/>
            <w:gridSpan w:val="2"/>
          </w:tcPr>
          <w:p w14:paraId="6962AB45"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Double deflation using PPI-A for output and a weighted price index based on relevant components of the CPI for inputs. </w:t>
            </w:r>
          </w:p>
          <w:p w14:paraId="095155E7" w14:textId="77777777" w:rsidR="003177E0" w:rsidRPr="004253B5" w:rsidRDefault="003177E0" w:rsidP="0058687D">
            <w:pPr>
              <w:numPr>
                <w:ilvl w:val="0"/>
                <w:numId w:val="1"/>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Preliminary quarterly changes are based on the annual price deflator</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tc>
      </w:tr>
      <w:tr w:rsidR="003177E0" w:rsidRPr="004253B5" w14:paraId="3BEBFEFE" w14:textId="77777777" w:rsidTr="0058687D">
        <w:trPr>
          <w:cantSplit/>
          <w:trHeight w:val="2150"/>
          <w:jc w:val="center"/>
        </w:trPr>
        <w:tc>
          <w:tcPr>
            <w:tcW w:w="1650" w:type="dxa"/>
          </w:tcPr>
          <w:p w14:paraId="4AC3A948"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Export Oriented Enterprises (EOE)</w:t>
            </w:r>
          </w:p>
        </w:tc>
        <w:tc>
          <w:tcPr>
            <w:tcW w:w="2693" w:type="dxa"/>
          </w:tcPr>
          <w:p w14:paraId="4F421B5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p>
          <w:p w14:paraId="362030A0"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0BF6374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p>
          <w:p w14:paraId="7FB46241"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tc>
        <w:tc>
          <w:tcPr>
            <w:tcW w:w="3263" w:type="dxa"/>
          </w:tcPr>
          <w:p w14:paraId="462A5D49"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value added based on quarterly gross output compiled from these sources and last annual technical ratio. </w:t>
            </w:r>
          </w:p>
        </w:tc>
        <w:tc>
          <w:tcPr>
            <w:tcW w:w="3113" w:type="dxa"/>
            <w:gridSpan w:val="2"/>
          </w:tcPr>
          <w:p w14:paraId="62499528" w14:textId="77777777" w:rsidR="003177E0" w:rsidRPr="004253B5" w:rsidRDefault="003177E0" w:rsidP="0058687D">
            <w:pPr>
              <w:numPr>
                <w:ilvl w:val="0"/>
                <w:numId w:val="1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index by industry from Quarterly Index of Industrial Production (QIIP).</w:t>
            </w:r>
          </w:p>
        </w:tc>
      </w:tr>
      <w:tr w:rsidR="003177E0" w:rsidRPr="004253B5" w14:paraId="639A9300" w14:textId="77777777" w:rsidTr="0058687D">
        <w:trPr>
          <w:cantSplit/>
          <w:jc w:val="center"/>
        </w:trPr>
        <w:tc>
          <w:tcPr>
            <w:tcW w:w="1650" w:type="dxa"/>
            <w:tcBorders>
              <w:bottom w:val="single" w:sz="4" w:space="0" w:color="auto"/>
            </w:tcBorders>
          </w:tcPr>
          <w:p w14:paraId="67A2197B"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Non – EOE</w:t>
            </w:r>
          </w:p>
        </w:tc>
        <w:tc>
          <w:tcPr>
            <w:tcW w:w="2693" w:type="dxa"/>
            <w:tcBorders>
              <w:bottom w:val="single" w:sz="4" w:space="0" w:color="auto"/>
            </w:tcBorders>
          </w:tcPr>
          <w:p w14:paraId="50B88143"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exports from Trade Statistics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5143D1AA"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turnover from the VAT </w:t>
            </w:r>
            <w:r>
              <w:rPr>
                <w:rFonts w:ascii="Times New Roman" w:eastAsia="Times New Roman" w:hAnsi="Times New Roman"/>
                <w:szCs w:val="24"/>
                <w:lang w:val="en-US"/>
              </w:rPr>
              <w:t>data.</w:t>
            </w:r>
          </w:p>
          <w:p w14:paraId="31CF36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Production of excisable goods from Customs and Excise Department</w:t>
            </w:r>
          </w:p>
          <w:p w14:paraId="757B2FEF"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survey of establishments</w:t>
            </w:r>
            <w:r>
              <w:rPr>
                <w:rFonts w:ascii="Times New Roman" w:eastAsia="Times New Roman" w:hAnsi="Times New Roman"/>
                <w:szCs w:val="24"/>
                <w:lang w:val="en-US"/>
              </w:rPr>
              <w:t>.</w:t>
            </w:r>
          </w:p>
          <w:p w14:paraId="11EADE1C"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Level of stock from quarterly stock surveys</w:t>
            </w:r>
            <w:r>
              <w:rPr>
                <w:rFonts w:ascii="Times New Roman" w:eastAsia="Times New Roman" w:hAnsi="Times New Roman"/>
                <w:szCs w:val="24"/>
                <w:lang w:val="en-US"/>
              </w:rPr>
              <w:t>.</w:t>
            </w:r>
          </w:p>
        </w:tc>
        <w:tc>
          <w:tcPr>
            <w:tcW w:w="3263" w:type="dxa"/>
            <w:tcBorders>
              <w:bottom w:val="single" w:sz="4" w:space="0" w:color="auto"/>
            </w:tcBorders>
          </w:tcPr>
          <w:p w14:paraId="7A579C6E" w14:textId="0DF4C0DE"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w:t>
            </w:r>
            <w:r w:rsidR="00FE17D7" w:rsidRPr="004253B5">
              <w:rPr>
                <w:rFonts w:ascii="Times New Roman" w:eastAsia="Times New Roman" w:hAnsi="Times New Roman"/>
                <w:szCs w:val="24"/>
                <w:lang w:val="en-US"/>
              </w:rPr>
              <w:t>value-added</w:t>
            </w:r>
            <w:r w:rsidRPr="004253B5">
              <w:rPr>
                <w:rFonts w:ascii="Times New Roman" w:eastAsia="Times New Roman" w:hAnsi="Times New Roman"/>
                <w:szCs w:val="24"/>
                <w:lang w:val="en-US"/>
              </w:rPr>
              <w:t xml:space="preserve"> estimates based on quarterly gross output compiled from these sources and latest annual technical ratio.</w:t>
            </w:r>
          </w:p>
          <w:p w14:paraId="0E191403"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bottom w:val="single" w:sz="4" w:space="0" w:color="auto"/>
            </w:tcBorders>
          </w:tcPr>
          <w:p w14:paraId="732167DE"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index by industry from </w:t>
            </w:r>
            <w:r>
              <w:rPr>
                <w:rFonts w:ascii="Times New Roman" w:eastAsia="Times New Roman" w:hAnsi="Times New Roman"/>
                <w:szCs w:val="24"/>
                <w:lang w:val="en-US"/>
              </w:rPr>
              <w:t>Q</w:t>
            </w:r>
            <w:r w:rsidRPr="004253B5">
              <w:rPr>
                <w:rFonts w:ascii="Times New Roman" w:eastAsia="Times New Roman" w:hAnsi="Times New Roman"/>
                <w:szCs w:val="24"/>
                <w:lang w:val="en-US"/>
              </w:rPr>
              <w:t>IIP</w:t>
            </w:r>
            <w:r>
              <w:rPr>
                <w:rFonts w:ascii="Times New Roman" w:eastAsia="Times New Roman" w:hAnsi="Times New Roman"/>
                <w:szCs w:val="24"/>
                <w:lang w:val="en-US"/>
              </w:rPr>
              <w:t>.</w:t>
            </w:r>
          </w:p>
        </w:tc>
      </w:tr>
      <w:tr w:rsidR="003177E0" w:rsidRPr="004253B5" w14:paraId="5BE310DF" w14:textId="77777777" w:rsidTr="0058687D">
        <w:trPr>
          <w:cantSplit/>
          <w:trHeight w:val="213"/>
          <w:jc w:val="center"/>
        </w:trPr>
        <w:tc>
          <w:tcPr>
            <w:tcW w:w="10719" w:type="dxa"/>
            <w:gridSpan w:val="5"/>
            <w:shd w:val="clear" w:color="auto" w:fill="D9D9D9"/>
          </w:tcPr>
          <w:p w14:paraId="3C0661C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D. Electricity, </w:t>
            </w:r>
            <w:r>
              <w:rPr>
                <w:rFonts w:ascii="Times New Roman" w:eastAsia="Times New Roman" w:hAnsi="Times New Roman"/>
                <w:b/>
                <w:szCs w:val="24"/>
                <w:lang w:val="en-US"/>
              </w:rPr>
              <w:t>g</w:t>
            </w:r>
            <w:r w:rsidRPr="004253B5">
              <w:rPr>
                <w:rFonts w:ascii="Times New Roman" w:eastAsia="Times New Roman" w:hAnsi="Times New Roman"/>
                <w:b/>
                <w:szCs w:val="24"/>
                <w:lang w:val="en-US"/>
              </w:rPr>
              <w:t xml:space="preserve">as, </w:t>
            </w:r>
            <w:r>
              <w:rPr>
                <w:rFonts w:ascii="Times New Roman" w:eastAsia="Times New Roman" w:hAnsi="Times New Roman"/>
                <w:b/>
                <w:szCs w:val="24"/>
                <w:lang w:val="en-US"/>
              </w:rPr>
              <w:t>s</w:t>
            </w:r>
            <w:r w:rsidRPr="004253B5">
              <w:rPr>
                <w:rFonts w:ascii="Times New Roman" w:eastAsia="Times New Roman" w:hAnsi="Times New Roman"/>
                <w:b/>
                <w:szCs w:val="24"/>
                <w:lang w:val="en-US"/>
              </w:rPr>
              <w:t>team and air conditioning supply</w:t>
            </w:r>
          </w:p>
        </w:tc>
      </w:tr>
      <w:tr w:rsidR="003177E0" w:rsidRPr="004253B5" w14:paraId="11E70E36" w14:textId="77777777" w:rsidTr="0058687D">
        <w:trPr>
          <w:cantSplit/>
          <w:jc w:val="center"/>
        </w:trPr>
        <w:tc>
          <w:tcPr>
            <w:tcW w:w="1650" w:type="dxa"/>
            <w:vMerge w:val="restart"/>
          </w:tcPr>
          <w:p w14:paraId="310B309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Electricity, gas and steam </w:t>
            </w:r>
          </w:p>
          <w:p w14:paraId="1553510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w:t>
            </w:r>
          </w:p>
        </w:tc>
        <w:tc>
          <w:tcPr>
            <w:tcW w:w="2693" w:type="dxa"/>
          </w:tcPr>
          <w:p w14:paraId="3857E996"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Electricity Board (CEB)</w:t>
            </w:r>
          </w:p>
        </w:tc>
        <w:tc>
          <w:tcPr>
            <w:tcW w:w="3263" w:type="dxa"/>
          </w:tcPr>
          <w:p w14:paraId="1FA8DEE2" w14:textId="77777777" w:rsidR="003177E0" w:rsidRPr="004253B5" w:rsidRDefault="003177E0" w:rsidP="0058687D">
            <w:pPr>
              <w:numPr>
                <w:ilvl w:val="0"/>
                <w:numId w:val="1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vMerge w:val="restart"/>
          </w:tcPr>
          <w:p w14:paraId="2C7B5134"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electricity sold (All sales by CEB).</w:t>
            </w:r>
          </w:p>
        </w:tc>
      </w:tr>
      <w:tr w:rsidR="003177E0" w:rsidRPr="004253B5" w14:paraId="5EA06A85" w14:textId="77777777" w:rsidTr="0058687D">
        <w:trPr>
          <w:cantSplit/>
          <w:jc w:val="center"/>
        </w:trPr>
        <w:tc>
          <w:tcPr>
            <w:tcW w:w="1650" w:type="dxa"/>
            <w:vMerge/>
            <w:tcBorders>
              <w:bottom w:val="single" w:sz="4" w:space="0" w:color="auto"/>
            </w:tcBorders>
          </w:tcPr>
          <w:p w14:paraId="6818EAAE"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1EF016D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data of the Independent Power Producers</w:t>
            </w:r>
            <w:r>
              <w:rPr>
                <w:rFonts w:ascii="Times New Roman" w:eastAsia="Times New Roman" w:hAnsi="Times New Roman"/>
                <w:szCs w:val="24"/>
                <w:lang w:val="en-US"/>
              </w:rPr>
              <w:t>.</w:t>
            </w:r>
          </w:p>
        </w:tc>
        <w:tc>
          <w:tcPr>
            <w:tcW w:w="3263" w:type="dxa"/>
            <w:tcBorders>
              <w:bottom w:val="single" w:sz="4" w:space="0" w:color="auto"/>
            </w:tcBorders>
          </w:tcPr>
          <w:p w14:paraId="7BA8F2B8"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from the value of electricity purchased by CEB and quarterly technical ratio of the previous year.</w:t>
            </w:r>
          </w:p>
        </w:tc>
        <w:tc>
          <w:tcPr>
            <w:tcW w:w="3113" w:type="dxa"/>
            <w:gridSpan w:val="2"/>
            <w:vMerge/>
            <w:tcBorders>
              <w:bottom w:val="single" w:sz="4" w:space="0" w:color="auto"/>
            </w:tcBorders>
          </w:tcPr>
          <w:p w14:paraId="1B747B07" w14:textId="77777777" w:rsidR="003177E0" w:rsidRPr="004253B5" w:rsidRDefault="003177E0" w:rsidP="0058687D">
            <w:pPr>
              <w:numPr>
                <w:ilvl w:val="0"/>
                <w:numId w:val="12"/>
              </w:numPr>
              <w:spacing w:after="0" w:line="240" w:lineRule="auto"/>
              <w:ind w:right="28"/>
              <w:jc w:val="both"/>
              <w:rPr>
                <w:rFonts w:ascii="Times New Roman" w:eastAsia="Times New Roman" w:hAnsi="Times New Roman"/>
                <w:szCs w:val="24"/>
                <w:lang w:val="en-US"/>
              </w:rPr>
            </w:pPr>
          </w:p>
        </w:tc>
      </w:tr>
      <w:tr w:rsidR="003177E0" w:rsidRPr="004253B5" w14:paraId="28FC975D" w14:textId="77777777" w:rsidTr="0058687D">
        <w:trPr>
          <w:cantSplit/>
          <w:trHeight w:val="143"/>
          <w:jc w:val="center"/>
        </w:trPr>
        <w:tc>
          <w:tcPr>
            <w:tcW w:w="10719" w:type="dxa"/>
            <w:gridSpan w:val="5"/>
            <w:shd w:val="clear" w:color="auto" w:fill="D9D9D9"/>
          </w:tcPr>
          <w:p w14:paraId="4B236C3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E. Water </w:t>
            </w:r>
            <w:r>
              <w:rPr>
                <w:rFonts w:ascii="Times New Roman" w:eastAsia="Times New Roman" w:hAnsi="Times New Roman"/>
                <w:b/>
                <w:szCs w:val="24"/>
                <w:lang w:val="en-US"/>
              </w:rPr>
              <w:t>s</w:t>
            </w:r>
            <w:r w:rsidRPr="004253B5">
              <w:rPr>
                <w:rFonts w:ascii="Times New Roman" w:eastAsia="Times New Roman" w:hAnsi="Times New Roman"/>
                <w:b/>
                <w:szCs w:val="24"/>
                <w:lang w:val="en-US"/>
              </w:rPr>
              <w:t>upply; sewerage, waste management and remediation activities</w:t>
            </w:r>
          </w:p>
        </w:tc>
      </w:tr>
      <w:tr w:rsidR="003177E0" w:rsidRPr="004253B5" w14:paraId="4575B652" w14:textId="77777777" w:rsidTr="0058687D">
        <w:trPr>
          <w:cantSplit/>
          <w:trHeight w:val="862"/>
          <w:jc w:val="center"/>
        </w:trPr>
        <w:tc>
          <w:tcPr>
            <w:tcW w:w="1650" w:type="dxa"/>
          </w:tcPr>
          <w:p w14:paraId="7D47828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supply</w:t>
            </w:r>
          </w:p>
        </w:tc>
        <w:tc>
          <w:tcPr>
            <w:tcW w:w="2693" w:type="dxa"/>
          </w:tcPr>
          <w:p w14:paraId="3B677AA4" w14:textId="77777777" w:rsidR="003177E0" w:rsidRPr="00876B07"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production accounts from Central Water Authority (CWA)</w:t>
            </w:r>
          </w:p>
        </w:tc>
        <w:tc>
          <w:tcPr>
            <w:tcW w:w="3263" w:type="dxa"/>
          </w:tcPr>
          <w:p w14:paraId="0BD8BA53"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of CWA</w:t>
            </w:r>
            <w:r>
              <w:rPr>
                <w:rFonts w:ascii="Times New Roman" w:eastAsia="Times New Roman" w:hAnsi="Times New Roman"/>
                <w:szCs w:val="24"/>
                <w:lang w:val="en-US"/>
              </w:rPr>
              <w:t>.</w:t>
            </w:r>
          </w:p>
        </w:tc>
        <w:tc>
          <w:tcPr>
            <w:tcW w:w="3113" w:type="dxa"/>
            <w:gridSpan w:val="2"/>
          </w:tcPr>
          <w:p w14:paraId="1470C657" w14:textId="77777777" w:rsidR="003177E0" w:rsidRPr="004253B5" w:rsidRDefault="003177E0" w:rsidP="0058687D">
            <w:pPr>
              <w:numPr>
                <w:ilvl w:val="0"/>
                <w:numId w:val="1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quarterly quantity of water sold.</w:t>
            </w:r>
          </w:p>
        </w:tc>
      </w:tr>
      <w:tr w:rsidR="003177E0" w:rsidRPr="004253B5" w14:paraId="772A831C" w14:textId="77777777" w:rsidTr="0058687D">
        <w:trPr>
          <w:cantSplit/>
          <w:trHeight w:val="853"/>
          <w:jc w:val="center"/>
        </w:trPr>
        <w:tc>
          <w:tcPr>
            <w:tcW w:w="1650" w:type="dxa"/>
            <w:tcBorders>
              <w:bottom w:val="single" w:sz="4" w:space="0" w:color="auto"/>
            </w:tcBorders>
          </w:tcPr>
          <w:p w14:paraId="55E1568B"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Sewerage </w:t>
            </w:r>
            <w:r>
              <w:rPr>
                <w:rFonts w:ascii="Times New Roman" w:eastAsia="Times New Roman" w:hAnsi="Times New Roman"/>
                <w:szCs w:val="24"/>
                <w:lang w:val="en-US"/>
              </w:rPr>
              <w:t>and waste management activities</w:t>
            </w:r>
          </w:p>
          <w:p w14:paraId="6AFBEC42" w14:textId="77777777" w:rsidR="006C6D43" w:rsidRDefault="006C6D43" w:rsidP="0058687D">
            <w:pPr>
              <w:spacing w:after="0" w:line="240" w:lineRule="auto"/>
              <w:jc w:val="both"/>
              <w:rPr>
                <w:rFonts w:ascii="Times New Roman" w:eastAsia="Times New Roman" w:hAnsi="Times New Roman"/>
                <w:szCs w:val="24"/>
                <w:lang w:val="en-US"/>
              </w:rPr>
            </w:pPr>
          </w:p>
          <w:p w14:paraId="643750A7" w14:textId="77777777" w:rsidR="006C6D43" w:rsidRDefault="006C6D43" w:rsidP="0058687D">
            <w:pPr>
              <w:spacing w:after="0" w:line="240" w:lineRule="auto"/>
              <w:jc w:val="both"/>
              <w:rPr>
                <w:rFonts w:ascii="Times New Roman" w:eastAsia="Times New Roman" w:hAnsi="Times New Roman"/>
                <w:szCs w:val="24"/>
                <w:lang w:val="en-US"/>
              </w:rPr>
            </w:pPr>
          </w:p>
          <w:p w14:paraId="6E8711C5" w14:textId="5DA37E76" w:rsidR="006C6D43" w:rsidRPr="004253B5" w:rsidRDefault="006C6D43" w:rsidP="0058687D">
            <w:pPr>
              <w:spacing w:after="0" w:line="240" w:lineRule="auto"/>
              <w:jc w:val="both"/>
              <w:rPr>
                <w:rFonts w:ascii="Times New Roman" w:eastAsia="Times New Roman" w:hAnsi="Times New Roman"/>
                <w:szCs w:val="24"/>
                <w:lang w:val="en-US"/>
              </w:rPr>
            </w:pPr>
          </w:p>
        </w:tc>
        <w:tc>
          <w:tcPr>
            <w:tcW w:w="2693" w:type="dxa"/>
            <w:tcBorders>
              <w:bottom w:val="single" w:sz="4" w:space="0" w:color="auto"/>
            </w:tcBorders>
          </w:tcPr>
          <w:p w14:paraId="4EC1A61B"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760E373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w:t>
            </w:r>
            <w:r>
              <w:rPr>
                <w:rFonts w:ascii="Times New Roman" w:eastAsia="Times New Roman" w:hAnsi="Times New Roman"/>
                <w:szCs w:val="24"/>
                <w:lang w:val="en-US"/>
              </w:rPr>
              <w:t>based on quarterly</w:t>
            </w:r>
            <w:r w:rsidRPr="004253B5">
              <w:rPr>
                <w:rFonts w:ascii="Times New Roman" w:eastAsia="Times New Roman" w:hAnsi="Times New Roman"/>
                <w:szCs w:val="24"/>
                <w:lang w:val="en-US"/>
              </w:rPr>
              <w:t xml:space="preserve">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bottom w:val="single" w:sz="4" w:space="0" w:color="auto"/>
            </w:tcBorders>
          </w:tcPr>
          <w:p w14:paraId="1A6A32C6"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appropriate component of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2B2978D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7"/>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4F4B75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F. Construction</w:t>
            </w:r>
          </w:p>
        </w:tc>
      </w:tr>
      <w:tr w:rsidR="003177E0" w:rsidRPr="004253B5" w14:paraId="278FF839" w14:textId="77777777" w:rsidTr="003177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736"/>
          <w:jc w:val="center"/>
        </w:trPr>
        <w:tc>
          <w:tcPr>
            <w:tcW w:w="1650" w:type="dxa"/>
            <w:tcBorders>
              <w:top w:val="single" w:sz="4" w:space="0" w:color="auto"/>
              <w:left w:val="single" w:sz="4" w:space="0" w:color="auto"/>
              <w:bottom w:val="single" w:sz="4" w:space="0" w:color="auto"/>
              <w:right w:val="single" w:sz="4" w:space="0" w:color="auto"/>
            </w:tcBorders>
          </w:tcPr>
          <w:p w14:paraId="710E99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Construction</w:t>
            </w:r>
          </w:p>
        </w:tc>
        <w:tc>
          <w:tcPr>
            <w:tcW w:w="2693" w:type="dxa"/>
            <w:tcBorders>
              <w:top w:val="single" w:sz="4" w:space="0" w:color="auto"/>
              <w:left w:val="nil"/>
              <w:bottom w:val="single" w:sz="4" w:space="0" w:color="auto"/>
              <w:right w:val="single" w:sz="4" w:space="0" w:color="auto"/>
            </w:tcBorders>
          </w:tcPr>
          <w:p w14:paraId="581D7D63"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Monthly building permits from Municipalities and District Councils</w:t>
            </w:r>
            <w:r>
              <w:rPr>
                <w:rFonts w:ascii="Times New Roman" w:eastAsia="Times New Roman" w:hAnsi="Times New Roman"/>
                <w:szCs w:val="24"/>
                <w:lang w:val="en-US"/>
              </w:rPr>
              <w:t>.</w:t>
            </w:r>
          </w:p>
          <w:p w14:paraId="7E60369F" w14:textId="5C2A0F70"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capital expenditure estimates of General Government from</w:t>
            </w:r>
            <w:r>
              <w:rPr>
                <w:rFonts w:ascii="Times New Roman" w:eastAsia="Times New Roman" w:hAnsi="Times New Roman"/>
                <w:szCs w:val="24"/>
                <w:lang w:val="en-US"/>
              </w:rPr>
              <w:t xml:space="preserve"> Ministry of Finance.</w:t>
            </w:r>
          </w:p>
          <w:p w14:paraId="4C1C7509" w14:textId="77777777" w:rsidR="003177E0" w:rsidRPr="0084243B"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Maintenance expenditure by households from latest Household Budget Survey</w:t>
            </w:r>
            <w:r>
              <w:rPr>
                <w:rFonts w:ascii="Times New Roman" w:eastAsia="Times New Roman" w:hAnsi="Times New Roman"/>
                <w:szCs w:val="24"/>
                <w:lang w:val="en-US"/>
              </w:rPr>
              <w:t>.</w:t>
            </w:r>
          </w:p>
          <w:p w14:paraId="7AC2BD19" w14:textId="4F8EBB25" w:rsidR="003177E0" w:rsidRPr="003177E0" w:rsidRDefault="003177E0" w:rsidP="003177E0">
            <w:pPr>
              <w:numPr>
                <w:ilvl w:val="0"/>
                <w:numId w:val="15"/>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Administrative sources, </w:t>
            </w:r>
            <w:proofErr w:type="spellStart"/>
            <w:r>
              <w:rPr>
                <w:rFonts w:ascii="Times New Roman" w:eastAsia="Times New Roman" w:hAnsi="Times New Roman"/>
                <w:szCs w:val="24"/>
                <w:lang w:val="en-US"/>
              </w:rPr>
              <w:t>eg.</w:t>
            </w:r>
            <w:proofErr w:type="spellEnd"/>
            <w:r w:rsidR="006C6D43">
              <w:rPr>
                <w:rFonts w:ascii="Times New Roman" w:eastAsia="Times New Roman" w:hAnsi="Times New Roman"/>
                <w:szCs w:val="24"/>
                <w:lang w:val="en-US"/>
              </w:rPr>
              <w:t xml:space="preserve"> </w:t>
            </w:r>
            <w:r>
              <w:rPr>
                <w:rFonts w:ascii="Times New Roman" w:eastAsia="Times New Roman" w:hAnsi="Times New Roman"/>
                <w:szCs w:val="24"/>
                <w:lang w:val="en-US"/>
              </w:rPr>
              <w:t>Economic Development Board.</w:t>
            </w:r>
          </w:p>
        </w:tc>
        <w:tc>
          <w:tcPr>
            <w:tcW w:w="3263" w:type="dxa"/>
            <w:tcBorders>
              <w:top w:val="single" w:sz="4" w:space="0" w:color="auto"/>
              <w:left w:val="nil"/>
              <w:bottom w:val="single" w:sz="4" w:space="0" w:color="auto"/>
              <w:right w:val="single" w:sz="4" w:space="0" w:color="auto"/>
            </w:tcBorders>
          </w:tcPr>
          <w:p w14:paraId="1BDD5854" w14:textId="6C3A1D71"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output based on these sources and quarterly 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w:t>
            </w:r>
            <w:r>
              <w:rPr>
                <w:rFonts w:ascii="Times New Roman" w:eastAsia="Times New Roman" w:hAnsi="Times New Roman"/>
                <w:szCs w:val="24"/>
                <w:lang w:val="en-US"/>
              </w:rPr>
              <w:t>Census of Economic Activities (</w:t>
            </w:r>
            <w:r w:rsidRPr="004253B5">
              <w:rPr>
                <w:rFonts w:ascii="Times New Roman" w:eastAsia="Times New Roman" w:hAnsi="Times New Roman"/>
                <w:szCs w:val="24"/>
                <w:lang w:val="en-US"/>
              </w:rPr>
              <w:t>CEA</w:t>
            </w:r>
            <w:r>
              <w:rPr>
                <w:rFonts w:ascii="Times New Roman" w:eastAsia="Times New Roman" w:hAnsi="Times New Roman"/>
                <w:szCs w:val="24"/>
                <w:lang w:val="en-US"/>
              </w:rPr>
              <w:t>)</w:t>
            </w:r>
            <w:r w:rsidRPr="004253B5">
              <w:rPr>
                <w:rFonts w:ascii="Times New Roman" w:eastAsia="Times New Roman" w:hAnsi="Times New Roman"/>
                <w:szCs w:val="24"/>
                <w:lang w:val="en-US"/>
              </w:rPr>
              <w:t>.</w:t>
            </w:r>
          </w:p>
        </w:tc>
        <w:tc>
          <w:tcPr>
            <w:tcW w:w="3113" w:type="dxa"/>
            <w:gridSpan w:val="2"/>
            <w:tcBorders>
              <w:top w:val="single" w:sz="4" w:space="0" w:color="auto"/>
              <w:left w:val="single" w:sz="4" w:space="0" w:color="auto"/>
              <w:bottom w:val="single" w:sz="4" w:space="0" w:color="auto"/>
              <w:right w:val="single" w:sz="4" w:space="0" w:color="auto"/>
            </w:tcBorders>
          </w:tcPr>
          <w:p w14:paraId="159245E4" w14:textId="77777777" w:rsidR="003177E0" w:rsidRPr="004253B5" w:rsidRDefault="003177E0" w:rsidP="0058687D">
            <w:pPr>
              <w:numPr>
                <w:ilvl w:val="0"/>
                <w:numId w:val="1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7D71401A"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5"/>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5932659E" w14:textId="77777777" w:rsidR="003177E0" w:rsidRPr="00A97B2C" w:rsidRDefault="003177E0" w:rsidP="0058687D">
            <w:pPr>
              <w:spacing w:after="0" w:line="240" w:lineRule="auto"/>
              <w:ind w:right="28"/>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G. Wholesale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etail </w:t>
            </w:r>
            <w:r>
              <w:rPr>
                <w:rFonts w:ascii="Times New Roman" w:eastAsia="Times New Roman" w:hAnsi="Times New Roman"/>
                <w:b/>
                <w:szCs w:val="24"/>
                <w:lang w:val="en-US"/>
              </w:rPr>
              <w:t>t</w:t>
            </w:r>
            <w:r w:rsidRPr="004253B5">
              <w:rPr>
                <w:rFonts w:ascii="Times New Roman" w:eastAsia="Times New Roman" w:hAnsi="Times New Roman"/>
                <w:b/>
                <w:szCs w:val="24"/>
                <w:lang w:val="en-US"/>
              </w:rPr>
              <w:t xml:space="preserve">rade, </w:t>
            </w:r>
            <w:r>
              <w:rPr>
                <w:rFonts w:ascii="Times New Roman" w:eastAsia="Times New Roman" w:hAnsi="Times New Roman"/>
                <w:b/>
                <w:szCs w:val="24"/>
                <w:lang w:val="en-US"/>
              </w:rPr>
              <w:t>r</w:t>
            </w:r>
            <w:r w:rsidRPr="004253B5">
              <w:rPr>
                <w:rFonts w:ascii="Times New Roman" w:eastAsia="Times New Roman" w:hAnsi="Times New Roman"/>
                <w:b/>
                <w:szCs w:val="24"/>
                <w:lang w:val="en-US"/>
              </w:rPr>
              <w:t xml:space="preserve">epair of </w:t>
            </w:r>
            <w:r>
              <w:rPr>
                <w:rFonts w:ascii="Times New Roman" w:eastAsia="Times New Roman" w:hAnsi="Times New Roman"/>
                <w:b/>
                <w:szCs w:val="24"/>
                <w:lang w:val="en-US"/>
              </w:rPr>
              <w:t>m</w:t>
            </w:r>
            <w:r w:rsidRPr="004253B5">
              <w:rPr>
                <w:rFonts w:ascii="Times New Roman" w:eastAsia="Times New Roman" w:hAnsi="Times New Roman"/>
                <w:b/>
                <w:szCs w:val="24"/>
                <w:lang w:val="en-US"/>
              </w:rPr>
              <w:t xml:space="preserve">otor </w:t>
            </w:r>
            <w:r>
              <w:rPr>
                <w:rFonts w:ascii="Times New Roman" w:eastAsia="Times New Roman" w:hAnsi="Times New Roman"/>
                <w:b/>
                <w:szCs w:val="24"/>
                <w:lang w:val="en-US"/>
              </w:rPr>
              <w:t>v</w:t>
            </w:r>
            <w:r w:rsidRPr="004253B5">
              <w:rPr>
                <w:rFonts w:ascii="Times New Roman" w:eastAsia="Times New Roman" w:hAnsi="Times New Roman"/>
                <w:b/>
                <w:szCs w:val="24"/>
                <w:lang w:val="en-US"/>
              </w:rPr>
              <w:t>ehicles</w:t>
            </w:r>
            <w:r>
              <w:rPr>
                <w:rFonts w:ascii="Times New Roman" w:eastAsia="Times New Roman" w:hAnsi="Times New Roman"/>
                <w:b/>
                <w:szCs w:val="24"/>
                <w:lang w:val="en-US"/>
              </w:rPr>
              <w:t xml:space="preserve"> 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m</w:t>
            </w:r>
            <w:r w:rsidRPr="004253B5">
              <w:rPr>
                <w:rFonts w:ascii="Times New Roman" w:eastAsia="Times New Roman" w:hAnsi="Times New Roman"/>
                <w:b/>
                <w:szCs w:val="24"/>
                <w:lang w:val="en-US"/>
              </w:rPr>
              <w:t>otorcycles</w:t>
            </w:r>
          </w:p>
        </w:tc>
      </w:tr>
      <w:tr w:rsidR="003177E0" w:rsidRPr="004253B5" w14:paraId="3003F7C1"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9"/>
          <w:jc w:val="center"/>
        </w:trPr>
        <w:tc>
          <w:tcPr>
            <w:tcW w:w="1650" w:type="dxa"/>
            <w:tcBorders>
              <w:top w:val="single" w:sz="4" w:space="0" w:color="auto"/>
              <w:left w:val="single" w:sz="4" w:space="0" w:color="auto"/>
              <w:bottom w:val="single" w:sz="4" w:space="0" w:color="auto"/>
              <w:right w:val="single" w:sz="4" w:space="0" w:color="auto"/>
            </w:tcBorders>
          </w:tcPr>
          <w:p w14:paraId="7CB5204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Wholesale </w:t>
            </w:r>
            <w:r>
              <w:rPr>
                <w:rFonts w:ascii="Times New Roman" w:eastAsia="Times New Roman" w:hAnsi="Times New Roman"/>
                <w:szCs w:val="24"/>
                <w:lang w:val="en-US"/>
              </w:rPr>
              <w:t>and</w:t>
            </w:r>
            <w:r w:rsidRPr="004253B5">
              <w:rPr>
                <w:rFonts w:ascii="Times New Roman" w:eastAsia="Times New Roman" w:hAnsi="Times New Roman"/>
                <w:szCs w:val="24"/>
                <w:lang w:val="en-US"/>
              </w:rPr>
              <w:t xml:space="preserve"> Retail Trade</w:t>
            </w:r>
          </w:p>
        </w:tc>
        <w:tc>
          <w:tcPr>
            <w:tcW w:w="2693" w:type="dxa"/>
            <w:tcBorders>
              <w:top w:val="single" w:sz="4" w:space="0" w:color="auto"/>
              <w:left w:val="nil"/>
              <w:bottom w:val="single" w:sz="4" w:space="0" w:color="auto"/>
              <w:right w:val="single" w:sz="4" w:space="0" w:color="auto"/>
            </w:tcBorders>
          </w:tcPr>
          <w:p w14:paraId="4BA32C5D"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imports from Trade statistics</w:t>
            </w:r>
          </w:p>
          <w:p w14:paraId="4DE9C207"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BC56302"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Local production from Agriculture statistics and Industrial statistics</w:t>
            </w:r>
          </w:p>
        </w:tc>
        <w:tc>
          <w:tcPr>
            <w:tcW w:w="3263" w:type="dxa"/>
            <w:tcBorders>
              <w:top w:val="single" w:sz="4" w:space="0" w:color="auto"/>
              <w:left w:val="nil"/>
              <w:bottom w:val="single" w:sz="4" w:space="0" w:color="auto"/>
              <w:right w:val="single" w:sz="4" w:space="0" w:color="auto"/>
            </w:tcBorders>
          </w:tcPr>
          <w:p w14:paraId="7E73FCB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For imported goods, gross output based on trade margins computed from quarterly imports. </w:t>
            </w:r>
          </w:p>
          <w:p w14:paraId="42B40DFE"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For local production, gross output based on trends of production of food crops and production of the non-EOE sector (local consumption).</w:t>
            </w:r>
          </w:p>
          <w:p w14:paraId="1089A49D" w14:textId="6A2C8AC6"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Borders>
              <w:top w:val="single" w:sz="4" w:space="0" w:color="auto"/>
              <w:left w:val="single" w:sz="4" w:space="0" w:color="auto"/>
              <w:bottom w:val="single" w:sz="4" w:space="0" w:color="auto"/>
              <w:right w:val="single" w:sz="4" w:space="0" w:color="auto"/>
            </w:tcBorders>
          </w:tcPr>
          <w:p w14:paraId="0B7CDEA0"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 in volume of imports derived by deflating imports by sector by relevant IPI components.</w:t>
            </w:r>
          </w:p>
          <w:p w14:paraId="50754D75"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3F295739"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For l</w:t>
            </w:r>
            <w:r w:rsidRPr="004253B5">
              <w:rPr>
                <w:rFonts w:ascii="Times New Roman" w:eastAsia="Times New Roman" w:hAnsi="Times New Roman"/>
                <w:szCs w:val="24"/>
                <w:lang w:val="en-US"/>
              </w:rPr>
              <w:t>ocal component</w:t>
            </w:r>
            <w:r>
              <w:rPr>
                <w:rFonts w:ascii="Times New Roman" w:eastAsia="Times New Roman" w:hAnsi="Times New Roman"/>
                <w:szCs w:val="24"/>
                <w:lang w:val="en-US"/>
              </w:rPr>
              <w:t>, d</w:t>
            </w:r>
            <w:r w:rsidRPr="004253B5">
              <w:rPr>
                <w:rFonts w:ascii="Times New Roman" w:eastAsia="Times New Roman" w:hAnsi="Times New Roman"/>
                <w:szCs w:val="24"/>
                <w:lang w:val="en-US"/>
              </w:rPr>
              <w:t>eflation by overall CPI</w:t>
            </w:r>
            <w:r>
              <w:rPr>
                <w:rFonts w:ascii="Times New Roman" w:eastAsia="Times New Roman" w:hAnsi="Times New Roman"/>
                <w:szCs w:val="24"/>
                <w:lang w:val="en-US"/>
              </w:rPr>
              <w:t>.</w:t>
            </w:r>
          </w:p>
        </w:tc>
      </w:tr>
      <w:tr w:rsidR="003177E0" w:rsidRPr="004253B5" w14:paraId="661B407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11"/>
          <w:jc w:val="center"/>
        </w:trPr>
        <w:tc>
          <w:tcPr>
            <w:tcW w:w="1650" w:type="dxa"/>
            <w:tcBorders>
              <w:top w:val="single" w:sz="4" w:space="0" w:color="auto"/>
              <w:left w:val="single" w:sz="4" w:space="0" w:color="auto"/>
              <w:bottom w:val="single" w:sz="4" w:space="0" w:color="auto"/>
              <w:right w:val="single" w:sz="4" w:space="0" w:color="auto"/>
            </w:tcBorders>
          </w:tcPr>
          <w:p w14:paraId="23447CF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Repair of motor vehicles and motorcycles</w:t>
            </w:r>
          </w:p>
        </w:tc>
        <w:tc>
          <w:tcPr>
            <w:tcW w:w="2693" w:type="dxa"/>
            <w:tcBorders>
              <w:top w:val="single" w:sz="4" w:space="0" w:color="auto"/>
              <w:left w:val="nil"/>
              <w:bottom w:val="single" w:sz="4" w:space="0" w:color="auto"/>
              <w:right w:val="single" w:sz="4" w:space="0" w:color="auto"/>
            </w:tcBorders>
          </w:tcPr>
          <w:p w14:paraId="157B892B"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 xml:space="preserve"> Imports of spare parts.</w:t>
            </w:r>
          </w:p>
          <w:p w14:paraId="3F4A043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Quarterly VAT data</w:t>
            </w:r>
            <w:r>
              <w:rPr>
                <w:rFonts w:ascii="Times New Roman" w:eastAsia="Times New Roman" w:hAnsi="Times New Roman"/>
                <w:szCs w:val="24"/>
                <w:lang w:val="en-US"/>
              </w:rPr>
              <w:t>.</w:t>
            </w:r>
          </w:p>
          <w:p w14:paraId="1591C59F" w14:textId="77777777" w:rsidR="003177E0" w:rsidRPr="004253B5"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szCs w:val="24"/>
                <w:lang w:val="en-US"/>
              </w:rPr>
              <w:t>Road transport statistics (number of vehicles registered and number of accidents)</w:t>
            </w:r>
            <w:r>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14572B59" w14:textId="77777777" w:rsidR="003177E0" w:rsidRPr="004253B5" w:rsidRDefault="003177E0" w:rsidP="0058687D">
            <w:pPr>
              <w:numPr>
                <w:ilvl w:val="0"/>
                <w:numId w:val="32"/>
              </w:num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Quarterly estimates based on imports of spare parts, changes in number of vehicles registered and number of accidents.</w:t>
            </w:r>
          </w:p>
          <w:p w14:paraId="6F26ACD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single" w:sz="4" w:space="0" w:color="auto"/>
              <w:bottom w:val="single" w:sz="4" w:space="0" w:color="auto"/>
              <w:right w:val="single" w:sz="4" w:space="0" w:color="auto"/>
            </w:tcBorders>
          </w:tcPr>
          <w:p w14:paraId="39C217E3" w14:textId="77777777" w:rsidR="003177E0" w:rsidRPr="004253B5" w:rsidRDefault="003177E0" w:rsidP="0058687D">
            <w:pPr>
              <w:numPr>
                <w:ilvl w:val="0"/>
                <w:numId w:val="1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overall CPI.</w:t>
            </w:r>
          </w:p>
        </w:tc>
      </w:tr>
      <w:tr w:rsidR="003177E0" w:rsidRPr="004253B5" w14:paraId="3C1CD69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3"/>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3E862A9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H. Transport and </w:t>
            </w:r>
            <w:r>
              <w:rPr>
                <w:rFonts w:ascii="Times New Roman" w:eastAsia="Times New Roman" w:hAnsi="Times New Roman"/>
                <w:b/>
                <w:szCs w:val="24"/>
                <w:lang w:val="en-US"/>
              </w:rPr>
              <w:t>s</w:t>
            </w:r>
            <w:r w:rsidRPr="004253B5">
              <w:rPr>
                <w:rFonts w:ascii="Times New Roman" w:eastAsia="Times New Roman" w:hAnsi="Times New Roman"/>
                <w:b/>
                <w:szCs w:val="24"/>
                <w:lang w:val="en-US"/>
              </w:rPr>
              <w:t>torage</w:t>
            </w:r>
          </w:p>
        </w:tc>
      </w:tr>
      <w:tr w:rsidR="003177E0" w:rsidRPr="004253B5" w14:paraId="1E77CB1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63"/>
          <w:jc w:val="center"/>
        </w:trPr>
        <w:tc>
          <w:tcPr>
            <w:tcW w:w="1650" w:type="dxa"/>
            <w:tcBorders>
              <w:top w:val="single" w:sz="4" w:space="0" w:color="auto"/>
              <w:left w:val="single" w:sz="4" w:space="0" w:color="auto"/>
              <w:bottom w:val="single" w:sz="4" w:space="0" w:color="auto"/>
              <w:right w:val="single" w:sz="4" w:space="0" w:color="auto"/>
            </w:tcBorders>
          </w:tcPr>
          <w:p w14:paraId="39625D97" w14:textId="43328EA4"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Bus</w:t>
            </w:r>
            <w:r w:rsidR="004235DA">
              <w:rPr>
                <w:rFonts w:ascii="Times New Roman" w:eastAsia="Times New Roman" w:hAnsi="Times New Roman"/>
                <w:szCs w:val="24"/>
                <w:lang w:val="en-US"/>
              </w:rPr>
              <w:t>/Light rail</w:t>
            </w:r>
          </w:p>
        </w:tc>
        <w:tc>
          <w:tcPr>
            <w:tcW w:w="2693" w:type="dxa"/>
            <w:tcBorders>
              <w:top w:val="single" w:sz="4" w:space="0" w:color="auto"/>
              <w:left w:val="nil"/>
              <w:bottom w:val="single" w:sz="4" w:space="0" w:color="auto"/>
              <w:right w:val="single" w:sz="4" w:space="0" w:color="auto"/>
            </w:tcBorders>
          </w:tcPr>
          <w:p w14:paraId="0BC4648F" w14:textId="77777777" w:rsidR="003177E0" w:rsidRDefault="003177E0" w:rsidP="0058687D">
            <w:pPr>
              <w:numPr>
                <w:ilvl w:val="0"/>
                <w:numId w:val="18"/>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production accounts of bus companies and bus fleet from National </w:t>
            </w:r>
            <w:r w:rsidR="004B690B">
              <w:rPr>
                <w:rFonts w:ascii="Times New Roman" w:eastAsia="Times New Roman" w:hAnsi="Times New Roman"/>
                <w:szCs w:val="24"/>
                <w:lang w:val="en-US"/>
              </w:rPr>
              <w:t xml:space="preserve">Land </w:t>
            </w:r>
            <w:r w:rsidRPr="004253B5">
              <w:rPr>
                <w:rFonts w:ascii="Times New Roman" w:eastAsia="Times New Roman" w:hAnsi="Times New Roman"/>
                <w:szCs w:val="24"/>
                <w:lang w:val="en-US"/>
              </w:rPr>
              <w:t>Transport Authority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0C6A7314" w14:textId="77777777" w:rsidR="004235DA"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survey on receipt and expenditure</w:t>
            </w:r>
          </w:p>
          <w:p w14:paraId="0DAD3CCE" w14:textId="72C786E8" w:rsidR="004235DA" w:rsidRPr="004253B5" w:rsidRDefault="004235DA" w:rsidP="0058687D">
            <w:pPr>
              <w:numPr>
                <w:ilvl w:val="0"/>
                <w:numId w:val="18"/>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4" w:space="0" w:color="auto"/>
              <w:left w:val="nil"/>
              <w:bottom w:val="single" w:sz="4" w:space="0" w:color="auto"/>
              <w:right w:val="single" w:sz="4" w:space="0" w:color="auto"/>
            </w:tcBorders>
          </w:tcPr>
          <w:p w14:paraId="4A02613C"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r>
              <w:rPr>
                <w:rFonts w:ascii="Times New Roman" w:eastAsia="Times New Roman" w:hAnsi="Times New Roman"/>
                <w:szCs w:val="24"/>
                <w:lang w:val="en-US"/>
              </w:rPr>
              <w:t>.</w:t>
            </w:r>
          </w:p>
          <w:p w14:paraId="58590F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BBBCB6B" w14:textId="2D586F3C" w:rsidR="003177E0" w:rsidRPr="004253B5" w:rsidRDefault="004E60A4"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003177E0" w:rsidRPr="004253B5">
              <w:rPr>
                <w:rFonts w:ascii="Times New Roman" w:eastAsia="Times New Roman" w:hAnsi="Times New Roman"/>
                <w:szCs w:val="24"/>
                <w:lang w:val="en-US"/>
              </w:rPr>
              <w:t>eflation using</w:t>
            </w:r>
            <w:r w:rsidR="004235DA">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relevant</w:t>
            </w:r>
            <w:r w:rsidR="00E9735D">
              <w:rPr>
                <w:rFonts w:ascii="Times New Roman" w:eastAsia="Times New Roman" w:hAnsi="Times New Roman"/>
                <w:szCs w:val="24"/>
                <w:lang w:val="en-US"/>
              </w:rPr>
              <w:t xml:space="preserve"> </w:t>
            </w:r>
            <w:r w:rsidR="003177E0" w:rsidRPr="004253B5">
              <w:rPr>
                <w:rFonts w:ascii="Times New Roman" w:eastAsia="Times New Roman" w:hAnsi="Times New Roman"/>
                <w:szCs w:val="24"/>
                <w:lang w:val="en-US"/>
              </w:rPr>
              <w:t xml:space="preserve">components </w:t>
            </w:r>
            <w:r w:rsidR="00E9735D">
              <w:rPr>
                <w:rFonts w:ascii="Times New Roman" w:eastAsia="Times New Roman" w:hAnsi="Times New Roman"/>
                <w:szCs w:val="24"/>
                <w:lang w:val="en-US"/>
              </w:rPr>
              <w:t>of CPI</w:t>
            </w:r>
            <w:r w:rsidR="003177E0" w:rsidRPr="004253B5">
              <w:rPr>
                <w:rFonts w:ascii="Times New Roman" w:eastAsia="Times New Roman" w:hAnsi="Times New Roman"/>
                <w:szCs w:val="24"/>
                <w:lang w:val="en-US"/>
              </w:rPr>
              <w:t>.</w:t>
            </w:r>
          </w:p>
        </w:tc>
      </w:tr>
      <w:tr w:rsidR="003177E0" w:rsidRPr="004253B5" w14:paraId="27CAE7C8" w14:textId="77777777" w:rsidTr="0058687D">
        <w:tblPrEx>
          <w:tblBorders>
            <w:insideH w:val="single" w:sz="6" w:space="0" w:color="auto"/>
            <w:insideV w:val="single" w:sz="6" w:space="0" w:color="auto"/>
          </w:tblBorders>
        </w:tblPrEx>
        <w:trPr>
          <w:cantSplit/>
          <w:trHeight w:val="1440"/>
          <w:jc w:val="center"/>
        </w:trPr>
        <w:tc>
          <w:tcPr>
            <w:tcW w:w="1650" w:type="dxa"/>
          </w:tcPr>
          <w:p w14:paraId="74B64D7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Taxi</w:t>
            </w:r>
          </w:p>
        </w:tc>
        <w:tc>
          <w:tcPr>
            <w:tcW w:w="2693" w:type="dxa"/>
          </w:tcPr>
          <w:p w14:paraId="10C7164B" w14:textId="01C16DB6"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proofErr w:type="spellStart"/>
            <w:r w:rsidRPr="004253B5">
              <w:rPr>
                <w:rFonts w:ascii="Times New Roman" w:eastAsia="Times New Roman" w:hAnsi="Times New Roman"/>
                <w:szCs w:val="24"/>
                <w:lang w:val="en-US"/>
              </w:rPr>
              <w:t>licences</w:t>
            </w:r>
            <w:proofErr w:type="spellEnd"/>
            <w:r w:rsidRPr="004253B5">
              <w:rPr>
                <w:rFonts w:ascii="Times New Roman" w:eastAsia="Times New Roman" w:hAnsi="Times New Roman"/>
                <w:szCs w:val="24"/>
                <w:lang w:val="en-US"/>
              </w:rPr>
              <w:t xml:space="preserve"> of taxi cars from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w:t>
            </w:r>
            <w:r>
              <w:rPr>
                <w:rFonts w:ascii="Times New Roman" w:eastAsia="Times New Roman" w:hAnsi="Times New Roman"/>
                <w:szCs w:val="24"/>
                <w:lang w:val="en-US"/>
              </w:rPr>
              <w:t>.</w:t>
            </w:r>
          </w:p>
          <w:p w14:paraId="40AEEE1F"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Taxi fares from monthly consumer price surveys.</w:t>
            </w:r>
          </w:p>
        </w:tc>
        <w:tc>
          <w:tcPr>
            <w:tcW w:w="3263" w:type="dxa"/>
          </w:tcPr>
          <w:p w14:paraId="11F201EB" w14:textId="77777777" w:rsidR="003177E0" w:rsidRPr="004253B5"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Output based on the quarterly number of </w:t>
            </w:r>
            <w:proofErr w:type="spellStart"/>
            <w:r w:rsidRPr="004253B5">
              <w:rPr>
                <w:rFonts w:ascii="Times New Roman" w:eastAsia="Times New Roman" w:hAnsi="Times New Roman"/>
                <w:szCs w:val="24"/>
                <w:lang w:val="en-US"/>
              </w:rPr>
              <w:t>licences</w:t>
            </w:r>
            <w:proofErr w:type="spellEnd"/>
            <w:r w:rsidRPr="004253B5">
              <w:rPr>
                <w:rFonts w:ascii="Times New Roman" w:eastAsia="Times New Roman" w:hAnsi="Times New Roman"/>
                <w:szCs w:val="24"/>
                <w:lang w:val="en-US"/>
              </w:rPr>
              <w:t xml:space="preserve"> delivered and taxi fare.</w:t>
            </w:r>
          </w:p>
          <w:p w14:paraId="0C404202" w14:textId="0350E766" w:rsidR="003177E0" w:rsidRPr="00634AE9" w:rsidRDefault="003177E0" w:rsidP="0058687D">
            <w:pPr>
              <w:numPr>
                <w:ilvl w:val="0"/>
                <w:numId w:val="1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1830EB98" w14:textId="670DB47B" w:rsidR="003177E0" w:rsidRPr="004253B5" w:rsidRDefault="008C5B12" w:rsidP="0058687D">
            <w:pPr>
              <w:numPr>
                <w:ilvl w:val="0"/>
                <w:numId w:val="19"/>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3144F48E" w14:textId="77777777" w:rsidTr="0058687D">
        <w:tblPrEx>
          <w:tblBorders>
            <w:insideH w:val="single" w:sz="6" w:space="0" w:color="auto"/>
            <w:insideV w:val="single" w:sz="6" w:space="0" w:color="auto"/>
          </w:tblBorders>
        </w:tblPrEx>
        <w:trPr>
          <w:cantSplit/>
          <w:trHeight w:val="1222"/>
          <w:jc w:val="center"/>
        </w:trPr>
        <w:tc>
          <w:tcPr>
            <w:tcW w:w="1650" w:type="dxa"/>
          </w:tcPr>
          <w:p w14:paraId="2E2ABB0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lastRenderedPageBreak/>
              <w:t>Lorries</w:t>
            </w:r>
          </w:p>
        </w:tc>
        <w:tc>
          <w:tcPr>
            <w:tcW w:w="2693" w:type="dxa"/>
          </w:tcPr>
          <w:p w14:paraId="3855A714" w14:textId="749A7F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proofErr w:type="spellStart"/>
            <w:r w:rsidRPr="004253B5">
              <w:rPr>
                <w:rFonts w:ascii="Times New Roman" w:eastAsia="Times New Roman" w:hAnsi="Times New Roman"/>
                <w:szCs w:val="24"/>
                <w:lang w:val="en-US"/>
              </w:rPr>
              <w:t>licences</w:t>
            </w:r>
            <w:proofErr w:type="spellEnd"/>
            <w:r w:rsidRPr="004253B5">
              <w:rPr>
                <w:rFonts w:ascii="Times New Roman" w:eastAsia="Times New Roman" w:hAnsi="Times New Roman"/>
                <w:szCs w:val="24"/>
                <w:lang w:val="en-US"/>
              </w:rPr>
              <w:t xml:space="preserve"> of lorries from </w:t>
            </w:r>
            <w:r>
              <w:rPr>
                <w:rFonts w:ascii="Times New Roman" w:eastAsia="Times New Roman" w:hAnsi="Times New Roman"/>
                <w:szCs w:val="24"/>
                <w:lang w:val="en-US"/>
              </w:rPr>
              <w:t>N</w:t>
            </w:r>
            <w:r w:rsidR="004B690B">
              <w:rPr>
                <w:rFonts w:ascii="Times New Roman" w:eastAsia="Times New Roman" w:hAnsi="Times New Roman"/>
                <w:szCs w:val="24"/>
                <w:lang w:val="en-US"/>
              </w:rPr>
              <w:t>L</w:t>
            </w:r>
            <w:r>
              <w:rPr>
                <w:rFonts w:ascii="Times New Roman" w:eastAsia="Times New Roman" w:hAnsi="Times New Roman"/>
                <w:szCs w:val="24"/>
                <w:lang w:val="en-US"/>
              </w:rPr>
              <w:t>TA.</w:t>
            </w:r>
          </w:p>
          <w:p w14:paraId="48F77232" w14:textId="4A67F6B5"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Lorry charges based on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CEA.</w:t>
            </w:r>
          </w:p>
        </w:tc>
        <w:tc>
          <w:tcPr>
            <w:tcW w:w="3263" w:type="dxa"/>
          </w:tcPr>
          <w:p w14:paraId="57E4D063" w14:textId="77777777" w:rsidR="003177E0" w:rsidRPr="004253B5"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Output based on the quarterly </w:t>
            </w:r>
            <w:proofErr w:type="spellStart"/>
            <w:r w:rsidRPr="004253B5">
              <w:rPr>
                <w:rFonts w:ascii="Times New Roman" w:eastAsia="Times New Roman" w:hAnsi="Times New Roman"/>
                <w:szCs w:val="24"/>
                <w:lang w:val="en-US"/>
              </w:rPr>
              <w:t>licences</w:t>
            </w:r>
            <w:proofErr w:type="spellEnd"/>
            <w:r w:rsidRPr="004253B5">
              <w:rPr>
                <w:rFonts w:ascii="Times New Roman" w:eastAsia="Times New Roman" w:hAnsi="Times New Roman"/>
                <w:szCs w:val="24"/>
                <w:lang w:val="en-US"/>
              </w:rPr>
              <w:t xml:space="preserve"> of lorries.</w:t>
            </w:r>
          </w:p>
          <w:p w14:paraId="001B5935" w14:textId="550841D4" w:rsidR="003177E0" w:rsidRPr="00634AE9" w:rsidRDefault="003177E0" w:rsidP="0058687D">
            <w:pPr>
              <w:numPr>
                <w:ilvl w:val="0"/>
                <w:numId w:val="2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derived using the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343A07AB" w14:textId="7349637F" w:rsidR="003177E0" w:rsidRPr="004253B5" w:rsidRDefault="008C5B12" w:rsidP="0058687D">
            <w:pPr>
              <w:numPr>
                <w:ilvl w:val="0"/>
                <w:numId w:val="2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2D58307B" w14:textId="77777777" w:rsidTr="0058687D">
        <w:tblPrEx>
          <w:tblBorders>
            <w:insideH w:val="single" w:sz="6" w:space="0" w:color="auto"/>
            <w:insideV w:val="single" w:sz="6" w:space="0" w:color="auto"/>
          </w:tblBorders>
        </w:tblPrEx>
        <w:trPr>
          <w:cantSplit/>
          <w:trHeight w:val="1545"/>
          <w:jc w:val="center"/>
        </w:trPr>
        <w:tc>
          <w:tcPr>
            <w:tcW w:w="1650" w:type="dxa"/>
          </w:tcPr>
          <w:p w14:paraId="3D66ADC0"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Water transport</w:t>
            </w:r>
          </w:p>
        </w:tc>
        <w:tc>
          <w:tcPr>
            <w:tcW w:w="2693" w:type="dxa"/>
          </w:tcPr>
          <w:p w14:paraId="27246123" w14:textId="77777777" w:rsidR="003177E0" w:rsidRPr="004253B5" w:rsidRDefault="003177E0" w:rsidP="0058687D">
            <w:pPr>
              <w:numPr>
                <w:ilvl w:val="0"/>
                <w:numId w:val="22"/>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number of passengers from Mauritius Shipping Corporation.</w:t>
            </w:r>
          </w:p>
        </w:tc>
        <w:tc>
          <w:tcPr>
            <w:tcW w:w="3263" w:type="dxa"/>
          </w:tcPr>
          <w:p w14:paraId="39AF5302"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The number of passengers and fares charged as per CPI are used to estimate quarterly output.</w:t>
            </w:r>
          </w:p>
          <w:p w14:paraId="16103EA8" w14:textId="2089551D"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derived using the production structure obtained at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p>
        </w:tc>
        <w:tc>
          <w:tcPr>
            <w:tcW w:w="3113" w:type="dxa"/>
            <w:gridSpan w:val="2"/>
          </w:tcPr>
          <w:p w14:paraId="08407F16"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Volume based on number of passengers.</w:t>
            </w:r>
          </w:p>
        </w:tc>
      </w:tr>
      <w:tr w:rsidR="003177E0" w:rsidRPr="004253B5" w14:paraId="5986DD9A" w14:textId="77777777" w:rsidTr="0058687D">
        <w:tblPrEx>
          <w:tblBorders>
            <w:insideH w:val="single" w:sz="6" w:space="0" w:color="auto"/>
            <w:insideV w:val="single" w:sz="6" w:space="0" w:color="auto"/>
          </w:tblBorders>
        </w:tblPrEx>
        <w:trPr>
          <w:cantSplit/>
          <w:jc w:val="center"/>
        </w:trPr>
        <w:tc>
          <w:tcPr>
            <w:tcW w:w="1650" w:type="dxa"/>
            <w:tcBorders>
              <w:bottom w:val="single" w:sz="6" w:space="0" w:color="auto"/>
            </w:tcBorders>
          </w:tcPr>
          <w:p w14:paraId="2B48AF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Air transport</w:t>
            </w:r>
          </w:p>
        </w:tc>
        <w:tc>
          <w:tcPr>
            <w:tcW w:w="2693" w:type="dxa"/>
            <w:tcBorders>
              <w:bottom w:val="single" w:sz="6" w:space="0" w:color="auto"/>
            </w:tcBorders>
          </w:tcPr>
          <w:p w14:paraId="1E718EA6" w14:textId="77777777" w:rsidR="003177E0" w:rsidRPr="00634AE9"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Air Mauritius Ltd.</w:t>
            </w:r>
          </w:p>
        </w:tc>
        <w:tc>
          <w:tcPr>
            <w:tcW w:w="3263" w:type="dxa"/>
            <w:tcBorders>
              <w:bottom w:val="single" w:sz="6" w:space="0" w:color="auto"/>
            </w:tcBorders>
          </w:tcPr>
          <w:p w14:paraId="057A3DDD"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accounts </w:t>
            </w:r>
          </w:p>
        </w:tc>
        <w:tc>
          <w:tcPr>
            <w:tcW w:w="3113" w:type="dxa"/>
            <w:gridSpan w:val="2"/>
            <w:tcBorders>
              <w:bottom w:val="single" w:sz="6" w:space="0" w:color="auto"/>
            </w:tcBorders>
          </w:tcPr>
          <w:p w14:paraId="3DA40CAB" w14:textId="4E7D3528" w:rsidR="003177E0" w:rsidRPr="00EB4FA8" w:rsidRDefault="008C5B12"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w:t>
            </w:r>
            <w:r w:rsidRPr="004253B5">
              <w:rPr>
                <w:rFonts w:ascii="Times New Roman" w:eastAsia="Times New Roman" w:hAnsi="Times New Roman"/>
                <w:szCs w:val="24"/>
                <w:lang w:val="en-US"/>
              </w:rPr>
              <w:t>eflation using</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relevant</w:t>
            </w:r>
            <w:r>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components </w:t>
            </w:r>
            <w:r>
              <w:rPr>
                <w:rFonts w:ascii="Times New Roman" w:eastAsia="Times New Roman" w:hAnsi="Times New Roman"/>
                <w:szCs w:val="24"/>
                <w:lang w:val="en-US"/>
              </w:rPr>
              <w:t>of CPI</w:t>
            </w:r>
            <w:r w:rsidRPr="004253B5">
              <w:rPr>
                <w:rFonts w:ascii="Times New Roman" w:eastAsia="Times New Roman" w:hAnsi="Times New Roman"/>
                <w:szCs w:val="24"/>
                <w:lang w:val="en-US"/>
              </w:rPr>
              <w:t>.</w:t>
            </w:r>
          </w:p>
        </w:tc>
      </w:tr>
      <w:tr w:rsidR="003177E0" w:rsidRPr="004253B5" w14:paraId="61E881E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5F042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Services allied to transport</w:t>
            </w:r>
          </w:p>
        </w:tc>
        <w:tc>
          <w:tcPr>
            <w:tcW w:w="2693" w:type="dxa"/>
            <w:tcBorders>
              <w:top w:val="single" w:sz="6" w:space="0" w:color="auto"/>
              <w:bottom w:val="single" w:sz="6" w:space="0" w:color="auto"/>
            </w:tcBorders>
          </w:tcPr>
          <w:p w14:paraId="0D4159E0"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receipts and expenditure from Mauritius Ports Authority and Cargo Handling Corporation.</w:t>
            </w:r>
          </w:p>
          <w:p w14:paraId="1F218E17"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indicators such as tourist arrivals and number of Mauritian travelling abroad.</w:t>
            </w:r>
          </w:p>
        </w:tc>
        <w:tc>
          <w:tcPr>
            <w:tcW w:w="3263" w:type="dxa"/>
            <w:tcBorders>
              <w:top w:val="single" w:sz="6" w:space="0" w:color="auto"/>
              <w:bottom w:val="single" w:sz="6" w:space="0" w:color="auto"/>
            </w:tcBorders>
          </w:tcPr>
          <w:p w14:paraId="6554C62B"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 where available.</w:t>
            </w:r>
          </w:p>
          <w:p w14:paraId="00435A35"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For other related activities, annual estimates are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using the quarterly indicators.</w:t>
            </w:r>
          </w:p>
        </w:tc>
        <w:tc>
          <w:tcPr>
            <w:tcW w:w="3113" w:type="dxa"/>
            <w:gridSpan w:val="2"/>
            <w:tcBorders>
              <w:top w:val="single" w:sz="6" w:space="0" w:color="auto"/>
              <w:bottom w:val="single" w:sz="6" w:space="0" w:color="auto"/>
            </w:tcBorders>
          </w:tcPr>
          <w:p w14:paraId="32E85D06"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Goods: Volume based on tonnage of goods loaded and unloaded. </w:t>
            </w:r>
          </w:p>
          <w:p w14:paraId="17458ABF"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Passengers: Volume based on quarterly indicators.</w:t>
            </w:r>
          </w:p>
        </w:tc>
      </w:tr>
      <w:tr w:rsidR="003177E0" w:rsidRPr="004253B5" w14:paraId="7819EB52"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2FCC3D7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Storage</w:t>
            </w:r>
          </w:p>
        </w:tc>
        <w:tc>
          <w:tcPr>
            <w:tcW w:w="2693" w:type="dxa"/>
            <w:tcBorders>
              <w:top w:val="single" w:sz="6" w:space="0" w:color="auto"/>
              <w:bottom w:val="single" w:sz="6" w:space="0" w:color="auto"/>
            </w:tcBorders>
          </w:tcPr>
          <w:p w14:paraId="495E705E" w14:textId="77777777" w:rsidR="003177E0" w:rsidRPr="004253B5" w:rsidRDefault="003177E0" w:rsidP="0058687D">
            <w:pPr>
              <w:pStyle w:val="ListParagraph"/>
              <w:numPr>
                <w:ilvl w:val="0"/>
                <w:numId w:val="21"/>
              </w:numPr>
              <w:tabs>
                <w:tab w:val="clear" w:pos="216"/>
                <w:tab w:val="left" w:pos="229"/>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4709AF33" w14:textId="77777777" w:rsidR="003177E0" w:rsidRPr="004253B5" w:rsidRDefault="003177E0" w:rsidP="0058687D">
            <w:pPr>
              <w:numPr>
                <w:ilvl w:val="0"/>
                <w:numId w:val="2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the 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59930454" w14:textId="77777777" w:rsidR="003177E0" w:rsidRPr="004253B5" w:rsidRDefault="003177E0" w:rsidP="0058687D">
            <w:pPr>
              <w:numPr>
                <w:ilvl w:val="0"/>
                <w:numId w:val="21"/>
              </w:numPr>
              <w:tabs>
                <w:tab w:val="clear" w:pos="216"/>
                <w:tab w:val="left" w:pos="232"/>
              </w:tabs>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Changes in quarterly export of sugar and relevant components deflated by overall CPI</w:t>
            </w:r>
          </w:p>
        </w:tc>
      </w:tr>
      <w:tr w:rsidR="003177E0" w:rsidRPr="004253B5" w14:paraId="76397F3A"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15659CB5"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I. Accommodation and food service activities</w:t>
            </w:r>
          </w:p>
        </w:tc>
      </w:tr>
      <w:tr w:rsidR="003177E0" w:rsidRPr="004253B5" w14:paraId="714BEAB8"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16D2CC1C"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Accommodation and food service activities</w:t>
            </w:r>
          </w:p>
        </w:tc>
        <w:tc>
          <w:tcPr>
            <w:tcW w:w="2693" w:type="dxa"/>
            <w:tcBorders>
              <w:top w:val="single" w:sz="6" w:space="0" w:color="auto"/>
              <w:bottom w:val="single" w:sz="6" w:space="0" w:color="auto"/>
            </w:tcBorders>
          </w:tcPr>
          <w:p w14:paraId="2FED0159"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tourist arrivals </w:t>
            </w:r>
            <w:r>
              <w:rPr>
                <w:rFonts w:ascii="Times New Roman" w:eastAsia="Times New Roman" w:hAnsi="Times New Roman"/>
                <w:szCs w:val="24"/>
                <w:lang w:val="en-US"/>
              </w:rPr>
              <w:t xml:space="preserve">and passenger traffic </w:t>
            </w:r>
            <w:r w:rsidRPr="004253B5">
              <w:rPr>
                <w:rFonts w:ascii="Times New Roman" w:eastAsia="Times New Roman" w:hAnsi="Times New Roman"/>
                <w:szCs w:val="24"/>
                <w:lang w:val="en-US"/>
              </w:rPr>
              <w:t>from Tourism statistics</w:t>
            </w:r>
            <w:r>
              <w:rPr>
                <w:rFonts w:ascii="Times New Roman" w:eastAsia="Times New Roman" w:hAnsi="Times New Roman"/>
                <w:szCs w:val="24"/>
                <w:lang w:val="en-US"/>
              </w:rPr>
              <w:t>.</w:t>
            </w:r>
          </w:p>
          <w:p w14:paraId="32598F7F"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tourist earnings from Bank of Mauritius</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w:t>
            </w:r>
          </w:p>
          <w:p w14:paraId="30E2BEA6"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on food and accommodation by tourists from Survey of </w:t>
            </w:r>
            <w:r>
              <w:rPr>
                <w:rFonts w:ascii="Times New Roman" w:eastAsia="Times New Roman" w:hAnsi="Times New Roman"/>
                <w:szCs w:val="24"/>
                <w:lang w:val="en-US"/>
              </w:rPr>
              <w:t>Inbound Tourism.</w:t>
            </w:r>
          </w:p>
        </w:tc>
        <w:tc>
          <w:tcPr>
            <w:tcW w:w="3263" w:type="dxa"/>
            <w:tcBorders>
              <w:top w:val="single" w:sz="6" w:space="0" w:color="auto"/>
              <w:bottom w:val="single" w:sz="6" w:space="0" w:color="auto"/>
            </w:tcBorders>
          </w:tcPr>
          <w:p w14:paraId="05B8B309" w14:textId="7312E074"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tourist component </w:t>
            </w:r>
            <w:r w:rsidRPr="004253B5">
              <w:rPr>
                <w:rFonts w:ascii="Times New Roman" w:eastAsia="Times New Roman" w:hAnsi="Times New Roman"/>
                <w:szCs w:val="24"/>
                <w:lang w:val="en-US"/>
              </w:rPr>
              <w:t xml:space="preserve">derived from quarterly tourist earnings and </w:t>
            </w:r>
            <w:r>
              <w:rPr>
                <w:rFonts w:ascii="Times New Roman" w:eastAsia="Times New Roman" w:hAnsi="Times New Roman"/>
                <w:szCs w:val="24"/>
                <w:lang w:val="en-US"/>
              </w:rPr>
              <w:t>proportion of output sold to tourists as observed in 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p>
          <w:p w14:paraId="19B913BF" w14:textId="1DBD1DF0" w:rsidR="003177E0"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For output of local component, annual estimates are </w:t>
            </w:r>
            <w:proofErr w:type="spellStart"/>
            <w:r>
              <w:rPr>
                <w:rFonts w:ascii="Times New Roman" w:eastAsia="Times New Roman" w:hAnsi="Times New Roman"/>
                <w:szCs w:val="24"/>
                <w:lang w:val="en-US"/>
              </w:rPr>
              <w:t>quarterlised</w:t>
            </w:r>
            <w:proofErr w:type="spellEnd"/>
            <w:r>
              <w:rPr>
                <w:rFonts w:ascii="Times New Roman" w:eastAsia="Times New Roman" w:hAnsi="Times New Roman"/>
                <w:szCs w:val="24"/>
                <w:lang w:val="en-US"/>
              </w:rPr>
              <w:t xml:space="preserve"> using the spending pattern observed in the 201</w:t>
            </w:r>
            <w:r w:rsidR="00644767">
              <w:rPr>
                <w:rFonts w:ascii="Times New Roman" w:eastAsia="Times New Roman" w:hAnsi="Times New Roman"/>
                <w:szCs w:val="24"/>
                <w:lang w:val="en-US"/>
              </w:rPr>
              <w:t>7</w:t>
            </w:r>
            <w:r>
              <w:rPr>
                <w:rFonts w:ascii="Times New Roman" w:eastAsia="Times New Roman" w:hAnsi="Times New Roman"/>
                <w:szCs w:val="24"/>
                <w:lang w:val="en-US"/>
              </w:rPr>
              <w:t xml:space="preserve"> Household Budget Survey. </w:t>
            </w:r>
          </w:p>
          <w:p w14:paraId="6C37580E"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Output for food contractors serving airplanes is derived from change in number of passengers departing by air and change in the CPI component measuring price of meals in bars and restaurants. </w:t>
            </w:r>
            <w:r w:rsidRPr="004253B5">
              <w:rPr>
                <w:rFonts w:ascii="Times New Roman" w:eastAsia="Times New Roman" w:hAnsi="Times New Roman"/>
                <w:szCs w:val="24"/>
                <w:lang w:val="en-US"/>
              </w:rPr>
              <w:t xml:space="preserve">  </w:t>
            </w:r>
          </w:p>
          <w:p w14:paraId="223A10D7" w14:textId="5FC208A6"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is estimated using the production structure obtained from </w:t>
            </w:r>
            <w:r>
              <w:rPr>
                <w:rFonts w:ascii="Times New Roman" w:eastAsia="Times New Roman" w:hAnsi="Times New Roman"/>
                <w:szCs w:val="24"/>
                <w:lang w:val="en-US"/>
              </w:rPr>
              <w:t>201</w:t>
            </w:r>
            <w:r w:rsidR="00313E74">
              <w:rPr>
                <w:rFonts w:ascii="Times New Roman" w:eastAsia="Times New Roman" w:hAnsi="Times New Roman"/>
                <w:szCs w:val="24"/>
                <w:lang w:val="en-US"/>
              </w:rPr>
              <w:t>8</w:t>
            </w:r>
            <w:r>
              <w:rPr>
                <w:rFonts w:ascii="Times New Roman" w:eastAsia="Times New Roman" w:hAnsi="Times New Roman"/>
                <w:szCs w:val="24"/>
                <w:lang w:val="en-US"/>
              </w:rPr>
              <w:t xml:space="preserve"> CEA</w:t>
            </w:r>
            <w:r w:rsidRPr="004253B5">
              <w:rPr>
                <w:rFonts w:ascii="Times New Roman" w:eastAsia="Times New Roman" w:hAnsi="Times New Roman"/>
                <w:szCs w:val="24"/>
                <w:lang w:val="en-US"/>
              </w:rPr>
              <w:t>.</w:t>
            </w:r>
          </w:p>
        </w:tc>
        <w:tc>
          <w:tcPr>
            <w:tcW w:w="3113" w:type="dxa"/>
            <w:gridSpan w:val="2"/>
            <w:tcBorders>
              <w:top w:val="single" w:sz="6" w:space="0" w:color="auto"/>
              <w:bottom w:val="single" w:sz="6" w:space="0" w:color="auto"/>
            </w:tcBorders>
          </w:tcPr>
          <w:p w14:paraId="28A4D668"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Volume based on number of tourist arrivals for </w:t>
            </w:r>
            <w:r>
              <w:rPr>
                <w:rFonts w:ascii="Times New Roman" w:eastAsia="Times New Roman" w:hAnsi="Times New Roman"/>
                <w:szCs w:val="24"/>
                <w:lang w:val="en-US"/>
              </w:rPr>
              <w:t>tourist component.</w:t>
            </w:r>
          </w:p>
          <w:p w14:paraId="56C22680" w14:textId="77777777" w:rsidR="003177E0" w:rsidRPr="004253B5" w:rsidRDefault="003177E0" w:rsidP="0058687D">
            <w:pPr>
              <w:numPr>
                <w:ilvl w:val="0"/>
                <w:numId w:val="17"/>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Local component and f</w:t>
            </w:r>
            <w:r w:rsidRPr="004253B5">
              <w:rPr>
                <w:rFonts w:ascii="Times New Roman" w:eastAsia="Times New Roman" w:hAnsi="Times New Roman"/>
                <w:szCs w:val="24"/>
                <w:lang w:val="en-US"/>
              </w:rPr>
              <w:t xml:space="preserve">ood </w:t>
            </w:r>
            <w:r>
              <w:rPr>
                <w:rFonts w:ascii="Times New Roman" w:eastAsia="Times New Roman" w:hAnsi="Times New Roman"/>
                <w:szCs w:val="24"/>
                <w:lang w:val="en-US"/>
              </w:rPr>
              <w:t xml:space="preserve">contractors are </w:t>
            </w:r>
            <w:r w:rsidRPr="004253B5">
              <w:rPr>
                <w:rFonts w:ascii="Times New Roman" w:eastAsia="Times New Roman" w:hAnsi="Times New Roman"/>
                <w:szCs w:val="24"/>
                <w:lang w:val="en-US"/>
              </w:rPr>
              <w:t xml:space="preserve">deflated by CPI component measuring price of meals in bars and restaurants. </w:t>
            </w:r>
          </w:p>
        </w:tc>
      </w:tr>
      <w:tr w:rsidR="003177E0" w:rsidRPr="004253B5" w14:paraId="10579499"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0878761B" w14:textId="77777777"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J. Information and communication</w:t>
            </w:r>
          </w:p>
        </w:tc>
      </w:tr>
      <w:tr w:rsidR="003177E0" w:rsidRPr="004253B5" w14:paraId="7841DC70"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AEC5A32" w14:textId="77777777" w:rsidR="003177E0" w:rsidRPr="004253B5" w:rsidRDefault="003177E0" w:rsidP="0058687D">
            <w:pPr>
              <w:spacing w:after="0" w:line="240" w:lineRule="auto"/>
              <w:ind w:left="-27" w:firstLine="6"/>
              <w:jc w:val="both"/>
              <w:rPr>
                <w:rFonts w:ascii="Times New Roman" w:eastAsia="Times New Roman" w:hAnsi="Times New Roman"/>
                <w:szCs w:val="24"/>
                <w:lang w:val="en-US"/>
              </w:rPr>
            </w:pPr>
            <w:r w:rsidRPr="004253B5">
              <w:rPr>
                <w:rFonts w:ascii="Times New Roman" w:eastAsia="Times New Roman" w:hAnsi="Times New Roman"/>
                <w:szCs w:val="24"/>
                <w:lang w:val="en-US"/>
              </w:rPr>
              <w:t>Telecommunication services</w:t>
            </w:r>
          </w:p>
        </w:tc>
        <w:tc>
          <w:tcPr>
            <w:tcW w:w="2693" w:type="dxa"/>
            <w:tcBorders>
              <w:top w:val="single" w:sz="6" w:space="0" w:color="auto"/>
              <w:bottom w:val="single" w:sz="6" w:space="0" w:color="auto"/>
            </w:tcBorders>
          </w:tcPr>
          <w:p w14:paraId="284CF4E0"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top w:val="single" w:sz="6" w:space="0" w:color="auto"/>
              <w:bottom w:val="single" w:sz="6" w:space="0" w:color="auto"/>
            </w:tcBorders>
          </w:tcPr>
          <w:p w14:paraId="2B5AFE82"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5CE27F7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changes in the price of telephone calls.</w:t>
            </w:r>
          </w:p>
        </w:tc>
      </w:tr>
      <w:tr w:rsidR="003177E0" w:rsidRPr="004253B5" w14:paraId="391DC279"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bottom w:val="single" w:sz="6" w:space="0" w:color="auto"/>
            </w:tcBorders>
          </w:tcPr>
          <w:p w14:paraId="0D3F1446" w14:textId="23F82161"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Activities related to information and communication</w:t>
            </w:r>
          </w:p>
        </w:tc>
        <w:tc>
          <w:tcPr>
            <w:tcW w:w="2693" w:type="dxa"/>
            <w:tcBorders>
              <w:top w:val="single" w:sz="6" w:space="0" w:color="auto"/>
              <w:bottom w:val="single" w:sz="6" w:space="0" w:color="auto"/>
            </w:tcBorders>
          </w:tcPr>
          <w:p w14:paraId="47F96878"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p>
        </w:tc>
        <w:tc>
          <w:tcPr>
            <w:tcW w:w="3263" w:type="dxa"/>
            <w:tcBorders>
              <w:top w:val="single" w:sz="6" w:space="0" w:color="auto"/>
              <w:bottom w:val="single" w:sz="6" w:space="0" w:color="auto"/>
            </w:tcBorders>
          </w:tcPr>
          <w:p w14:paraId="46298F6C"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Value added compiled from quarterly VAT </w:t>
            </w:r>
            <w:r>
              <w:rPr>
                <w:rFonts w:ascii="Times New Roman" w:eastAsia="Times New Roman" w:hAnsi="Times New Roman"/>
                <w:szCs w:val="24"/>
                <w:lang w:val="en-US"/>
              </w:rPr>
              <w:t>data</w:t>
            </w:r>
            <w:r w:rsidRPr="004253B5">
              <w:rPr>
                <w:rFonts w:ascii="Times New Roman" w:eastAsia="Times New Roman" w:hAnsi="Times New Roman"/>
                <w:szCs w:val="24"/>
                <w:lang w:val="en-US"/>
              </w:rPr>
              <w:t xml:space="preserve">. </w:t>
            </w:r>
          </w:p>
        </w:tc>
        <w:tc>
          <w:tcPr>
            <w:tcW w:w="3113" w:type="dxa"/>
            <w:gridSpan w:val="2"/>
            <w:tcBorders>
              <w:top w:val="single" w:sz="6" w:space="0" w:color="auto"/>
              <w:bottom w:val="single" w:sz="6" w:space="0" w:color="auto"/>
            </w:tcBorders>
          </w:tcPr>
          <w:p w14:paraId="436FF52E"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overall </w:t>
            </w:r>
            <w:r>
              <w:rPr>
                <w:rFonts w:ascii="Times New Roman" w:eastAsia="Times New Roman" w:hAnsi="Times New Roman"/>
                <w:szCs w:val="24"/>
                <w:lang w:val="en-US"/>
              </w:rPr>
              <w:t>CPI</w:t>
            </w:r>
            <w:r w:rsidRPr="004253B5">
              <w:rPr>
                <w:rFonts w:ascii="Times New Roman" w:eastAsia="Times New Roman" w:hAnsi="Times New Roman"/>
                <w:szCs w:val="24"/>
                <w:lang w:val="en-US"/>
              </w:rPr>
              <w:t>.</w:t>
            </w:r>
          </w:p>
        </w:tc>
      </w:tr>
      <w:tr w:rsidR="003177E0" w:rsidRPr="004253B5" w14:paraId="1C882D52" w14:textId="77777777" w:rsidTr="0058687D">
        <w:tblPrEx>
          <w:tblBorders>
            <w:insideH w:val="single" w:sz="6" w:space="0" w:color="auto"/>
            <w:insideV w:val="single" w:sz="6" w:space="0" w:color="auto"/>
          </w:tblBorders>
        </w:tblPrEx>
        <w:trPr>
          <w:cantSplit/>
          <w:trHeight w:val="84"/>
          <w:jc w:val="center"/>
        </w:trPr>
        <w:tc>
          <w:tcPr>
            <w:tcW w:w="10719" w:type="dxa"/>
            <w:gridSpan w:val="5"/>
            <w:tcBorders>
              <w:top w:val="single" w:sz="6" w:space="0" w:color="auto"/>
              <w:bottom w:val="single" w:sz="6" w:space="0" w:color="auto"/>
            </w:tcBorders>
            <w:shd w:val="clear" w:color="auto" w:fill="D9D9D9"/>
          </w:tcPr>
          <w:p w14:paraId="45BA70DA"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K. Financial and insurance activities</w:t>
            </w:r>
          </w:p>
        </w:tc>
      </w:tr>
      <w:tr w:rsidR="003177E0" w:rsidRPr="004253B5" w14:paraId="125C0837" w14:textId="77777777" w:rsidTr="0058687D">
        <w:tblPrEx>
          <w:tblBorders>
            <w:insideH w:val="single" w:sz="6" w:space="0" w:color="auto"/>
            <w:insideV w:val="single" w:sz="6" w:space="0" w:color="auto"/>
          </w:tblBorders>
        </w:tblPrEx>
        <w:trPr>
          <w:cantSplit/>
          <w:trHeight w:val="4447"/>
          <w:jc w:val="center"/>
        </w:trPr>
        <w:tc>
          <w:tcPr>
            <w:tcW w:w="1650" w:type="dxa"/>
            <w:tcBorders>
              <w:top w:val="single" w:sz="6" w:space="0" w:color="auto"/>
              <w:bottom w:val="single" w:sz="6" w:space="0" w:color="auto"/>
            </w:tcBorders>
          </w:tcPr>
          <w:p w14:paraId="2F3F594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Financial and insurance activities</w:t>
            </w:r>
          </w:p>
        </w:tc>
        <w:tc>
          <w:tcPr>
            <w:tcW w:w="2693" w:type="dxa"/>
            <w:tcBorders>
              <w:top w:val="single" w:sz="6" w:space="0" w:color="auto"/>
              <w:bottom w:val="single" w:sz="6" w:space="0" w:color="auto"/>
            </w:tcBorders>
          </w:tcPr>
          <w:p w14:paraId="31E1024D" w14:textId="00FAF161" w:rsidR="003177E0"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surveys </w:t>
            </w:r>
            <w:r w:rsidR="00A40AFA" w:rsidRPr="004253B5">
              <w:rPr>
                <w:rFonts w:ascii="Times New Roman" w:eastAsia="Times New Roman" w:hAnsi="Times New Roman"/>
                <w:szCs w:val="24"/>
                <w:lang w:val="en-US"/>
              </w:rPr>
              <w:t>of banks</w:t>
            </w:r>
            <w:r w:rsidRPr="004253B5">
              <w:rPr>
                <w:rFonts w:ascii="Times New Roman" w:eastAsia="Times New Roman" w:hAnsi="Times New Roman"/>
                <w:szCs w:val="24"/>
                <w:lang w:val="en-US"/>
              </w:rPr>
              <w:t>, insurance companies and other financial institutions</w:t>
            </w:r>
          </w:p>
          <w:p w14:paraId="2C503B34" w14:textId="2C2E09EB" w:rsidR="00A40AFA" w:rsidRPr="004253B5" w:rsidRDefault="00A40AFA" w:rsidP="0058687D">
            <w:pPr>
              <w:numPr>
                <w:ilvl w:val="0"/>
                <w:numId w:val="24"/>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Quarterly VAT data</w:t>
            </w:r>
          </w:p>
        </w:tc>
        <w:tc>
          <w:tcPr>
            <w:tcW w:w="3263" w:type="dxa"/>
            <w:tcBorders>
              <w:top w:val="single" w:sz="6" w:space="0" w:color="auto"/>
              <w:bottom w:val="single" w:sz="6" w:space="0" w:color="auto"/>
            </w:tcBorders>
          </w:tcPr>
          <w:p w14:paraId="1CFC07E5" w14:textId="77777777" w:rsidR="003177E0" w:rsidRPr="004253B5" w:rsidRDefault="003177E0" w:rsidP="0058687D">
            <w:pPr>
              <w:numPr>
                <w:ilvl w:val="0"/>
                <w:numId w:val="2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compiled from quarterly accounts.</w:t>
            </w:r>
          </w:p>
        </w:tc>
        <w:tc>
          <w:tcPr>
            <w:tcW w:w="3113" w:type="dxa"/>
            <w:gridSpan w:val="2"/>
            <w:tcBorders>
              <w:top w:val="single" w:sz="6" w:space="0" w:color="auto"/>
              <w:bottom w:val="single" w:sz="6" w:space="0" w:color="auto"/>
            </w:tcBorders>
          </w:tcPr>
          <w:p w14:paraId="0BC7930B"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Central Bank: Deflation using a wage rate index.</w:t>
            </w:r>
          </w:p>
          <w:p w14:paraId="0260BEFA"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Banks and similar institutions: Deflation using changes in “FISIM rate” and inflation rate. </w:t>
            </w:r>
          </w:p>
          <w:p w14:paraId="548B3637"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 xml:space="preserve">Insurance: Volume based on changes in the number of life and non-life insurance policies. </w:t>
            </w:r>
          </w:p>
          <w:p w14:paraId="7BABBB10" w14:textId="77777777" w:rsidR="003177E0" w:rsidRPr="000D6AF6"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Financial leasing and other credit granting institutions: Price indicator in line with deflator of commercial banks.</w:t>
            </w:r>
          </w:p>
          <w:p w14:paraId="063458EA" w14:textId="77777777" w:rsidR="003177E0" w:rsidRDefault="003177E0" w:rsidP="0058687D">
            <w:pPr>
              <w:numPr>
                <w:ilvl w:val="0"/>
                <w:numId w:val="24"/>
              </w:numPr>
              <w:spacing w:after="0" w:line="240" w:lineRule="auto"/>
              <w:ind w:right="28"/>
              <w:jc w:val="both"/>
              <w:rPr>
                <w:rFonts w:ascii="Times New Roman" w:hAnsi="Times New Roman"/>
              </w:rPr>
            </w:pPr>
            <w:r w:rsidRPr="000D6AF6">
              <w:rPr>
                <w:rFonts w:ascii="Times New Roman" w:hAnsi="Times New Roman"/>
              </w:rPr>
              <w:t>Other financial institutions: Deflation using changes in exchange rates and local inflation rate.</w:t>
            </w:r>
          </w:p>
          <w:p w14:paraId="2143C57A" w14:textId="77777777" w:rsidR="00454636" w:rsidRDefault="00454636" w:rsidP="00454636">
            <w:pPr>
              <w:spacing w:after="0" w:line="240" w:lineRule="auto"/>
              <w:ind w:left="216" w:right="28"/>
              <w:jc w:val="both"/>
              <w:rPr>
                <w:rFonts w:ascii="Times New Roman" w:hAnsi="Times New Roman"/>
              </w:rPr>
            </w:pPr>
          </w:p>
          <w:p w14:paraId="3FFBA333" w14:textId="77777777" w:rsidR="00454636" w:rsidRDefault="00454636" w:rsidP="00454636">
            <w:pPr>
              <w:spacing w:after="0" w:line="240" w:lineRule="auto"/>
              <w:ind w:left="216" w:right="28"/>
              <w:jc w:val="both"/>
              <w:rPr>
                <w:rFonts w:ascii="Times New Roman" w:hAnsi="Times New Roman"/>
              </w:rPr>
            </w:pPr>
          </w:p>
          <w:p w14:paraId="33B0B91D" w14:textId="77777777" w:rsidR="00454636" w:rsidRDefault="00454636" w:rsidP="00454636">
            <w:pPr>
              <w:spacing w:after="0" w:line="240" w:lineRule="auto"/>
              <w:ind w:left="216" w:right="28"/>
              <w:jc w:val="both"/>
              <w:rPr>
                <w:rFonts w:ascii="Times New Roman" w:hAnsi="Times New Roman"/>
              </w:rPr>
            </w:pPr>
          </w:p>
          <w:p w14:paraId="1DBA625B" w14:textId="77777777" w:rsidR="00454636" w:rsidRPr="003177E0" w:rsidRDefault="00454636" w:rsidP="00454636">
            <w:pPr>
              <w:spacing w:after="0" w:line="240" w:lineRule="auto"/>
              <w:ind w:left="216" w:right="28"/>
              <w:jc w:val="both"/>
              <w:rPr>
                <w:rFonts w:ascii="Times New Roman" w:hAnsi="Times New Roman"/>
              </w:rPr>
            </w:pPr>
          </w:p>
        </w:tc>
      </w:tr>
      <w:tr w:rsidR="003177E0" w:rsidRPr="004253B5" w14:paraId="62BB42E3" w14:textId="77777777" w:rsidTr="0058687D">
        <w:tblPrEx>
          <w:tblBorders>
            <w:insideH w:val="single" w:sz="6" w:space="0" w:color="auto"/>
            <w:insideV w:val="single" w:sz="6" w:space="0" w:color="auto"/>
          </w:tblBorders>
        </w:tblPrEx>
        <w:trPr>
          <w:cantSplit/>
          <w:trHeight w:val="65"/>
          <w:jc w:val="center"/>
        </w:trPr>
        <w:tc>
          <w:tcPr>
            <w:tcW w:w="10719" w:type="dxa"/>
            <w:gridSpan w:val="5"/>
            <w:tcBorders>
              <w:top w:val="single" w:sz="6" w:space="0" w:color="auto"/>
              <w:bottom w:val="single" w:sz="6" w:space="0" w:color="auto"/>
            </w:tcBorders>
            <w:shd w:val="clear" w:color="auto" w:fill="D9D9D9"/>
          </w:tcPr>
          <w:p w14:paraId="6FB3E09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t xml:space="preserve">L. Real </w:t>
            </w:r>
            <w:r>
              <w:rPr>
                <w:rFonts w:ascii="Times New Roman" w:eastAsia="Times New Roman" w:hAnsi="Times New Roman"/>
                <w:b/>
                <w:szCs w:val="24"/>
                <w:lang w:val="en-US"/>
              </w:rPr>
              <w:t>e</w:t>
            </w:r>
            <w:r w:rsidRPr="004253B5">
              <w:rPr>
                <w:rFonts w:ascii="Times New Roman" w:eastAsia="Times New Roman" w:hAnsi="Times New Roman"/>
                <w:b/>
                <w:szCs w:val="24"/>
                <w:lang w:val="en-US"/>
              </w:rPr>
              <w:t>state activities</w:t>
            </w:r>
          </w:p>
        </w:tc>
      </w:tr>
      <w:tr w:rsidR="003177E0" w:rsidRPr="004253B5" w14:paraId="2748D226" w14:textId="77777777" w:rsidTr="0058687D">
        <w:tblPrEx>
          <w:tblBorders>
            <w:insideH w:val="single" w:sz="6" w:space="0" w:color="auto"/>
            <w:insideV w:val="single" w:sz="6" w:space="0" w:color="auto"/>
          </w:tblBorders>
        </w:tblPrEx>
        <w:trPr>
          <w:cantSplit/>
          <w:jc w:val="center"/>
        </w:trPr>
        <w:tc>
          <w:tcPr>
            <w:tcW w:w="1650" w:type="dxa"/>
            <w:tcBorders>
              <w:top w:val="single" w:sz="6" w:space="0" w:color="auto"/>
            </w:tcBorders>
          </w:tcPr>
          <w:p w14:paraId="4501F66D"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Ownership of dwellings</w:t>
            </w:r>
          </w:p>
        </w:tc>
        <w:tc>
          <w:tcPr>
            <w:tcW w:w="2693" w:type="dxa"/>
            <w:tcBorders>
              <w:top w:val="single" w:sz="6" w:space="0" w:color="auto"/>
            </w:tcBorders>
          </w:tcPr>
          <w:p w14:paraId="77578604"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housing units from Housing Census </w:t>
            </w:r>
          </w:p>
          <w:p w14:paraId="73BD4029"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Household budget surveys</w:t>
            </w:r>
          </w:p>
          <w:p w14:paraId="3E5356B6"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Interest on housing loans from the Bank of Mauritius.</w:t>
            </w:r>
          </w:p>
          <w:p w14:paraId="1E325AA9"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Stock of residential building</w:t>
            </w:r>
          </w:p>
          <w:p w14:paraId="0CCCD75F" w14:textId="77777777" w:rsidR="003177E0"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Building permits from local authorities</w:t>
            </w:r>
          </w:p>
          <w:p w14:paraId="296F000D" w14:textId="77777777" w:rsidR="003177E0" w:rsidRPr="004253B5" w:rsidRDefault="003177E0" w:rsidP="0058687D">
            <w:pPr>
              <w:ind w:firstLine="720"/>
              <w:rPr>
                <w:rFonts w:ascii="Times New Roman" w:eastAsia="Times New Roman" w:hAnsi="Times New Roman"/>
                <w:szCs w:val="24"/>
                <w:lang w:val="en-US"/>
              </w:rPr>
            </w:pPr>
          </w:p>
        </w:tc>
        <w:tc>
          <w:tcPr>
            <w:tcW w:w="3263" w:type="dxa"/>
            <w:tcBorders>
              <w:top w:val="single" w:sz="6" w:space="0" w:color="auto"/>
            </w:tcBorders>
          </w:tcPr>
          <w:p w14:paraId="2261B077"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is compiled annually according to the User Cost Method based on:</w:t>
            </w:r>
          </w:p>
          <w:p w14:paraId="18BB927C"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an operating surplus calculated on interest rate on housing loans, </w:t>
            </w:r>
          </w:p>
          <w:p w14:paraId="6EEF5CEF" w14:textId="77777777" w:rsidR="003177E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sidRPr="00D74CA0">
              <w:rPr>
                <w:rFonts w:ascii="Times New Roman" w:eastAsia="Times New Roman" w:hAnsi="Times New Roman"/>
                <w:szCs w:val="24"/>
                <w:lang w:val="en-US"/>
              </w:rPr>
              <w:t>taxes p</w:t>
            </w:r>
            <w:r>
              <w:rPr>
                <w:rFonts w:ascii="Times New Roman" w:eastAsia="Times New Roman" w:hAnsi="Times New Roman"/>
                <w:szCs w:val="24"/>
                <w:lang w:val="en-US"/>
              </w:rPr>
              <w:t>aid on dwellings and</w:t>
            </w:r>
          </w:p>
          <w:p w14:paraId="6FCD3E5F" w14:textId="77777777" w:rsidR="003177E0" w:rsidRPr="00D74CA0" w:rsidRDefault="003177E0" w:rsidP="0058687D">
            <w:pPr>
              <w:pStyle w:val="ListParagraph"/>
              <w:numPr>
                <w:ilvl w:val="0"/>
                <w:numId w:val="40"/>
              </w:numPr>
              <w:spacing w:after="0" w:line="240" w:lineRule="auto"/>
              <w:ind w:left="469" w:right="28" w:hanging="283"/>
              <w:jc w:val="both"/>
              <w:rPr>
                <w:rFonts w:ascii="Times New Roman" w:eastAsia="Times New Roman" w:hAnsi="Times New Roman"/>
                <w:szCs w:val="24"/>
                <w:lang w:val="en-US"/>
              </w:rPr>
            </w:pPr>
            <w:r>
              <w:rPr>
                <w:rFonts w:ascii="Times New Roman" w:eastAsia="Times New Roman" w:hAnsi="Times New Roman"/>
                <w:szCs w:val="24"/>
                <w:lang w:val="en-US"/>
              </w:rPr>
              <w:t>c</w:t>
            </w:r>
            <w:r w:rsidRPr="00D74CA0">
              <w:rPr>
                <w:rFonts w:ascii="Times New Roman" w:eastAsia="Times New Roman" w:hAnsi="Times New Roman"/>
                <w:szCs w:val="24"/>
                <w:lang w:val="en-US"/>
              </w:rPr>
              <w:t xml:space="preserve">onsumption of fixed capital (depreciation of the building). </w:t>
            </w:r>
          </w:p>
          <w:p w14:paraId="2FDEC4F7" w14:textId="77777777" w:rsidR="003177E0" w:rsidRPr="00D74CA0" w:rsidRDefault="003177E0" w:rsidP="0058687D">
            <w:pPr>
              <w:pStyle w:val="ListParagraph"/>
              <w:numPr>
                <w:ilvl w:val="0"/>
                <w:numId w:val="26"/>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The annual figure is then </w:t>
            </w:r>
            <w:proofErr w:type="spellStart"/>
            <w:r w:rsidRPr="00D74CA0">
              <w:rPr>
                <w:rFonts w:ascii="Times New Roman" w:eastAsia="Times New Roman" w:hAnsi="Times New Roman"/>
                <w:szCs w:val="24"/>
                <w:lang w:val="en-US"/>
              </w:rPr>
              <w:t>quarterlised</w:t>
            </w:r>
            <w:proofErr w:type="spellEnd"/>
            <w:r w:rsidRPr="00D74CA0">
              <w:rPr>
                <w:rFonts w:ascii="Times New Roman" w:eastAsia="Times New Roman" w:hAnsi="Times New Roman"/>
                <w:szCs w:val="24"/>
                <w:lang w:val="en-US"/>
              </w:rPr>
              <w:t>.</w:t>
            </w:r>
          </w:p>
        </w:tc>
        <w:tc>
          <w:tcPr>
            <w:tcW w:w="3113" w:type="dxa"/>
            <w:gridSpan w:val="2"/>
            <w:tcBorders>
              <w:top w:val="single" w:sz="6" w:space="0" w:color="auto"/>
            </w:tcBorders>
          </w:tcPr>
          <w:p w14:paraId="1036F45A" w14:textId="77777777" w:rsidR="003177E0" w:rsidRPr="004253B5" w:rsidRDefault="003177E0" w:rsidP="0058687D">
            <w:pPr>
              <w:numPr>
                <w:ilvl w:val="0"/>
                <w:numId w:val="26"/>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 xml:space="preserve">Volume based on net stock of </w:t>
            </w:r>
            <w:r w:rsidRPr="004253B5">
              <w:rPr>
                <w:rFonts w:ascii="Times New Roman" w:eastAsia="Times New Roman" w:hAnsi="Times New Roman"/>
                <w:szCs w:val="24"/>
                <w:lang w:val="en-US"/>
              </w:rPr>
              <w:t>residential building</w:t>
            </w:r>
            <w:r>
              <w:rPr>
                <w:rFonts w:ascii="Times New Roman" w:eastAsia="Times New Roman" w:hAnsi="Times New Roman"/>
                <w:szCs w:val="24"/>
                <w:lang w:val="en-US"/>
              </w:rPr>
              <w:t>s</w:t>
            </w:r>
            <w:r w:rsidRPr="004253B5">
              <w:rPr>
                <w:rFonts w:ascii="Times New Roman" w:eastAsia="Times New Roman" w:hAnsi="Times New Roman"/>
                <w:szCs w:val="24"/>
                <w:lang w:val="en-US"/>
              </w:rPr>
              <w:t>.</w:t>
            </w:r>
          </w:p>
        </w:tc>
      </w:tr>
      <w:tr w:rsidR="003177E0" w:rsidRPr="004253B5" w14:paraId="76BA8322" w14:textId="77777777" w:rsidTr="0058687D">
        <w:tblPrEx>
          <w:tblBorders>
            <w:insideH w:val="single" w:sz="6" w:space="0" w:color="auto"/>
            <w:insideV w:val="single" w:sz="6" w:space="0" w:color="auto"/>
          </w:tblBorders>
        </w:tblPrEx>
        <w:trPr>
          <w:cantSplit/>
          <w:trHeight w:val="1065"/>
          <w:jc w:val="center"/>
        </w:trPr>
        <w:tc>
          <w:tcPr>
            <w:tcW w:w="1650" w:type="dxa"/>
            <w:tcBorders>
              <w:bottom w:val="single" w:sz="4" w:space="0" w:color="auto"/>
            </w:tcBorders>
          </w:tcPr>
          <w:p w14:paraId="2FB2D126" w14:textId="01255C56"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Other r</w:t>
            </w:r>
            <w:r w:rsidRPr="004253B5">
              <w:rPr>
                <w:rFonts w:ascii="Times New Roman" w:eastAsia="Times New Roman" w:hAnsi="Times New Roman"/>
                <w:szCs w:val="24"/>
                <w:lang w:val="en-US"/>
              </w:rPr>
              <w:t>eal estate activities</w:t>
            </w:r>
          </w:p>
        </w:tc>
        <w:tc>
          <w:tcPr>
            <w:tcW w:w="2693" w:type="dxa"/>
            <w:tcBorders>
              <w:bottom w:val="single" w:sz="4" w:space="0" w:color="auto"/>
            </w:tcBorders>
          </w:tcPr>
          <w:p w14:paraId="7A0E745F"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tc>
        <w:tc>
          <w:tcPr>
            <w:tcW w:w="3263" w:type="dxa"/>
            <w:tcBorders>
              <w:bottom w:val="single" w:sz="4" w:space="0" w:color="auto"/>
            </w:tcBorders>
          </w:tcPr>
          <w:p w14:paraId="17934AFD" w14:textId="4567075E" w:rsidR="006C6D43" w:rsidRPr="00A40AFA" w:rsidRDefault="003177E0" w:rsidP="006C6D43">
            <w:pPr>
              <w:pStyle w:val="ListParagraph"/>
              <w:numPr>
                <w:ilvl w:val="0"/>
                <w:numId w:val="36"/>
              </w:numPr>
              <w:spacing w:after="120" w:line="240" w:lineRule="auto"/>
              <w:jc w:val="both"/>
              <w:rPr>
                <w:rFonts w:ascii="Times New Roman" w:eastAsia="Times New Roman" w:hAnsi="Times New Roman"/>
                <w:lang w:val="x-none" w:eastAsia="x-none"/>
              </w:rPr>
            </w:pPr>
            <w:r w:rsidRPr="004253B5">
              <w:rPr>
                <w:rFonts w:ascii="Times New Roman" w:eastAsia="Times New Roman" w:hAnsi="Times New Roman"/>
                <w:lang w:val="x-none" w:eastAsia="x-none"/>
              </w:rPr>
              <w:t>This sector includes agencies involved in the sale</w:t>
            </w:r>
            <w:r>
              <w:rPr>
                <w:rFonts w:ascii="Times New Roman" w:eastAsia="Times New Roman" w:hAnsi="Times New Roman"/>
                <w:lang w:eastAsia="x-none"/>
              </w:rPr>
              <w:t xml:space="preserve"> or lease</w:t>
            </w:r>
            <w:r w:rsidRPr="004253B5">
              <w:rPr>
                <w:rFonts w:ascii="Times New Roman" w:eastAsia="Times New Roman" w:hAnsi="Times New Roman"/>
                <w:lang w:val="x-none" w:eastAsia="x-none"/>
              </w:rPr>
              <w:t xml:space="preserve"> of property</w:t>
            </w:r>
            <w:r>
              <w:rPr>
                <w:rFonts w:ascii="Times New Roman" w:eastAsia="Times New Roman" w:hAnsi="Times New Roman"/>
                <w:lang w:eastAsia="x-none"/>
              </w:rPr>
              <w:t>.</w:t>
            </w:r>
          </w:p>
        </w:tc>
        <w:tc>
          <w:tcPr>
            <w:tcW w:w="3113" w:type="dxa"/>
            <w:gridSpan w:val="2"/>
            <w:tcBorders>
              <w:bottom w:val="single" w:sz="4" w:space="0" w:color="auto"/>
            </w:tcBorders>
          </w:tcPr>
          <w:p w14:paraId="08B083BC" w14:textId="0A8C1D5C" w:rsidR="00B065D1" w:rsidRPr="00AD3710" w:rsidRDefault="003177E0" w:rsidP="0058687D">
            <w:p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 Deflation by overall CPI.</w:t>
            </w:r>
          </w:p>
        </w:tc>
      </w:tr>
      <w:tr w:rsidR="003177E0" w:rsidRPr="004253B5" w14:paraId="47083C5E"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12"/>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6C45A643"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M. Professional, scientific and technical activities</w:t>
            </w:r>
          </w:p>
        </w:tc>
      </w:tr>
      <w:tr w:rsidR="003177E0" w:rsidRPr="004253B5" w14:paraId="44F6A48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02"/>
          <w:jc w:val="center"/>
        </w:trPr>
        <w:tc>
          <w:tcPr>
            <w:tcW w:w="1650" w:type="dxa"/>
            <w:tcBorders>
              <w:top w:val="single" w:sz="4" w:space="0" w:color="auto"/>
              <w:left w:val="single" w:sz="4" w:space="0" w:color="auto"/>
              <w:bottom w:val="single" w:sz="4" w:space="0" w:color="auto"/>
              <w:right w:val="single" w:sz="4" w:space="0" w:color="auto"/>
            </w:tcBorders>
          </w:tcPr>
          <w:p w14:paraId="2200CEDF"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Professional, scientific and technical activities</w:t>
            </w:r>
          </w:p>
          <w:p w14:paraId="140D09F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53452BF7"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w:t>
            </w:r>
            <w:r>
              <w:rPr>
                <w:rFonts w:ascii="Times New Roman" w:eastAsia="Times New Roman" w:hAnsi="Times New Roman"/>
                <w:szCs w:val="24"/>
                <w:lang w:val="en-US"/>
              </w:rPr>
              <w:t xml:space="preserve"> 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1FB482A4"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6B04943C"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cases lodged in court.</w:t>
            </w:r>
          </w:p>
        </w:tc>
        <w:tc>
          <w:tcPr>
            <w:tcW w:w="3263" w:type="dxa"/>
            <w:tcBorders>
              <w:top w:val="single" w:sz="4" w:space="0" w:color="auto"/>
              <w:left w:val="nil"/>
              <w:bottom w:val="single" w:sz="4" w:space="0" w:color="auto"/>
              <w:right w:val="single" w:sz="4" w:space="0" w:color="auto"/>
            </w:tcBorders>
          </w:tcPr>
          <w:p w14:paraId="079C4311" w14:textId="77777777" w:rsidR="003177E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the units which offer their services to different activities both onshore and offshore including own account professional workers such as lawyers, accountants, notaries , surveyors etc.</w:t>
            </w:r>
          </w:p>
          <w:p w14:paraId="67C014C2" w14:textId="77777777" w:rsidR="006C6D43" w:rsidRDefault="006C6D43" w:rsidP="006C6D43">
            <w:pPr>
              <w:spacing w:after="120" w:line="240" w:lineRule="auto"/>
              <w:jc w:val="both"/>
              <w:rPr>
                <w:rFonts w:ascii="Times New Roman" w:eastAsia="Times New Roman" w:hAnsi="Times New Roman"/>
                <w:lang w:val="x-none" w:eastAsia="x-none"/>
              </w:rPr>
            </w:pPr>
          </w:p>
          <w:p w14:paraId="39E134F4" w14:textId="77777777" w:rsidR="006C6D43" w:rsidRDefault="006C6D43" w:rsidP="006C6D43">
            <w:pPr>
              <w:spacing w:after="120" w:line="240" w:lineRule="auto"/>
              <w:jc w:val="both"/>
              <w:rPr>
                <w:rFonts w:ascii="Times New Roman" w:eastAsia="Times New Roman" w:hAnsi="Times New Roman"/>
                <w:lang w:val="x-none" w:eastAsia="x-none"/>
              </w:rPr>
            </w:pPr>
          </w:p>
          <w:p w14:paraId="53A86EFC" w14:textId="77777777" w:rsidR="00A40AFA" w:rsidRDefault="00A40AFA" w:rsidP="006C6D43">
            <w:pPr>
              <w:spacing w:after="120" w:line="240" w:lineRule="auto"/>
              <w:jc w:val="both"/>
              <w:rPr>
                <w:rFonts w:ascii="Times New Roman" w:eastAsia="Times New Roman" w:hAnsi="Times New Roman"/>
                <w:lang w:val="x-none" w:eastAsia="x-none"/>
              </w:rPr>
            </w:pPr>
          </w:p>
          <w:p w14:paraId="197AB790" w14:textId="77777777" w:rsidR="00A40AFA" w:rsidRDefault="00A40AFA" w:rsidP="006C6D43">
            <w:pPr>
              <w:spacing w:after="120" w:line="240" w:lineRule="auto"/>
              <w:jc w:val="both"/>
              <w:rPr>
                <w:rFonts w:ascii="Times New Roman" w:eastAsia="Times New Roman" w:hAnsi="Times New Roman"/>
                <w:lang w:val="x-none" w:eastAsia="x-none"/>
              </w:rPr>
            </w:pPr>
          </w:p>
          <w:p w14:paraId="29B7A6A7" w14:textId="7FB68E36" w:rsidR="00A40AFA" w:rsidRPr="006C6D43" w:rsidRDefault="00A40AFA" w:rsidP="006C6D43">
            <w:pPr>
              <w:spacing w:after="120" w:line="240" w:lineRule="auto"/>
              <w:jc w:val="both"/>
              <w:rPr>
                <w:rFonts w:ascii="Times New Roman" w:eastAsia="Times New Roman" w:hAnsi="Times New Roman"/>
                <w:lang w:val="x-none" w:eastAsia="x-none"/>
              </w:rPr>
            </w:pPr>
          </w:p>
        </w:tc>
        <w:tc>
          <w:tcPr>
            <w:tcW w:w="3113" w:type="dxa"/>
            <w:gridSpan w:val="2"/>
            <w:tcBorders>
              <w:top w:val="single" w:sz="4" w:space="0" w:color="auto"/>
              <w:left w:val="nil"/>
              <w:bottom w:val="single" w:sz="4" w:space="0" w:color="auto"/>
              <w:right w:val="single" w:sz="4" w:space="0" w:color="auto"/>
            </w:tcBorders>
          </w:tcPr>
          <w:p w14:paraId="05811B08"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71AD3F6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45127F5F"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N. Administrative and support service activities</w:t>
            </w:r>
          </w:p>
        </w:tc>
      </w:tr>
      <w:tr w:rsidR="003177E0" w:rsidRPr="004253B5" w14:paraId="2F7DEB3B"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412"/>
          <w:jc w:val="center"/>
        </w:trPr>
        <w:tc>
          <w:tcPr>
            <w:tcW w:w="1650" w:type="dxa"/>
            <w:tcBorders>
              <w:top w:val="single" w:sz="4" w:space="0" w:color="auto"/>
              <w:left w:val="single" w:sz="4" w:space="0" w:color="auto"/>
              <w:bottom w:val="single" w:sz="4" w:space="0" w:color="auto"/>
              <w:right w:val="single" w:sz="4" w:space="0" w:color="auto"/>
            </w:tcBorders>
          </w:tcPr>
          <w:p w14:paraId="1E66D8E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Administrative and support service activities</w:t>
            </w:r>
          </w:p>
        </w:tc>
        <w:tc>
          <w:tcPr>
            <w:tcW w:w="2693" w:type="dxa"/>
            <w:tcBorders>
              <w:top w:val="single" w:sz="4" w:space="0" w:color="auto"/>
              <w:left w:val="nil"/>
              <w:bottom w:val="single" w:sz="4" w:space="0" w:color="auto"/>
              <w:right w:val="single" w:sz="4" w:space="0" w:color="auto"/>
            </w:tcBorders>
          </w:tcPr>
          <w:p w14:paraId="6A9B87C1"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w:t>
            </w:r>
            <w:r>
              <w:rPr>
                <w:rFonts w:ascii="Times New Roman" w:eastAsia="Times New Roman" w:hAnsi="Times New Roman"/>
                <w:szCs w:val="24"/>
                <w:lang w:val="en-US"/>
              </w:rPr>
              <w:t xml:space="preserve">VAT </w:t>
            </w:r>
            <w:r w:rsidRPr="004253B5">
              <w:rPr>
                <w:rFonts w:ascii="Times New Roman" w:eastAsia="Times New Roman" w:hAnsi="Times New Roman"/>
                <w:szCs w:val="24"/>
                <w:lang w:val="en-US"/>
              </w:rPr>
              <w:t>data</w:t>
            </w:r>
            <w:r>
              <w:rPr>
                <w:rFonts w:ascii="Times New Roman" w:eastAsia="Times New Roman" w:hAnsi="Times New Roman"/>
                <w:szCs w:val="24"/>
                <w:lang w:val="en-US"/>
              </w:rPr>
              <w:t>.</w:t>
            </w:r>
          </w:p>
          <w:p w14:paraId="6BB3EAA6"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Trends in related sectors</w:t>
            </w:r>
          </w:p>
          <w:p w14:paraId="703DE5F3" w14:textId="77777777" w:rsidR="003177E0" w:rsidRPr="004253B5" w:rsidRDefault="003177E0" w:rsidP="0058687D">
            <w:pPr>
              <w:numPr>
                <w:ilvl w:val="0"/>
                <w:numId w:val="3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Indirect indicators such as tourist arrivals</w:t>
            </w:r>
          </w:p>
        </w:tc>
        <w:tc>
          <w:tcPr>
            <w:tcW w:w="3263" w:type="dxa"/>
            <w:tcBorders>
              <w:top w:val="single" w:sz="4" w:space="0" w:color="auto"/>
              <w:left w:val="nil"/>
              <w:bottom w:val="single" w:sz="4" w:space="0" w:color="auto"/>
              <w:right w:val="single" w:sz="4" w:space="0" w:color="auto"/>
            </w:tcBorders>
          </w:tcPr>
          <w:p w14:paraId="11ABA107" w14:textId="77777777" w:rsidR="003177E0" w:rsidRPr="00D74CA0" w:rsidRDefault="003177E0" w:rsidP="0058687D">
            <w:pPr>
              <w:pStyle w:val="ListParagraph"/>
              <w:numPr>
                <w:ilvl w:val="0"/>
                <w:numId w:val="36"/>
              </w:numPr>
              <w:spacing w:after="120" w:line="240" w:lineRule="auto"/>
              <w:jc w:val="both"/>
              <w:rPr>
                <w:rFonts w:ascii="Times New Roman" w:eastAsia="Times New Roman" w:hAnsi="Times New Roman"/>
                <w:lang w:val="x-none" w:eastAsia="x-none"/>
              </w:rPr>
            </w:pPr>
            <w:r w:rsidRPr="00D74CA0">
              <w:rPr>
                <w:rFonts w:ascii="Times New Roman" w:eastAsia="Times New Roman" w:hAnsi="Times New Roman"/>
                <w:lang w:val="x-none" w:eastAsia="x-none"/>
              </w:rPr>
              <w:t>This sector covers units engaged in rental and leasing activities, cleaning activities,</w:t>
            </w:r>
            <w:r>
              <w:rPr>
                <w:rFonts w:ascii="Times New Roman" w:eastAsia="Times New Roman" w:hAnsi="Times New Roman"/>
                <w:lang w:val="x-none" w:eastAsia="x-none"/>
              </w:rPr>
              <w:t xml:space="preserve"> travel agencies, call </w:t>
            </w:r>
            <w:proofErr w:type="spellStart"/>
            <w:r>
              <w:rPr>
                <w:rFonts w:ascii="Times New Roman" w:eastAsia="Times New Roman" w:hAnsi="Times New Roman"/>
                <w:lang w:val="x-none" w:eastAsia="x-none"/>
              </w:rPr>
              <w:t>centers</w:t>
            </w:r>
            <w:proofErr w:type="spellEnd"/>
            <w:r>
              <w:rPr>
                <w:rFonts w:ascii="Times New Roman" w:eastAsia="Times New Roman" w:hAnsi="Times New Roman"/>
                <w:lang w:val="x-none" w:eastAsia="x-none"/>
              </w:rPr>
              <w:t xml:space="preserve"> </w:t>
            </w:r>
            <w:r w:rsidRPr="00D74CA0">
              <w:rPr>
                <w:rFonts w:ascii="Times New Roman" w:eastAsia="Times New Roman" w:hAnsi="Times New Roman"/>
                <w:lang w:val="x-none" w:eastAsia="x-none"/>
              </w:rPr>
              <w:t xml:space="preserve">and other business support activities </w:t>
            </w:r>
          </w:p>
        </w:tc>
        <w:tc>
          <w:tcPr>
            <w:tcW w:w="3113" w:type="dxa"/>
            <w:gridSpan w:val="2"/>
            <w:tcBorders>
              <w:top w:val="single" w:sz="4" w:space="0" w:color="auto"/>
              <w:left w:val="nil"/>
              <w:bottom w:val="single" w:sz="4" w:space="0" w:color="auto"/>
              <w:right w:val="single" w:sz="4" w:space="0" w:color="auto"/>
            </w:tcBorders>
          </w:tcPr>
          <w:p w14:paraId="004D45DD" w14:textId="77777777" w:rsidR="003177E0" w:rsidRPr="00AD3710" w:rsidRDefault="003177E0" w:rsidP="0058687D">
            <w:pPr>
              <w:pStyle w:val="ListParagraph"/>
              <w:numPr>
                <w:ilvl w:val="0"/>
                <w:numId w:val="36"/>
              </w:numPr>
              <w:spacing w:after="0" w:line="240" w:lineRule="auto"/>
              <w:jc w:val="both"/>
              <w:rPr>
                <w:rFonts w:ascii="Times New Roman" w:eastAsia="Times New Roman" w:hAnsi="Times New Roman"/>
                <w:szCs w:val="24"/>
                <w:lang w:val="en-US"/>
              </w:rPr>
            </w:pPr>
            <w:r w:rsidRPr="00AD3710">
              <w:rPr>
                <w:rFonts w:ascii="Times New Roman" w:eastAsia="Times New Roman" w:hAnsi="Times New Roman"/>
                <w:szCs w:val="24"/>
                <w:lang w:val="en-US"/>
              </w:rPr>
              <w:t>Deflation by overall CPI.</w:t>
            </w:r>
          </w:p>
        </w:tc>
      </w:tr>
      <w:tr w:rsidR="003177E0" w:rsidRPr="004253B5" w14:paraId="3BA75B0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0CB5F5E7"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b/>
                <w:szCs w:val="24"/>
                <w:lang w:val="en-US"/>
              </w:rPr>
              <w:t>O. Pu</w:t>
            </w:r>
            <w:r>
              <w:rPr>
                <w:rFonts w:ascii="Times New Roman" w:eastAsia="Times New Roman" w:hAnsi="Times New Roman"/>
                <w:b/>
                <w:szCs w:val="24"/>
                <w:lang w:val="en-US"/>
              </w:rPr>
              <w:t>blic a</w:t>
            </w:r>
            <w:r w:rsidRPr="004253B5">
              <w:rPr>
                <w:rFonts w:ascii="Times New Roman" w:eastAsia="Times New Roman" w:hAnsi="Times New Roman"/>
                <w:b/>
                <w:szCs w:val="24"/>
                <w:lang w:val="en-US"/>
              </w:rPr>
              <w:t xml:space="preserve">dministration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d</w:t>
            </w:r>
            <w:r w:rsidRPr="004253B5">
              <w:rPr>
                <w:rFonts w:ascii="Times New Roman" w:eastAsia="Times New Roman" w:hAnsi="Times New Roman"/>
                <w:b/>
                <w:szCs w:val="24"/>
                <w:lang w:val="en-US"/>
              </w:rPr>
              <w:t xml:space="preserve">efense; Compulsory </w:t>
            </w:r>
            <w:r>
              <w:rPr>
                <w:rFonts w:ascii="Times New Roman" w:eastAsia="Times New Roman" w:hAnsi="Times New Roman"/>
                <w:b/>
                <w:szCs w:val="24"/>
                <w:lang w:val="en-US"/>
              </w:rPr>
              <w:t>s</w:t>
            </w:r>
            <w:r w:rsidRPr="004253B5">
              <w:rPr>
                <w:rFonts w:ascii="Times New Roman" w:eastAsia="Times New Roman" w:hAnsi="Times New Roman"/>
                <w:b/>
                <w:szCs w:val="24"/>
                <w:lang w:val="en-US"/>
              </w:rPr>
              <w:t xml:space="preserve">ocial </w:t>
            </w:r>
            <w:r>
              <w:rPr>
                <w:rFonts w:ascii="Times New Roman" w:eastAsia="Times New Roman" w:hAnsi="Times New Roman"/>
                <w:b/>
                <w:szCs w:val="24"/>
                <w:lang w:val="en-US"/>
              </w:rPr>
              <w:t>s</w:t>
            </w:r>
            <w:r w:rsidRPr="004253B5">
              <w:rPr>
                <w:rFonts w:ascii="Times New Roman" w:eastAsia="Times New Roman" w:hAnsi="Times New Roman"/>
                <w:b/>
                <w:szCs w:val="24"/>
                <w:lang w:val="en-US"/>
              </w:rPr>
              <w:t>ecurity</w:t>
            </w:r>
          </w:p>
        </w:tc>
      </w:tr>
      <w:tr w:rsidR="003177E0" w:rsidRPr="004253B5" w14:paraId="10430E69"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jc w:val="center"/>
        </w:trPr>
        <w:tc>
          <w:tcPr>
            <w:tcW w:w="1650" w:type="dxa"/>
            <w:tcBorders>
              <w:top w:val="single" w:sz="4" w:space="0" w:color="auto"/>
              <w:left w:val="single" w:sz="4" w:space="0" w:color="auto"/>
              <w:bottom w:val="single" w:sz="4" w:space="0" w:color="auto"/>
              <w:right w:val="single" w:sz="4" w:space="0" w:color="auto"/>
            </w:tcBorders>
          </w:tcPr>
          <w:p w14:paraId="1E5B4F7E" w14:textId="54F54508"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Public </w:t>
            </w:r>
            <w:r>
              <w:rPr>
                <w:rFonts w:ascii="Times New Roman" w:eastAsia="Times New Roman" w:hAnsi="Times New Roman"/>
                <w:szCs w:val="24"/>
                <w:lang w:val="en-US"/>
              </w:rPr>
              <w:t xml:space="preserve">administration and </w:t>
            </w:r>
            <w:proofErr w:type="spellStart"/>
            <w:r>
              <w:rPr>
                <w:rFonts w:ascii="Times New Roman" w:eastAsia="Times New Roman" w:hAnsi="Times New Roman"/>
                <w:szCs w:val="24"/>
                <w:lang w:val="en-US"/>
              </w:rPr>
              <w:t>defence</w:t>
            </w:r>
            <w:proofErr w:type="spellEnd"/>
            <w:r>
              <w:rPr>
                <w:rFonts w:ascii="Times New Roman" w:eastAsia="Times New Roman" w:hAnsi="Times New Roman"/>
                <w:szCs w:val="24"/>
                <w:lang w:val="en-US"/>
              </w:rPr>
              <w:t>; Compulsory social s</w:t>
            </w:r>
            <w:r w:rsidRPr="004253B5">
              <w:rPr>
                <w:rFonts w:ascii="Times New Roman" w:eastAsia="Times New Roman" w:hAnsi="Times New Roman"/>
                <w:szCs w:val="24"/>
                <w:lang w:val="en-US"/>
              </w:rPr>
              <w:t>ecurity</w:t>
            </w:r>
          </w:p>
        </w:tc>
        <w:tc>
          <w:tcPr>
            <w:tcW w:w="2693" w:type="dxa"/>
            <w:tcBorders>
              <w:top w:val="single" w:sz="4" w:space="0" w:color="auto"/>
              <w:left w:val="nil"/>
              <w:bottom w:val="single" w:sz="4" w:space="0" w:color="auto"/>
              <w:right w:val="single" w:sz="4" w:space="0" w:color="auto"/>
            </w:tcBorders>
          </w:tcPr>
          <w:p w14:paraId="3005609A"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of Budgetary Central Government from the Accountant General Department.</w:t>
            </w:r>
          </w:p>
          <w:p w14:paraId="5957C6E4"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 for Rodrigues from </w:t>
            </w:r>
            <w:r>
              <w:rPr>
                <w:rFonts w:ascii="Times New Roman" w:eastAsia="Times New Roman" w:hAnsi="Times New Roman"/>
                <w:szCs w:val="24"/>
                <w:lang w:val="en-US"/>
              </w:rPr>
              <w:t>RRA</w:t>
            </w:r>
            <w:r w:rsidRPr="004253B5">
              <w:rPr>
                <w:rFonts w:ascii="Times New Roman" w:eastAsia="Times New Roman" w:hAnsi="Times New Roman"/>
                <w:szCs w:val="24"/>
                <w:lang w:val="en-US"/>
              </w:rPr>
              <w:t>.</w:t>
            </w:r>
          </w:p>
          <w:p w14:paraId="1775F598" w14:textId="7493DE13"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for EBUs and Local Government is estimated</w:t>
            </w:r>
            <w:r w:rsidR="00F007EA">
              <w:rPr>
                <w:rFonts w:ascii="Times New Roman" w:eastAsia="Times New Roman" w:hAnsi="Times New Roman"/>
                <w:szCs w:val="24"/>
                <w:lang w:val="en-US"/>
              </w:rPr>
              <w:t xml:space="preserve"> </w:t>
            </w:r>
            <w:r w:rsidR="00F007EA" w:rsidRPr="00F007EA">
              <w:rPr>
                <w:rFonts w:ascii="Times New Roman" w:eastAsia="Times New Roman" w:hAnsi="Times New Roman"/>
                <w:szCs w:val="24"/>
                <w:lang w:val="en-US"/>
              </w:rPr>
              <w:t>based on GFS figures obtained from final accounts</w:t>
            </w:r>
            <w:r w:rsidRPr="004253B5">
              <w:rPr>
                <w:rFonts w:ascii="Times New Roman" w:eastAsia="Times New Roman" w:hAnsi="Times New Roman"/>
                <w:szCs w:val="24"/>
                <w:lang w:val="en-US"/>
              </w:rPr>
              <w:t>.</w:t>
            </w:r>
          </w:p>
        </w:tc>
        <w:tc>
          <w:tcPr>
            <w:tcW w:w="3263" w:type="dxa"/>
            <w:tcBorders>
              <w:top w:val="single" w:sz="4" w:space="0" w:color="auto"/>
              <w:left w:val="nil"/>
              <w:bottom w:val="single" w:sz="4" w:space="0" w:color="auto"/>
              <w:right w:val="single" w:sz="4" w:space="0" w:color="auto"/>
            </w:tcBorders>
          </w:tcPr>
          <w:p w14:paraId="235B76C0"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made at cost, that is, </w:t>
            </w:r>
          </w:p>
          <w:p w14:paraId="06E775E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8A1C8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71A308B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169162D1" w14:textId="77777777" w:rsidR="003177E0" w:rsidRPr="00D74CA0" w:rsidRDefault="003177E0" w:rsidP="0058687D">
            <w:pPr>
              <w:pStyle w:val="ListParagraph"/>
              <w:numPr>
                <w:ilvl w:val="0"/>
                <w:numId w:val="29"/>
              </w:numPr>
              <w:spacing w:after="0" w:line="240" w:lineRule="auto"/>
              <w:ind w:right="28"/>
              <w:jc w:val="both"/>
              <w:rPr>
                <w:rFonts w:ascii="Times New Roman" w:eastAsia="Times New Roman" w:hAnsi="Times New Roman"/>
                <w:szCs w:val="24"/>
                <w:lang w:val="en-US"/>
              </w:rPr>
            </w:pPr>
            <w:r w:rsidRPr="00D74CA0">
              <w:rPr>
                <w:rFonts w:ascii="Times New Roman" w:eastAsia="Times New Roman" w:hAnsi="Times New Roman"/>
                <w:szCs w:val="24"/>
                <w:lang w:val="en-US"/>
              </w:rPr>
              <w:t>Value added = Compensation of employees + consumption of fixed capital</w:t>
            </w:r>
          </w:p>
          <w:p w14:paraId="6288B0C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30F2E616"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7171B660"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6E7FA8"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54241065" w14:textId="77777777" w:rsidR="003177E0"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using quarterly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p w14:paraId="5F81C3D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r w:rsidR="003177E0" w:rsidRPr="004253B5" w14:paraId="686CEE36"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70"/>
          <w:jc w:val="center"/>
        </w:trPr>
        <w:tc>
          <w:tcPr>
            <w:tcW w:w="10719" w:type="dxa"/>
            <w:gridSpan w:val="5"/>
            <w:tcBorders>
              <w:top w:val="single" w:sz="4" w:space="0" w:color="auto"/>
              <w:left w:val="single" w:sz="4" w:space="0" w:color="auto"/>
              <w:bottom w:val="single" w:sz="4" w:space="0" w:color="auto"/>
              <w:right w:val="single" w:sz="4" w:space="0" w:color="auto"/>
            </w:tcBorders>
            <w:shd w:val="clear" w:color="auto" w:fill="D9D9D9"/>
          </w:tcPr>
          <w:p w14:paraId="778C9CEB" w14:textId="77777777" w:rsidR="003177E0" w:rsidRPr="008553A3"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P. Education</w:t>
            </w:r>
          </w:p>
        </w:tc>
      </w:tr>
      <w:tr w:rsidR="003177E0" w:rsidRPr="004253B5" w14:paraId="0246A607"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348"/>
          <w:jc w:val="center"/>
        </w:trPr>
        <w:tc>
          <w:tcPr>
            <w:tcW w:w="1650" w:type="dxa"/>
            <w:tcBorders>
              <w:top w:val="single" w:sz="4" w:space="0" w:color="auto"/>
              <w:left w:val="single" w:sz="4" w:space="0" w:color="auto"/>
              <w:bottom w:val="single" w:sz="4" w:space="0" w:color="auto"/>
              <w:right w:val="single" w:sz="4" w:space="0" w:color="auto"/>
            </w:tcBorders>
          </w:tcPr>
          <w:p w14:paraId="35FB7DC9"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318E8C2E" w14:textId="266CE1A4"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(Public)</w:t>
            </w:r>
          </w:p>
        </w:tc>
        <w:tc>
          <w:tcPr>
            <w:tcW w:w="2693" w:type="dxa"/>
            <w:tcBorders>
              <w:top w:val="single" w:sz="4" w:space="0" w:color="auto"/>
              <w:left w:val="nil"/>
              <w:bottom w:val="single" w:sz="4" w:space="0" w:color="auto"/>
              <w:right w:val="single" w:sz="4" w:space="0" w:color="auto"/>
            </w:tcBorders>
          </w:tcPr>
          <w:p w14:paraId="44A48A71"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Expenditures related to education (preprimary, primary, secondary and tertiary sectors) incurred by the different levels of the General Government (mainly </w:t>
            </w:r>
            <w:r>
              <w:rPr>
                <w:rFonts w:ascii="Times New Roman" w:eastAsia="Times New Roman" w:hAnsi="Times New Roman"/>
                <w:szCs w:val="24"/>
                <w:lang w:val="en-US"/>
              </w:rPr>
              <w:t>Budgetary Central Government (</w:t>
            </w:r>
            <w:r w:rsidRPr="004253B5">
              <w:rPr>
                <w:rFonts w:ascii="Times New Roman" w:eastAsia="Times New Roman" w:hAnsi="Times New Roman"/>
                <w:szCs w:val="24"/>
                <w:lang w:val="en-US"/>
              </w:rPr>
              <w:t>BCG</w:t>
            </w:r>
            <w:r>
              <w:rPr>
                <w:rFonts w:ascii="Times New Roman" w:eastAsia="Times New Roman" w:hAnsi="Times New Roman"/>
                <w:szCs w:val="24"/>
                <w:lang w:val="en-US"/>
              </w:rPr>
              <w:t>)</w:t>
            </w:r>
            <w:r w:rsidRPr="004253B5">
              <w:rPr>
                <w:rFonts w:ascii="Times New Roman" w:eastAsia="Times New Roman" w:hAnsi="Times New Roman"/>
                <w:szCs w:val="24"/>
                <w:lang w:val="en-US"/>
              </w:rPr>
              <w:t xml:space="preserve"> and EBUs) are used to estimate value added, intermediate consumption and gross output of education in the public sector. </w:t>
            </w:r>
          </w:p>
        </w:tc>
        <w:tc>
          <w:tcPr>
            <w:tcW w:w="3263" w:type="dxa"/>
            <w:tcBorders>
              <w:top w:val="single" w:sz="4" w:space="0" w:color="auto"/>
              <w:left w:val="nil"/>
              <w:bottom w:val="single" w:sz="4" w:space="0" w:color="auto"/>
              <w:right w:val="single" w:sz="4" w:space="0" w:color="auto"/>
            </w:tcBorders>
          </w:tcPr>
          <w:p w14:paraId="775FE0B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343C1017"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7F420CE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tc>
        <w:tc>
          <w:tcPr>
            <w:tcW w:w="3113" w:type="dxa"/>
            <w:gridSpan w:val="2"/>
            <w:tcBorders>
              <w:top w:val="single" w:sz="4" w:space="0" w:color="auto"/>
              <w:left w:val="nil"/>
              <w:bottom w:val="single" w:sz="4" w:space="0" w:color="auto"/>
              <w:right w:val="single" w:sz="4" w:space="0" w:color="auto"/>
            </w:tcBorders>
          </w:tcPr>
          <w:p w14:paraId="23F61638"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32BF3896"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6CEAAEF4"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are deflated by using quarterly CPI.</w:t>
            </w:r>
          </w:p>
        </w:tc>
      </w:tr>
      <w:tr w:rsidR="003177E0" w:rsidRPr="004253B5" w14:paraId="07BA67C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318"/>
          <w:jc w:val="center"/>
        </w:trPr>
        <w:tc>
          <w:tcPr>
            <w:tcW w:w="1650" w:type="dxa"/>
            <w:tcBorders>
              <w:top w:val="single" w:sz="4" w:space="0" w:color="auto"/>
              <w:left w:val="single" w:sz="4" w:space="0" w:color="auto"/>
              <w:bottom w:val="single" w:sz="4" w:space="0" w:color="auto"/>
              <w:right w:val="single" w:sz="4" w:space="0" w:color="auto"/>
            </w:tcBorders>
          </w:tcPr>
          <w:p w14:paraId="6B5C16DC" w14:textId="77777777" w:rsidR="003177E0"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Education</w:t>
            </w:r>
          </w:p>
          <w:p w14:paraId="46E5D83B"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(Private)</w:t>
            </w:r>
          </w:p>
          <w:p w14:paraId="7AA525F9"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single" w:sz="4" w:space="0" w:color="auto"/>
              <w:left w:val="nil"/>
              <w:bottom w:val="single" w:sz="4" w:space="0" w:color="auto"/>
              <w:right w:val="single" w:sz="4" w:space="0" w:color="auto"/>
            </w:tcBorders>
          </w:tcPr>
          <w:p w14:paraId="2CAEB9CB"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data on enrolment from the Ministry of Education</w:t>
            </w:r>
          </w:p>
          <w:p w14:paraId="461A6FCC" w14:textId="77777777" w:rsidR="003177E0" w:rsidRPr="004253B5" w:rsidRDefault="003177E0" w:rsidP="0058687D">
            <w:pPr>
              <w:numPr>
                <w:ilvl w:val="0"/>
                <w:numId w:val="29"/>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Enrolment from private schools and Mauritius Institute of Training and Development (MITD)</w:t>
            </w:r>
          </w:p>
          <w:p w14:paraId="7F3FB0C9" w14:textId="77777777" w:rsidR="003177E0" w:rsidRDefault="003177E0" w:rsidP="0058687D">
            <w:pPr>
              <w:spacing w:after="0" w:line="240" w:lineRule="auto"/>
              <w:ind w:left="216"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Percentage change in fees charged for private tuition estimated from the sub-index for “Education” obtained from the CPI Unit</w:t>
            </w:r>
          </w:p>
          <w:p w14:paraId="32EDB66A" w14:textId="77777777" w:rsidR="00454636" w:rsidRDefault="00454636" w:rsidP="0058687D">
            <w:pPr>
              <w:spacing w:after="0" w:line="240" w:lineRule="auto"/>
              <w:ind w:left="216" w:right="28"/>
              <w:jc w:val="both"/>
              <w:rPr>
                <w:rFonts w:ascii="Times New Roman" w:eastAsia="Times New Roman" w:hAnsi="Times New Roman"/>
                <w:szCs w:val="24"/>
                <w:lang w:val="en-US"/>
              </w:rPr>
            </w:pPr>
          </w:p>
          <w:p w14:paraId="7DA56350" w14:textId="77777777" w:rsidR="00A40AFA" w:rsidRDefault="00A40AFA" w:rsidP="0058687D">
            <w:pPr>
              <w:spacing w:after="0" w:line="240" w:lineRule="auto"/>
              <w:ind w:left="216" w:right="28"/>
              <w:jc w:val="both"/>
              <w:rPr>
                <w:rFonts w:ascii="Times New Roman" w:eastAsia="Times New Roman" w:hAnsi="Times New Roman"/>
                <w:szCs w:val="24"/>
                <w:lang w:val="en-US"/>
              </w:rPr>
            </w:pPr>
          </w:p>
          <w:p w14:paraId="496DFA64" w14:textId="4CDFE9A0" w:rsidR="00A40AFA" w:rsidRPr="004253B5" w:rsidRDefault="00A40AFA" w:rsidP="00A40AFA">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1B2BB369"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Private schools and MITD: annual output is divided by 4.</w:t>
            </w:r>
          </w:p>
          <w:p w14:paraId="768E77E4"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529A613C"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Private tuition fees: output based on ten months only (February to November and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accordingly.</w:t>
            </w:r>
          </w:p>
          <w:p w14:paraId="07911AEF"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13" w:type="dxa"/>
            <w:gridSpan w:val="2"/>
            <w:tcBorders>
              <w:top w:val="single" w:sz="4" w:space="0" w:color="auto"/>
              <w:left w:val="nil"/>
              <w:bottom w:val="single" w:sz="4" w:space="0" w:color="auto"/>
              <w:right w:val="single" w:sz="4" w:space="0" w:color="auto"/>
            </w:tcBorders>
          </w:tcPr>
          <w:p w14:paraId="64C2F805" w14:textId="77777777" w:rsidR="003177E0"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V</w:t>
            </w:r>
            <w:r w:rsidRPr="00D93D34">
              <w:rPr>
                <w:rFonts w:ascii="Times New Roman" w:eastAsia="Times New Roman" w:hAnsi="Times New Roman"/>
                <w:szCs w:val="24"/>
                <w:lang w:val="en-US"/>
              </w:rPr>
              <w:t>olume based on enrolment statistics</w:t>
            </w:r>
            <w:r>
              <w:rPr>
                <w:rFonts w:ascii="Times New Roman" w:eastAsia="Times New Roman" w:hAnsi="Times New Roman"/>
                <w:szCs w:val="24"/>
                <w:lang w:val="en-US"/>
              </w:rPr>
              <w:t>.</w:t>
            </w:r>
          </w:p>
          <w:p w14:paraId="26B1D6AC" w14:textId="77777777" w:rsidR="003177E0" w:rsidRDefault="003177E0" w:rsidP="0058687D">
            <w:pPr>
              <w:spacing w:after="0" w:line="240" w:lineRule="auto"/>
              <w:ind w:left="216" w:right="28"/>
              <w:jc w:val="both"/>
              <w:rPr>
                <w:rFonts w:ascii="Times New Roman" w:eastAsia="Times New Roman" w:hAnsi="Times New Roman"/>
                <w:szCs w:val="24"/>
                <w:lang w:val="en-US"/>
              </w:rPr>
            </w:pPr>
          </w:p>
          <w:p w14:paraId="0F854BD2" w14:textId="77777777" w:rsidR="003177E0" w:rsidRPr="004253B5" w:rsidRDefault="003177E0" w:rsidP="0058687D">
            <w:pPr>
              <w:numPr>
                <w:ilvl w:val="0"/>
                <w:numId w:val="30"/>
              </w:num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Deflation by CPI component.</w:t>
            </w:r>
          </w:p>
        </w:tc>
      </w:tr>
      <w:tr w:rsidR="003177E0" w:rsidRPr="004253B5" w14:paraId="49408923"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52BB80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lastRenderedPageBreak/>
              <w:t>Q. Human health and social work activities</w:t>
            </w:r>
          </w:p>
        </w:tc>
      </w:tr>
      <w:tr w:rsidR="003177E0" w:rsidRPr="004253B5" w14:paraId="78FCF975" w14:textId="77777777" w:rsidTr="00A40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619"/>
          <w:jc w:val="center"/>
        </w:trPr>
        <w:tc>
          <w:tcPr>
            <w:tcW w:w="1650" w:type="dxa"/>
            <w:tcBorders>
              <w:top w:val="single" w:sz="4" w:space="0" w:color="auto"/>
              <w:left w:val="single" w:sz="4" w:space="0" w:color="auto"/>
              <w:bottom w:val="single" w:sz="4" w:space="0" w:color="auto"/>
              <w:right w:val="single" w:sz="4" w:space="0" w:color="auto"/>
            </w:tcBorders>
          </w:tcPr>
          <w:p w14:paraId="4BD9E95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(Public)</w:t>
            </w:r>
          </w:p>
        </w:tc>
        <w:tc>
          <w:tcPr>
            <w:tcW w:w="2693" w:type="dxa"/>
            <w:tcBorders>
              <w:top w:val="single" w:sz="4" w:space="0" w:color="auto"/>
              <w:left w:val="nil"/>
              <w:bottom w:val="single" w:sz="4" w:space="0" w:color="auto"/>
              <w:right w:val="single" w:sz="4" w:space="0" w:color="auto"/>
            </w:tcBorders>
          </w:tcPr>
          <w:p w14:paraId="01D8ADF5"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Expenditure related to Health and Social Work incurred by the different levels of the General Government (mainly BCG and EBUs) are used to estimate value added, intermediate consumption and gross output of Health and Social Work in the public sector.</w:t>
            </w:r>
          </w:p>
          <w:p w14:paraId="70964833"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505CAF36"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Estimate are made at cost, that is,</w:t>
            </w:r>
          </w:p>
          <w:p w14:paraId="0EBA7D9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Gross output = Value added (VA) + purchase of goods and services (IC)</w:t>
            </w:r>
          </w:p>
          <w:p w14:paraId="236FDA1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 Compensation of employees + consumption of fixed capital</w:t>
            </w:r>
          </w:p>
          <w:p w14:paraId="150DDFCD"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504F673B"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Compensation of Employees is deflated using the annual wage rate index based on salary compensation.</w:t>
            </w:r>
          </w:p>
          <w:p w14:paraId="11381F46" w14:textId="77777777" w:rsidR="003177E0" w:rsidRPr="004253B5"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p>
          <w:p w14:paraId="311475EE" w14:textId="77777777" w:rsidR="003177E0" w:rsidRPr="00981C47" w:rsidRDefault="003177E0" w:rsidP="0058687D">
            <w:pPr>
              <w:numPr>
                <w:ilvl w:val="0"/>
                <w:numId w:val="6"/>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Goods and services ar</w:t>
            </w:r>
            <w:r>
              <w:rPr>
                <w:rFonts w:ascii="Times New Roman" w:eastAsia="Times New Roman" w:hAnsi="Times New Roman"/>
                <w:szCs w:val="24"/>
                <w:lang w:val="en-US"/>
              </w:rPr>
              <w:t>e deflated using quarterly CPI</w:t>
            </w:r>
            <w:r w:rsidRPr="004253B5">
              <w:rPr>
                <w:rFonts w:ascii="Times New Roman" w:eastAsia="Times New Roman" w:hAnsi="Times New Roman"/>
                <w:szCs w:val="24"/>
                <w:lang w:val="en-US"/>
              </w:rPr>
              <w:t>.</w:t>
            </w:r>
          </w:p>
        </w:tc>
      </w:tr>
      <w:tr w:rsidR="003177E0" w:rsidRPr="004253B5" w14:paraId="23133DCC"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3024"/>
          <w:jc w:val="center"/>
        </w:trPr>
        <w:tc>
          <w:tcPr>
            <w:tcW w:w="1650" w:type="dxa"/>
            <w:tcBorders>
              <w:top w:val="single" w:sz="4" w:space="0" w:color="auto"/>
              <w:left w:val="single" w:sz="4" w:space="0" w:color="auto"/>
              <w:bottom w:val="single" w:sz="4" w:space="0" w:color="auto"/>
              <w:right w:val="single" w:sz="4" w:space="0" w:color="auto"/>
            </w:tcBorders>
          </w:tcPr>
          <w:p w14:paraId="1BFB0115"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 Health and </w:t>
            </w:r>
            <w:r>
              <w:rPr>
                <w:rFonts w:ascii="Times New Roman" w:eastAsia="Times New Roman" w:hAnsi="Times New Roman"/>
                <w:szCs w:val="24"/>
                <w:lang w:val="en-US"/>
              </w:rPr>
              <w:t>s</w:t>
            </w:r>
            <w:r w:rsidRPr="004253B5">
              <w:rPr>
                <w:rFonts w:ascii="Times New Roman" w:eastAsia="Times New Roman" w:hAnsi="Times New Roman"/>
                <w:szCs w:val="24"/>
                <w:lang w:val="en-US"/>
              </w:rPr>
              <w:t xml:space="preserve">ocial </w:t>
            </w:r>
            <w:r>
              <w:rPr>
                <w:rFonts w:ascii="Times New Roman" w:eastAsia="Times New Roman" w:hAnsi="Times New Roman"/>
                <w:szCs w:val="24"/>
                <w:lang w:val="en-US"/>
              </w:rPr>
              <w:t>w</w:t>
            </w:r>
            <w:r w:rsidRPr="004253B5">
              <w:rPr>
                <w:rFonts w:ascii="Times New Roman" w:eastAsia="Times New Roman" w:hAnsi="Times New Roman"/>
                <w:szCs w:val="24"/>
                <w:lang w:val="en-US"/>
              </w:rPr>
              <w:t>ork activities</w:t>
            </w:r>
            <w:r>
              <w:rPr>
                <w:rFonts w:ascii="Times New Roman" w:eastAsia="Times New Roman" w:hAnsi="Times New Roman"/>
                <w:szCs w:val="24"/>
                <w:lang w:val="en-US"/>
              </w:rPr>
              <w:t xml:space="preserve"> (Private)</w:t>
            </w:r>
          </w:p>
        </w:tc>
        <w:tc>
          <w:tcPr>
            <w:tcW w:w="2693" w:type="dxa"/>
            <w:tcBorders>
              <w:top w:val="single" w:sz="4" w:space="0" w:color="auto"/>
              <w:left w:val="nil"/>
              <w:bottom w:val="single" w:sz="4" w:space="0" w:color="auto"/>
              <w:right w:val="single" w:sz="4" w:space="0" w:color="auto"/>
            </w:tcBorders>
          </w:tcPr>
          <w:p w14:paraId="0765349C"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production accounts of clinics.</w:t>
            </w:r>
          </w:p>
          <w:p w14:paraId="509FFE11"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data on admissions in clinics and hospitals from the Ministry of Health.</w:t>
            </w:r>
          </w:p>
          <w:p w14:paraId="24E2B143"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No. of private medical practitioners from the Ministry of Health.</w:t>
            </w:r>
          </w:p>
          <w:p w14:paraId="27B71E13" w14:textId="77777777" w:rsidR="003177E0" w:rsidRPr="0051161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Fees charged from monthly consumer price surveys.</w:t>
            </w:r>
          </w:p>
        </w:tc>
        <w:tc>
          <w:tcPr>
            <w:tcW w:w="3263" w:type="dxa"/>
            <w:tcBorders>
              <w:top w:val="single" w:sz="4" w:space="0" w:color="auto"/>
              <w:left w:val="nil"/>
              <w:bottom w:val="single" w:sz="4" w:space="0" w:color="auto"/>
              <w:right w:val="single" w:sz="4" w:space="0" w:color="auto"/>
            </w:tcBorders>
          </w:tcPr>
          <w:p w14:paraId="3709845D" w14:textId="77777777" w:rsidR="003177E0" w:rsidRPr="00D74CA0" w:rsidRDefault="003177E0" w:rsidP="0058687D">
            <w:pPr>
              <w:pStyle w:val="ListParagraph"/>
              <w:numPr>
                <w:ilvl w:val="0"/>
                <w:numId w:val="31"/>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 xml:space="preserve">Annual value added for private health services is computed using available production accounts of clinics and supplemented with indicators on private practitioners.  The estimates are </w:t>
            </w:r>
            <w:proofErr w:type="spellStart"/>
            <w:r w:rsidRPr="00D74CA0">
              <w:rPr>
                <w:rFonts w:ascii="Times New Roman" w:eastAsia="Times New Roman" w:hAnsi="Times New Roman"/>
                <w:szCs w:val="24"/>
                <w:lang w:val="en-US"/>
              </w:rPr>
              <w:t>quarterlised</w:t>
            </w:r>
            <w:proofErr w:type="spellEnd"/>
            <w:r w:rsidRPr="00D74CA0">
              <w:rPr>
                <w:rFonts w:ascii="Times New Roman" w:eastAsia="Times New Roman" w:hAnsi="Times New Roman"/>
                <w:szCs w:val="24"/>
                <w:lang w:val="en-US"/>
              </w:rPr>
              <w:t xml:space="preserve"> using quarterly data on admissions to clinics and hospitals.</w:t>
            </w:r>
          </w:p>
        </w:tc>
        <w:tc>
          <w:tcPr>
            <w:tcW w:w="3107" w:type="dxa"/>
            <w:tcBorders>
              <w:top w:val="single" w:sz="4" w:space="0" w:color="auto"/>
              <w:left w:val="nil"/>
              <w:bottom w:val="single" w:sz="4" w:space="0" w:color="auto"/>
              <w:right w:val="single" w:sz="4" w:space="0" w:color="auto"/>
            </w:tcBorders>
          </w:tcPr>
          <w:p w14:paraId="0327A5E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CPI component.</w:t>
            </w:r>
          </w:p>
        </w:tc>
      </w:tr>
      <w:tr w:rsidR="003177E0" w:rsidRPr="004253B5" w14:paraId="2779B67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70"/>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4367029" w14:textId="784BBC42" w:rsidR="003177E0" w:rsidRPr="004253B5" w:rsidRDefault="003177E0" w:rsidP="0058687D">
            <w:pPr>
              <w:spacing w:after="0" w:line="240" w:lineRule="auto"/>
              <w:ind w:right="28"/>
              <w:jc w:val="both"/>
              <w:rPr>
                <w:rFonts w:ascii="Times New Roman" w:eastAsia="Times New Roman" w:hAnsi="Times New Roman"/>
                <w:b/>
                <w:szCs w:val="24"/>
                <w:lang w:val="en-US"/>
              </w:rPr>
            </w:pPr>
            <w:r w:rsidRPr="004253B5">
              <w:rPr>
                <w:rFonts w:ascii="Times New Roman" w:eastAsia="Times New Roman" w:hAnsi="Times New Roman"/>
                <w:b/>
                <w:szCs w:val="24"/>
                <w:lang w:val="en-US"/>
              </w:rPr>
              <w:t>R. Art</w:t>
            </w:r>
            <w:r w:rsidR="009A0421">
              <w:rPr>
                <w:rFonts w:ascii="Times New Roman" w:eastAsia="Times New Roman" w:hAnsi="Times New Roman"/>
                <w:b/>
                <w:szCs w:val="24"/>
                <w:lang w:val="en-US"/>
              </w:rPr>
              <w:t>s</w:t>
            </w:r>
            <w:r w:rsidRPr="004253B5">
              <w:rPr>
                <w:rFonts w:ascii="Times New Roman" w:eastAsia="Times New Roman" w:hAnsi="Times New Roman"/>
                <w:b/>
                <w:szCs w:val="24"/>
                <w:lang w:val="en-US"/>
              </w:rPr>
              <w:t>, entertainment and recreation</w:t>
            </w:r>
          </w:p>
        </w:tc>
      </w:tr>
      <w:tr w:rsidR="003177E0" w:rsidRPr="004253B5" w14:paraId="1EF756B4"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1"/>
          <w:jc w:val="center"/>
        </w:trPr>
        <w:tc>
          <w:tcPr>
            <w:tcW w:w="1650" w:type="dxa"/>
            <w:tcBorders>
              <w:top w:val="single" w:sz="4" w:space="0" w:color="auto"/>
              <w:left w:val="single" w:sz="4" w:space="0" w:color="auto"/>
              <w:bottom w:val="single" w:sz="4" w:space="0" w:color="auto"/>
              <w:right w:val="single" w:sz="4" w:space="0" w:color="auto"/>
            </w:tcBorders>
          </w:tcPr>
          <w:p w14:paraId="035946A7" w14:textId="0C822DC9"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Art</w:t>
            </w:r>
            <w:r w:rsidR="009A0421">
              <w:rPr>
                <w:rFonts w:ascii="Times New Roman" w:eastAsia="Times New Roman" w:hAnsi="Times New Roman"/>
                <w:szCs w:val="24"/>
                <w:lang w:val="en-US"/>
              </w:rPr>
              <w:t>s</w:t>
            </w:r>
            <w:r w:rsidRPr="004253B5">
              <w:rPr>
                <w:rFonts w:ascii="Times New Roman" w:eastAsia="Times New Roman" w:hAnsi="Times New Roman"/>
                <w:szCs w:val="24"/>
                <w:lang w:val="en-US"/>
              </w:rPr>
              <w:t>, entertainment and recreation activities</w:t>
            </w:r>
          </w:p>
        </w:tc>
        <w:tc>
          <w:tcPr>
            <w:tcW w:w="2693" w:type="dxa"/>
            <w:tcBorders>
              <w:top w:val="single" w:sz="4" w:space="0" w:color="auto"/>
              <w:left w:val="nil"/>
              <w:bottom w:val="single" w:sz="4" w:space="0" w:color="auto"/>
              <w:right w:val="single" w:sz="4" w:space="0" w:color="auto"/>
            </w:tcBorders>
          </w:tcPr>
          <w:p w14:paraId="12F82539"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VAT data.</w:t>
            </w:r>
          </w:p>
          <w:p w14:paraId="54B8CA28" w14:textId="77777777" w:rsidR="003177E0" w:rsidRPr="0084243B" w:rsidRDefault="003177E0" w:rsidP="0058687D">
            <w:pPr>
              <w:numPr>
                <w:ilvl w:val="0"/>
                <w:numId w:val="32"/>
              </w:numPr>
              <w:spacing w:after="0" w:line="240" w:lineRule="auto"/>
              <w:ind w:right="28"/>
              <w:jc w:val="both"/>
              <w:rPr>
                <w:rFonts w:ascii="Times New Roman" w:eastAsia="Times New Roman" w:hAnsi="Times New Roman"/>
                <w:b/>
                <w:szCs w:val="24"/>
                <w:lang w:val="en-US"/>
              </w:rPr>
            </w:pPr>
            <w:r w:rsidRPr="0084243B">
              <w:rPr>
                <w:rFonts w:ascii="Times New Roman" w:eastAsia="Times New Roman" w:hAnsi="Times New Roman"/>
                <w:szCs w:val="24"/>
                <w:lang w:val="en-US"/>
              </w:rPr>
              <w:t>Quarterly data on government revenue from gambling and betting taxes.</w:t>
            </w:r>
          </w:p>
          <w:p w14:paraId="50304130"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263" w:type="dxa"/>
            <w:tcBorders>
              <w:top w:val="single" w:sz="4" w:space="0" w:color="auto"/>
              <w:left w:val="nil"/>
              <w:bottom w:val="single" w:sz="4" w:space="0" w:color="auto"/>
              <w:right w:val="single" w:sz="4" w:space="0" w:color="auto"/>
            </w:tcBorders>
          </w:tcPr>
          <w:p w14:paraId="6641B46A" w14:textId="77777777" w:rsidR="003177E0" w:rsidRPr="00822926" w:rsidRDefault="003177E0" w:rsidP="0058687D">
            <w:pPr>
              <w:pStyle w:val="ListParagraph"/>
              <w:numPr>
                <w:ilvl w:val="0"/>
                <w:numId w:val="33"/>
              </w:numPr>
              <w:spacing w:after="0" w:line="240" w:lineRule="auto"/>
              <w:jc w:val="both"/>
              <w:rPr>
                <w:rFonts w:ascii="Times New Roman" w:eastAsia="Times New Roman" w:hAnsi="Times New Roman"/>
                <w:szCs w:val="24"/>
                <w:lang w:val="en-US"/>
              </w:rPr>
            </w:pPr>
            <w:r w:rsidRPr="00822926">
              <w:rPr>
                <w:rFonts w:ascii="Times New Roman" w:eastAsia="Times New Roman" w:hAnsi="Times New Roman"/>
                <w:szCs w:val="24"/>
                <w:lang w:val="en-US"/>
              </w:rPr>
              <w:t>Includes gambling, sports, amusement and recreational activities</w:t>
            </w:r>
          </w:p>
          <w:p w14:paraId="01B32885" w14:textId="77777777" w:rsidR="003177E0" w:rsidRPr="004253B5" w:rsidRDefault="003177E0" w:rsidP="0058687D">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3CABC2E9" w14:textId="77777777" w:rsidR="00454636" w:rsidRDefault="003177E0" w:rsidP="00454636">
            <w:pPr>
              <w:numPr>
                <w:ilvl w:val="0"/>
                <w:numId w:val="33"/>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56F1837" w14:textId="77777777" w:rsidR="006C6D43" w:rsidRDefault="006C6D43" w:rsidP="006C6D43">
            <w:pPr>
              <w:spacing w:after="0" w:line="240" w:lineRule="auto"/>
              <w:ind w:right="28"/>
              <w:jc w:val="both"/>
              <w:rPr>
                <w:rFonts w:ascii="Times New Roman" w:eastAsia="Times New Roman" w:hAnsi="Times New Roman"/>
                <w:szCs w:val="24"/>
                <w:lang w:val="en-US"/>
              </w:rPr>
            </w:pPr>
          </w:p>
          <w:p w14:paraId="4DA5A85B" w14:textId="77777777" w:rsidR="00A40AFA" w:rsidRDefault="00A40AFA" w:rsidP="006C6D43">
            <w:pPr>
              <w:spacing w:after="0" w:line="240" w:lineRule="auto"/>
              <w:ind w:right="28"/>
              <w:jc w:val="both"/>
              <w:rPr>
                <w:rFonts w:ascii="Times New Roman" w:eastAsia="Times New Roman" w:hAnsi="Times New Roman"/>
                <w:szCs w:val="24"/>
                <w:lang w:val="en-US"/>
              </w:rPr>
            </w:pPr>
          </w:p>
          <w:p w14:paraId="01D8B47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29433F7" w14:textId="77777777" w:rsidR="00A40AFA" w:rsidRDefault="00A40AFA" w:rsidP="006C6D43">
            <w:pPr>
              <w:spacing w:after="0" w:line="240" w:lineRule="auto"/>
              <w:ind w:right="28"/>
              <w:jc w:val="both"/>
              <w:rPr>
                <w:rFonts w:ascii="Times New Roman" w:eastAsia="Times New Roman" w:hAnsi="Times New Roman"/>
                <w:szCs w:val="24"/>
                <w:lang w:val="en-US"/>
              </w:rPr>
            </w:pPr>
          </w:p>
          <w:p w14:paraId="41E2B1C3" w14:textId="77777777" w:rsidR="00A40AFA" w:rsidRDefault="00A40AFA" w:rsidP="006C6D43">
            <w:pPr>
              <w:spacing w:after="0" w:line="240" w:lineRule="auto"/>
              <w:ind w:right="28"/>
              <w:jc w:val="both"/>
              <w:rPr>
                <w:rFonts w:ascii="Times New Roman" w:eastAsia="Times New Roman" w:hAnsi="Times New Roman"/>
                <w:szCs w:val="24"/>
                <w:lang w:val="en-US"/>
              </w:rPr>
            </w:pPr>
          </w:p>
          <w:p w14:paraId="5C64034C" w14:textId="77777777" w:rsidR="00A40AFA" w:rsidRDefault="00A40AFA" w:rsidP="006C6D43">
            <w:pPr>
              <w:spacing w:after="0" w:line="240" w:lineRule="auto"/>
              <w:ind w:right="28"/>
              <w:jc w:val="both"/>
              <w:rPr>
                <w:rFonts w:ascii="Times New Roman" w:eastAsia="Times New Roman" w:hAnsi="Times New Roman"/>
                <w:szCs w:val="24"/>
                <w:lang w:val="en-US"/>
              </w:rPr>
            </w:pPr>
          </w:p>
          <w:p w14:paraId="2E189F03" w14:textId="77777777" w:rsidR="00A40AFA" w:rsidRDefault="00A40AFA" w:rsidP="006C6D43">
            <w:pPr>
              <w:spacing w:after="0" w:line="240" w:lineRule="auto"/>
              <w:ind w:right="28"/>
              <w:jc w:val="both"/>
              <w:rPr>
                <w:rFonts w:ascii="Times New Roman" w:eastAsia="Times New Roman" w:hAnsi="Times New Roman"/>
                <w:szCs w:val="24"/>
                <w:lang w:val="en-US"/>
              </w:rPr>
            </w:pPr>
          </w:p>
          <w:p w14:paraId="688EE8EC" w14:textId="77777777" w:rsidR="00A40AFA" w:rsidRDefault="00A40AFA" w:rsidP="006C6D43">
            <w:pPr>
              <w:spacing w:after="0" w:line="240" w:lineRule="auto"/>
              <w:ind w:right="28"/>
              <w:jc w:val="both"/>
              <w:rPr>
                <w:rFonts w:ascii="Times New Roman" w:eastAsia="Times New Roman" w:hAnsi="Times New Roman"/>
                <w:szCs w:val="24"/>
                <w:lang w:val="en-US"/>
              </w:rPr>
            </w:pPr>
          </w:p>
          <w:p w14:paraId="5A159072" w14:textId="77777777" w:rsidR="00A40AFA" w:rsidRDefault="00A40AFA" w:rsidP="006C6D43">
            <w:pPr>
              <w:spacing w:after="0" w:line="240" w:lineRule="auto"/>
              <w:ind w:right="28"/>
              <w:jc w:val="both"/>
              <w:rPr>
                <w:rFonts w:ascii="Times New Roman" w:eastAsia="Times New Roman" w:hAnsi="Times New Roman"/>
                <w:szCs w:val="24"/>
                <w:lang w:val="en-US"/>
              </w:rPr>
            </w:pPr>
          </w:p>
          <w:p w14:paraId="7CC8511E" w14:textId="77777777" w:rsidR="00A40AFA" w:rsidRDefault="00A40AFA" w:rsidP="006C6D43">
            <w:pPr>
              <w:spacing w:after="0" w:line="240" w:lineRule="auto"/>
              <w:ind w:right="28"/>
              <w:jc w:val="both"/>
              <w:rPr>
                <w:rFonts w:ascii="Times New Roman" w:eastAsia="Times New Roman" w:hAnsi="Times New Roman"/>
                <w:szCs w:val="24"/>
                <w:lang w:val="en-US"/>
              </w:rPr>
            </w:pPr>
          </w:p>
          <w:p w14:paraId="557A11D8" w14:textId="77777777" w:rsidR="00A40AFA" w:rsidRDefault="00A40AFA" w:rsidP="006C6D43">
            <w:pPr>
              <w:spacing w:after="0" w:line="240" w:lineRule="auto"/>
              <w:ind w:right="28"/>
              <w:jc w:val="both"/>
              <w:rPr>
                <w:rFonts w:ascii="Times New Roman" w:eastAsia="Times New Roman" w:hAnsi="Times New Roman"/>
                <w:szCs w:val="24"/>
                <w:lang w:val="en-US"/>
              </w:rPr>
            </w:pPr>
          </w:p>
          <w:p w14:paraId="1C346E1F" w14:textId="77777777" w:rsidR="00A40AFA" w:rsidRDefault="00A40AFA" w:rsidP="006C6D43">
            <w:pPr>
              <w:spacing w:after="0" w:line="240" w:lineRule="auto"/>
              <w:ind w:right="28"/>
              <w:jc w:val="both"/>
              <w:rPr>
                <w:rFonts w:ascii="Times New Roman" w:eastAsia="Times New Roman" w:hAnsi="Times New Roman"/>
                <w:szCs w:val="24"/>
                <w:lang w:val="en-US"/>
              </w:rPr>
            </w:pPr>
          </w:p>
          <w:p w14:paraId="73982FC8" w14:textId="77777777" w:rsidR="00A40AFA" w:rsidRDefault="00A40AFA" w:rsidP="006C6D43">
            <w:pPr>
              <w:spacing w:after="0" w:line="240" w:lineRule="auto"/>
              <w:ind w:right="28"/>
              <w:jc w:val="both"/>
              <w:rPr>
                <w:rFonts w:ascii="Times New Roman" w:eastAsia="Times New Roman" w:hAnsi="Times New Roman"/>
                <w:szCs w:val="24"/>
                <w:lang w:val="en-US"/>
              </w:rPr>
            </w:pPr>
          </w:p>
          <w:p w14:paraId="06C18028" w14:textId="77777777" w:rsidR="00A40AFA" w:rsidRDefault="00A40AFA" w:rsidP="006C6D43">
            <w:pPr>
              <w:spacing w:after="0" w:line="240" w:lineRule="auto"/>
              <w:ind w:right="28"/>
              <w:jc w:val="both"/>
              <w:rPr>
                <w:rFonts w:ascii="Times New Roman" w:eastAsia="Times New Roman" w:hAnsi="Times New Roman"/>
                <w:szCs w:val="24"/>
                <w:lang w:val="en-US"/>
              </w:rPr>
            </w:pPr>
          </w:p>
          <w:p w14:paraId="5F8375FA" w14:textId="77777777" w:rsidR="00A40AFA" w:rsidRDefault="00A40AFA" w:rsidP="006C6D43">
            <w:pPr>
              <w:spacing w:after="0" w:line="240" w:lineRule="auto"/>
              <w:ind w:right="28"/>
              <w:jc w:val="both"/>
              <w:rPr>
                <w:rFonts w:ascii="Times New Roman" w:eastAsia="Times New Roman" w:hAnsi="Times New Roman"/>
                <w:szCs w:val="24"/>
                <w:lang w:val="en-US"/>
              </w:rPr>
            </w:pPr>
          </w:p>
          <w:p w14:paraId="4C6EE059" w14:textId="77777777" w:rsidR="00A40AFA" w:rsidRDefault="00A40AFA" w:rsidP="006C6D43">
            <w:pPr>
              <w:spacing w:after="0" w:line="240" w:lineRule="auto"/>
              <w:ind w:right="28"/>
              <w:jc w:val="both"/>
              <w:rPr>
                <w:rFonts w:ascii="Times New Roman" w:eastAsia="Times New Roman" w:hAnsi="Times New Roman"/>
                <w:szCs w:val="24"/>
                <w:lang w:val="en-US"/>
              </w:rPr>
            </w:pPr>
          </w:p>
          <w:p w14:paraId="56B447AE" w14:textId="77777777" w:rsidR="00A40AFA" w:rsidRDefault="00A40AFA" w:rsidP="006C6D43">
            <w:pPr>
              <w:spacing w:after="0" w:line="240" w:lineRule="auto"/>
              <w:ind w:right="28"/>
              <w:jc w:val="both"/>
              <w:rPr>
                <w:rFonts w:ascii="Times New Roman" w:eastAsia="Times New Roman" w:hAnsi="Times New Roman"/>
                <w:szCs w:val="24"/>
                <w:lang w:val="en-US"/>
              </w:rPr>
            </w:pPr>
          </w:p>
          <w:p w14:paraId="64AAF8A4" w14:textId="77777777" w:rsidR="00A40AFA" w:rsidRDefault="00A40AFA" w:rsidP="006C6D43">
            <w:pPr>
              <w:spacing w:after="0" w:line="240" w:lineRule="auto"/>
              <w:ind w:right="28"/>
              <w:jc w:val="both"/>
              <w:rPr>
                <w:rFonts w:ascii="Times New Roman" w:eastAsia="Times New Roman" w:hAnsi="Times New Roman"/>
                <w:szCs w:val="24"/>
                <w:lang w:val="en-US"/>
              </w:rPr>
            </w:pPr>
          </w:p>
          <w:p w14:paraId="0033EB16" w14:textId="5D2EBA39" w:rsidR="00A40AFA" w:rsidRPr="00B065D1" w:rsidRDefault="00A40AFA" w:rsidP="006C6D43">
            <w:pPr>
              <w:spacing w:after="0" w:line="240" w:lineRule="auto"/>
              <w:ind w:right="28"/>
              <w:jc w:val="both"/>
              <w:rPr>
                <w:rFonts w:ascii="Times New Roman" w:eastAsia="Times New Roman" w:hAnsi="Times New Roman"/>
                <w:szCs w:val="24"/>
                <w:lang w:val="en-US"/>
              </w:rPr>
            </w:pPr>
          </w:p>
        </w:tc>
        <w:tc>
          <w:tcPr>
            <w:tcW w:w="3107" w:type="dxa"/>
            <w:tcBorders>
              <w:top w:val="single" w:sz="4" w:space="0" w:color="auto"/>
              <w:left w:val="nil"/>
              <w:bottom w:val="single" w:sz="4" w:space="0" w:color="auto"/>
              <w:right w:val="single" w:sz="4" w:space="0" w:color="auto"/>
            </w:tcBorders>
          </w:tcPr>
          <w:p w14:paraId="62CE49F0"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7564E38D"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37"/>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11C60971"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b/>
                <w:szCs w:val="24"/>
                <w:lang w:val="en-US"/>
              </w:rPr>
              <w:lastRenderedPageBreak/>
              <w:t>S. Other service activities</w:t>
            </w:r>
          </w:p>
        </w:tc>
      </w:tr>
      <w:tr w:rsidR="003177E0" w:rsidRPr="004253B5" w14:paraId="5BBB3E1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907"/>
          <w:jc w:val="center"/>
        </w:trPr>
        <w:tc>
          <w:tcPr>
            <w:tcW w:w="1650" w:type="dxa"/>
            <w:tcBorders>
              <w:top w:val="nil"/>
              <w:left w:val="single" w:sz="4" w:space="0" w:color="auto"/>
              <w:bottom w:val="single" w:sz="4" w:space="0" w:color="auto"/>
              <w:right w:val="single" w:sz="4" w:space="0" w:color="auto"/>
            </w:tcBorders>
          </w:tcPr>
          <w:p w14:paraId="3A7A9E92"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Other service activities</w:t>
            </w:r>
          </w:p>
        </w:tc>
        <w:tc>
          <w:tcPr>
            <w:tcW w:w="2693" w:type="dxa"/>
            <w:tcBorders>
              <w:top w:val="nil"/>
              <w:left w:val="nil"/>
              <w:bottom w:val="single" w:sz="4" w:space="0" w:color="auto"/>
              <w:right w:val="single" w:sz="4" w:space="0" w:color="auto"/>
            </w:tcBorders>
          </w:tcPr>
          <w:p w14:paraId="0D2214B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turnover from VAT d</w:t>
            </w:r>
            <w:r>
              <w:rPr>
                <w:rFonts w:ascii="Times New Roman" w:eastAsia="Times New Roman" w:hAnsi="Times New Roman"/>
                <w:szCs w:val="24"/>
                <w:lang w:val="en-US"/>
              </w:rPr>
              <w:t>ata.</w:t>
            </w:r>
          </w:p>
          <w:p w14:paraId="6F827E5C"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Demographic statistics such as births, deaths and marriages.</w:t>
            </w:r>
          </w:p>
          <w:p w14:paraId="7C36783E"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Tourist arrivals</w:t>
            </w:r>
          </w:p>
          <w:p w14:paraId="50AFE739"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p w14:paraId="07464390" w14:textId="77777777" w:rsidR="003177E0" w:rsidRPr="004253B5" w:rsidRDefault="003177E0" w:rsidP="0058687D">
            <w:pPr>
              <w:spacing w:after="0" w:line="240" w:lineRule="auto"/>
              <w:jc w:val="both"/>
              <w:rPr>
                <w:rFonts w:ascii="Times New Roman" w:eastAsia="Times New Roman" w:hAnsi="Times New Roman"/>
                <w:szCs w:val="24"/>
                <w:lang w:val="en-US"/>
              </w:rPr>
            </w:pPr>
          </w:p>
          <w:p w14:paraId="2D9A943A"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1E352F4B"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Includes activities of membership organizations, units engaged in repair of computers and household goods and other personal service activities</w:t>
            </w:r>
          </w:p>
          <w:p w14:paraId="796408E4"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gross output derived from VAT </w:t>
            </w:r>
            <w:r>
              <w:rPr>
                <w:rFonts w:ascii="Times New Roman" w:eastAsia="Times New Roman" w:hAnsi="Times New Roman"/>
                <w:szCs w:val="24"/>
                <w:lang w:val="en-US"/>
              </w:rPr>
              <w:t>data</w:t>
            </w:r>
            <w:r w:rsidRPr="004253B5">
              <w:rPr>
                <w:rFonts w:ascii="Times New Roman" w:eastAsia="Times New Roman" w:hAnsi="Times New Roman"/>
                <w:szCs w:val="24"/>
                <w:lang w:val="en-US"/>
              </w:rPr>
              <w:t>.</w:t>
            </w:r>
          </w:p>
          <w:p w14:paraId="0DB5F8F5"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Value added estimated using technical coefficients obtained from latest available annual final production accounts.</w:t>
            </w:r>
          </w:p>
          <w:p w14:paraId="191C98A9" w14:textId="77777777" w:rsidR="003177E0" w:rsidRPr="004253B5" w:rsidRDefault="003177E0" w:rsidP="0058687D">
            <w:pPr>
              <w:numPr>
                <w:ilvl w:val="0"/>
                <w:numId w:val="34"/>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For companies not registered at the VAT: annual estimates are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using indirect indicators such as quarterly number of births, deaths, marriages, and tourist arrivals.</w:t>
            </w:r>
          </w:p>
        </w:tc>
        <w:tc>
          <w:tcPr>
            <w:tcW w:w="3107" w:type="dxa"/>
            <w:tcBorders>
              <w:top w:val="nil"/>
              <w:left w:val="nil"/>
              <w:bottom w:val="single" w:sz="4" w:space="0" w:color="auto"/>
              <w:right w:val="single" w:sz="4" w:space="0" w:color="auto"/>
            </w:tcBorders>
          </w:tcPr>
          <w:p w14:paraId="79195412" w14:textId="77777777" w:rsidR="003177E0" w:rsidRPr="004253B5" w:rsidRDefault="003177E0" w:rsidP="0058687D">
            <w:pPr>
              <w:numPr>
                <w:ilvl w:val="0"/>
                <w:numId w:val="31"/>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Deflation by </w:t>
            </w:r>
            <w:r>
              <w:rPr>
                <w:rFonts w:ascii="Times New Roman" w:eastAsia="Times New Roman" w:hAnsi="Times New Roman"/>
                <w:szCs w:val="24"/>
                <w:lang w:val="en-US"/>
              </w:rPr>
              <w:t>overall CPI.</w:t>
            </w:r>
          </w:p>
        </w:tc>
      </w:tr>
      <w:tr w:rsidR="003177E0" w:rsidRPr="004253B5" w14:paraId="57F6373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122"/>
          <w:jc w:val="center"/>
        </w:trPr>
        <w:tc>
          <w:tcPr>
            <w:tcW w:w="10713" w:type="dxa"/>
            <w:gridSpan w:val="4"/>
            <w:tcBorders>
              <w:top w:val="single" w:sz="4" w:space="0" w:color="auto"/>
              <w:left w:val="single" w:sz="4" w:space="0" w:color="auto"/>
              <w:bottom w:val="single" w:sz="4" w:space="0" w:color="auto"/>
              <w:right w:val="single" w:sz="4" w:space="0" w:color="auto"/>
            </w:tcBorders>
            <w:shd w:val="clear" w:color="auto" w:fill="D9D9D9"/>
          </w:tcPr>
          <w:p w14:paraId="39499C19"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T. Activities of households as employers, </w:t>
            </w:r>
            <w:proofErr w:type="spellStart"/>
            <w:r w:rsidRPr="004253B5">
              <w:rPr>
                <w:rFonts w:ascii="Times New Roman" w:eastAsia="Times New Roman" w:hAnsi="Times New Roman"/>
                <w:b/>
                <w:szCs w:val="24"/>
                <w:lang w:val="en-US"/>
              </w:rPr>
              <w:t>etc</w:t>
            </w:r>
            <w:proofErr w:type="spellEnd"/>
          </w:p>
        </w:tc>
      </w:tr>
      <w:tr w:rsidR="003177E0" w:rsidRPr="004253B5" w14:paraId="21EA894F"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jc w:val="center"/>
        </w:trPr>
        <w:tc>
          <w:tcPr>
            <w:tcW w:w="1650" w:type="dxa"/>
            <w:tcBorders>
              <w:top w:val="nil"/>
              <w:left w:val="single" w:sz="4" w:space="0" w:color="auto"/>
              <w:bottom w:val="nil"/>
              <w:right w:val="single" w:sz="4" w:space="0" w:color="auto"/>
            </w:tcBorders>
          </w:tcPr>
          <w:p w14:paraId="1BB0DB13"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Private households with employed persons</w:t>
            </w:r>
          </w:p>
        </w:tc>
        <w:tc>
          <w:tcPr>
            <w:tcW w:w="2693" w:type="dxa"/>
            <w:tcBorders>
              <w:top w:val="nil"/>
              <w:left w:val="nil"/>
              <w:bottom w:val="nil"/>
              <w:right w:val="single" w:sz="4" w:space="0" w:color="auto"/>
            </w:tcBorders>
          </w:tcPr>
          <w:p w14:paraId="6AD1342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Number of employees based on number of household with domestic employees as collected in Household Budget Survey (HBS). </w:t>
            </w:r>
          </w:p>
          <w:p w14:paraId="76CB9F1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Wage Rate from monthly consumer price surveys. </w:t>
            </w:r>
          </w:p>
        </w:tc>
        <w:tc>
          <w:tcPr>
            <w:tcW w:w="3263" w:type="dxa"/>
            <w:tcBorders>
              <w:top w:val="nil"/>
              <w:left w:val="nil"/>
              <w:bottom w:val="nil"/>
              <w:right w:val="single" w:sz="4" w:space="0" w:color="auto"/>
            </w:tcBorders>
          </w:tcPr>
          <w:p w14:paraId="7CA392EA"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Annual estimate, based on the number of persons employed and average wage, is divided by 4.</w:t>
            </w:r>
          </w:p>
          <w:p w14:paraId="2A481F8F"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107" w:type="dxa"/>
            <w:tcBorders>
              <w:top w:val="nil"/>
              <w:left w:val="nil"/>
              <w:bottom w:val="nil"/>
              <w:right w:val="single" w:sz="4" w:space="0" w:color="auto"/>
            </w:tcBorders>
          </w:tcPr>
          <w:p w14:paraId="2BEF70DD"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wage increase due to salary compensation of every year.</w:t>
            </w:r>
          </w:p>
          <w:p w14:paraId="1BC9A5CE" w14:textId="77777777" w:rsidR="003177E0" w:rsidRPr="004253B5" w:rsidRDefault="003177E0" w:rsidP="0058687D">
            <w:pPr>
              <w:spacing w:after="0" w:line="240" w:lineRule="auto"/>
              <w:jc w:val="both"/>
              <w:rPr>
                <w:rFonts w:ascii="Times New Roman" w:eastAsia="Times New Roman" w:hAnsi="Times New Roman"/>
                <w:szCs w:val="24"/>
                <w:lang w:val="en-US"/>
              </w:rPr>
            </w:pPr>
          </w:p>
        </w:tc>
      </w:tr>
      <w:tr w:rsidR="003177E0" w:rsidRPr="004253B5" w14:paraId="2C3B2E95" w14:textId="77777777" w:rsidTr="0058687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6" w:type="dxa"/>
          <w:cantSplit/>
          <w:trHeight w:val="80"/>
          <w:jc w:val="center"/>
        </w:trPr>
        <w:tc>
          <w:tcPr>
            <w:tcW w:w="1650" w:type="dxa"/>
            <w:tcBorders>
              <w:top w:val="nil"/>
              <w:left w:val="single" w:sz="4" w:space="0" w:color="auto"/>
              <w:bottom w:val="single" w:sz="4" w:space="0" w:color="auto"/>
              <w:right w:val="single" w:sz="4" w:space="0" w:color="auto"/>
            </w:tcBorders>
          </w:tcPr>
          <w:p w14:paraId="3DA25B64"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2693" w:type="dxa"/>
            <w:tcBorders>
              <w:top w:val="nil"/>
              <w:left w:val="nil"/>
              <w:bottom w:val="single" w:sz="4" w:space="0" w:color="auto"/>
              <w:right w:val="single" w:sz="4" w:space="0" w:color="auto"/>
            </w:tcBorders>
          </w:tcPr>
          <w:p w14:paraId="1898CDF1" w14:textId="77777777" w:rsidR="003177E0" w:rsidRPr="004253B5" w:rsidRDefault="003177E0" w:rsidP="0058687D">
            <w:pPr>
              <w:spacing w:after="0" w:line="240" w:lineRule="auto"/>
              <w:jc w:val="both"/>
              <w:rPr>
                <w:rFonts w:ascii="Times New Roman" w:eastAsia="Times New Roman" w:hAnsi="Times New Roman"/>
                <w:szCs w:val="24"/>
                <w:lang w:val="en-US"/>
              </w:rPr>
            </w:pPr>
          </w:p>
        </w:tc>
        <w:tc>
          <w:tcPr>
            <w:tcW w:w="3263" w:type="dxa"/>
            <w:tcBorders>
              <w:top w:val="nil"/>
              <w:left w:val="nil"/>
              <w:bottom w:val="single" w:sz="4" w:space="0" w:color="auto"/>
              <w:right w:val="single" w:sz="4" w:space="0" w:color="auto"/>
            </w:tcBorders>
          </w:tcPr>
          <w:p w14:paraId="39215C62"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c>
          <w:tcPr>
            <w:tcW w:w="3107" w:type="dxa"/>
            <w:tcBorders>
              <w:top w:val="nil"/>
              <w:left w:val="nil"/>
              <w:bottom w:val="single" w:sz="4" w:space="0" w:color="auto"/>
              <w:right w:val="single" w:sz="4" w:space="0" w:color="auto"/>
            </w:tcBorders>
          </w:tcPr>
          <w:p w14:paraId="4FE20088" w14:textId="77777777" w:rsidR="003177E0" w:rsidRPr="004253B5" w:rsidRDefault="003177E0" w:rsidP="0058687D">
            <w:pPr>
              <w:spacing w:after="0" w:line="240" w:lineRule="auto"/>
              <w:ind w:right="28"/>
              <w:jc w:val="both"/>
              <w:rPr>
                <w:rFonts w:ascii="Times New Roman" w:eastAsia="Times New Roman" w:hAnsi="Times New Roman"/>
                <w:szCs w:val="24"/>
                <w:lang w:val="en-US"/>
              </w:rPr>
            </w:pPr>
          </w:p>
        </w:tc>
      </w:tr>
    </w:tbl>
    <w:p w14:paraId="7576E769" w14:textId="77777777" w:rsidR="003177E0" w:rsidRDefault="003177E0" w:rsidP="003177E0">
      <w:pPr>
        <w:jc w:val="both"/>
      </w:pPr>
    </w:p>
    <w:p w14:paraId="6D98ACD0" w14:textId="77777777" w:rsidR="003177E0" w:rsidRDefault="003177E0" w:rsidP="003177E0">
      <w:pPr>
        <w:jc w:val="both"/>
      </w:pPr>
    </w:p>
    <w:p w14:paraId="152AA991" w14:textId="5FF5630B" w:rsidR="003177E0" w:rsidRDefault="003177E0" w:rsidP="003177E0">
      <w:pPr>
        <w:jc w:val="both"/>
      </w:pPr>
    </w:p>
    <w:p w14:paraId="63E591E2" w14:textId="791A72B9" w:rsidR="006C6D43" w:rsidRDefault="006C6D43" w:rsidP="003177E0">
      <w:pPr>
        <w:jc w:val="both"/>
      </w:pPr>
    </w:p>
    <w:p w14:paraId="06B02B6E" w14:textId="2F7ED721" w:rsidR="006C6D43" w:rsidRDefault="006C6D43" w:rsidP="003177E0">
      <w:pPr>
        <w:jc w:val="both"/>
      </w:pPr>
    </w:p>
    <w:p w14:paraId="300FE15C" w14:textId="6C454E20" w:rsidR="006C6D43" w:rsidRDefault="006C6D43" w:rsidP="003177E0">
      <w:pPr>
        <w:jc w:val="both"/>
      </w:pPr>
    </w:p>
    <w:p w14:paraId="39D31B4F" w14:textId="72CB7EF0" w:rsidR="006C6D43" w:rsidRDefault="006C6D43" w:rsidP="003177E0">
      <w:pPr>
        <w:jc w:val="both"/>
      </w:pPr>
    </w:p>
    <w:p w14:paraId="03D1A3D8" w14:textId="1C874341" w:rsidR="006C6D43" w:rsidRDefault="006C6D43" w:rsidP="003177E0">
      <w:pPr>
        <w:jc w:val="both"/>
      </w:pPr>
    </w:p>
    <w:p w14:paraId="0C2BC76B" w14:textId="068E0D32" w:rsidR="006C6D43" w:rsidRDefault="006C6D43" w:rsidP="003177E0">
      <w:pPr>
        <w:jc w:val="both"/>
      </w:pPr>
    </w:p>
    <w:p w14:paraId="129CE8EB" w14:textId="28A04A3A" w:rsidR="006C6D43" w:rsidRDefault="006C6D43" w:rsidP="003177E0">
      <w:pPr>
        <w:jc w:val="both"/>
      </w:pPr>
    </w:p>
    <w:p w14:paraId="284C5828" w14:textId="13DEBC25" w:rsidR="006C6D43" w:rsidRDefault="006C6D43" w:rsidP="003177E0">
      <w:pPr>
        <w:jc w:val="both"/>
      </w:pPr>
    </w:p>
    <w:p w14:paraId="62E4811A" w14:textId="73399BFB" w:rsidR="006C6D43" w:rsidRDefault="006C6D43" w:rsidP="003177E0">
      <w:pPr>
        <w:jc w:val="both"/>
      </w:pPr>
    </w:p>
    <w:p w14:paraId="0421EEB6" w14:textId="24CF7FC8" w:rsidR="006C6D43" w:rsidRDefault="006C6D43" w:rsidP="003177E0">
      <w:pPr>
        <w:jc w:val="both"/>
      </w:pPr>
    </w:p>
    <w:p w14:paraId="4765CFF5" w14:textId="27E7BB9A" w:rsidR="006C6D43" w:rsidRDefault="006C6D43" w:rsidP="003177E0">
      <w:pPr>
        <w:jc w:val="both"/>
      </w:pPr>
    </w:p>
    <w:p w14:paraId="0014D55F" w14:textId="0E11A6EA" w:rsidR="006C6D43" w:rsidRDefault="006C6D43" w:rsidP="003177E0">
      <w:pPr>
        <w:jc w:val="both"/>
      </w:pPr>
    </w:p>
    <w:p w14:paraId="563D11BC" w14:textId="77777777" w:rsidR="00A40AFA" w:rsidRDefault="00A40AFA" w:rsidP="003177E0">
      <w:pPr>
        <w:jc w:val="both"/>
      </w:pPr>
    </w:p>
    <w:p w14:paraId="20B7D8D9" w14:textId="77777777" w:rsidR="003177E0" w:rsidRPr="00D47EFC" w:rsidRDefault="003177E0" w:rsidP="003177E0">
      <w:pPr>
        <w:numPr>
          <w:ilvl w:val="0"/>
          <w:numId w:val="41"/>
        </w:numPr>
        <w:ind w:left="0"/>
        <w:rPr>
          <w:rFonts w:ascii="Times New Roman" w:hAnsi="Times New Roman"/>
          <w:b/>
        </w:rPr>
      </w:pPr>
      <w:r w:rsidRPr="00D47EFC">
        <w:rPr>
          <w:rFonts w:ascii="Times New Roman" w:hAnsi="Times New Roman"/>
          <w:b/>
        </w:rPr>
        <w:lastRenderedPageBreak/>
        <w:t>Expenditure Approach</w:t>
      </w:r>
    </w:p>
    <w:tbl>
      <w:tblPr>
        <w:tblW w:w="10450" w:type="dxa"/>
        <w:jc w:val="center"/>
        <w:tblLayout w:type="fixed"/>
        <w:tblLook w:val="0000" w:firstRow="0" w:lastRow="0" w:firstColumn="0" w:lastColumn="0" w:noHBand="0" w:noVBand="0"/>
      </w:tblPr>
      <w:tblGrid>
        <w:gridCol w:w="1684"/>
        <w:gridCol w:w="5644"/>
        <w:gridCol w:w="3122"/>
      </w:tblGrid>
      <w:tr w:rsidR="003177E0" w:rsidRPr="004253B5" w14:paraId="1078F114" w14:textId="77777777" w:rsidTr="0058687D">
        <w:trPr>
          <w:tblHeader/>
          <w:jc w:val="center"/>
        </w:trPr>
        <w:tc>
          <w:tcPr>
            <w:tcW w:w="1684" w:type="dxa"/>
            <w:tcBorders>
              <w:top w:val="single" w:sz="4" w:space="0" w:color="auto"/>
              <w:left w:val="single" w:sz="4" w:space="0" w:color="auto"/>
              <w:bottom w:val="single" w:sz="4" w:space="0" w:color="auto"/>
              <w:right w:val="single" w:sz="4" w:space="0" w:color="auto"/>
            </w:tcBorders>
            <w:shd w:val="clear" w:color="auto" w:fill="A6A6A6"/>
            <w:vAlign w:val="center"/>
          </w:tcPr>
          <w:p w14:paraId="4806C703" w14:textId="77777777" w:rsidR="003177E0"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Type of</w:t>
            </w:r>
          </w:p>
          <w:p w14:paraId="470D912F"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expenditure</w:t>
            </w:r>
          </w:p>
        </w:tc>
        <w:tc>
          <w:tcPr>
            <w:tcW w:w="5644" w:type="dxa"/>
            <w:tcBorders>
              <w:top w:val="single" w:sz="4" w:space="0" w:color="auto"/>
              <w:left w:val="nil"/>
              <w:bottom w:val="single" w:sz="4" w:space="0" w:color="auto"/>
              <w:right w:val="single" w:sz="4" w:space="0" w:color="auto"/>
            </w:tcBorders>
            <w:shd w:val="clear" w:color="auto" w:fill="A6A6A6"/>
            <w:vAlign w:val="center"/>
          </w:tcPr>
          <w:p w14:paraId="6E87A2C5"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3122" w:type="dxa"/>
            <w:tcBorders>
              <w:top w:val="single" w:sz="4" w:space="0" w:color="auto"/>
              <w:left w:val="nil"/>
              <w:bottom w:val="single" w:sz="4" w:space="0" w:color="auto"/>
              <w:right w:val="single" w:sz="4" w:space="0" w:color="auto"/>
            </w:tcBorders>
            <w:shd w:val="clear" w:color="auto" w:fill="A6A6A6"/>
            <w:vAlign w:val="center"/>
          </w:tcPr>
          <w:p w14:paraId="647C5294"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4C9B48A7" w14:textId="77777777" w:rsidTr="0058687D">
        <w:trPr>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0AC542AB" w14:textId="77777777" w:rsidR="003177E0" w:rsidRPr="004253B5" w:rsidRDefault="003177E0" w:rsidP="0058687D">
            <w:pPr>
              <w:spacing w:after="0" w:line="240" w:lineRule="auto"/>
              <w:rPr>
                <w:rFonts w:ascii="Times New Roman" w:eastAsia="Times New Roman" w:hAnsi="Times New Roman"/>
                <w:b/>
                <w:szCs w:val="24"/>
                <w:lang w:val="en-US"/>
              </w:rPr>
            </w:pPr>
            <w:r>
              <w:rPr>
                <w:rFonts w:ascii="Times New Roman" w:eastAsia="Times New Roman" w:hAnsi="Times New Roman"/>
                <w:b/>
                <w:szCs w:val="24"/>
                <w:lang w:val="en-US"/>
              </w:rPr>
              <w:t>A</w:t>
            </w:r>
            <w:r w:rsidRPr="004253B5">
              <w:rPr>
                <w:rFonts w:ascii="Times New Roman" w:eastAsia="Times New Roman" w:hAnsi="Times New Roman"/>
                <w:b/>
                <w:szCs w:val="24"/>
                <w:lang w:val="en-US"/>
              </w:rPr>
              <w:t xml:space="preserve">. </w:t>
            </w:r>
            <w:r>
              <w:rPr>
                <w:rFonts w:ascii="Times New Roman" w:eastAsia="Times New Roman" w:hAnsi="Times New Roman"/>
                <w:b/>
                <w:szCs w:val="24"/>
                <w:lang w:val="en-US"/>
              </w:rPr>
              <w:t>Final consumption expenditure</w:t>
            </w:r>
          </w:p>
        </w:tc>
      </w:tr>
      <w:tr w:rsidR="003177E0" w:rsidRPr="004253B5" w14:paraId="49829120" w14:textId="77777777" w:rsidTr="0058687D">
        <w:trPr>
          <w:jc w:val="center"/>
        </w:trPr>
        <w:tc>
          <w:tcPr>
            <w:tcW w:w="1684" w:type="dxa"/>
            <w:tcBorders>
              <w:top w:val="nil"/>
              <w:left w:val="single" w:sz="4" w:space="0" w:color="auto"/>
              <w:bottom w:val="nil"/>
              <w:right w:val="single" w:sz="4" w:space="0" w:color="auto"/>
            </w:tcBorders>
          </w:tcPr>
          <w:p w14:paraId="7C3F00C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Household</w:t>
            </w:r>
          </w:p>
        </w:tc>
        <w:tc>
          <w:tcPr>
            <w:tcW w:w="5644" w:type="dxa"/>
            <w:tcBorders>
              <w:top w:val="nil"/>
              <w:left w:val="nil"/>
              <w:bottom w:val="nil"/>
              <w:right w:val="single" w:sz="4" w:space="0" w:color="auto"/>
            </w:tcBorders>
          </w:tcPr>
          <w:p w14:paraId="180E2239"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Annual estimates are </w:t>
            </w:r>
            <w:proofErr w:type="spellStart"/>
            <w:r w:rsidRPr="004253B5">
              <w:rPr>
                <w:rFonts w:ascii="Times New Roman" w:eastAsia="Times New Roman" w:hAnsi="Times New Roman"/>
                <w:szCs w:val="24"/>
                <w:lang w:val="en-US"/>
              </w:rPr>
              <w:t>quarterlised</w:t>
            </w:r>
            <w:proofErr w:type="spellEnd"/>
            <w:r w:rsidRPr="004253B5">
              <w:rPr>
                <w:rFonts w:ascii="Times New Roman" w:eastAsia="Times New Roman" w:hAnsi="Times New Roman"/>
                <w:szCs w:val="24"/>
                <w:lang w:val="en-US"/>
              </w:rPr>
              <w:t xml:space="preserve"> using Continuous Multi-Purpose Household Survey (CMPHS) and HBS structure adjusted for conceptual diff</w:t>
            </w:r>
            <w:r>
              <w:rPr>
                <w:rFonts w:ascii="Times New Roman" w:eastAsia="Times New Roman" w:hAnsi="Times New Roman"/>
                <w:szCs w:val="24"/>
                <w:lang w:val="en-US"/>
              </w:rPr>
              <w:t xml:space="preserve">erence with national accounts. </w:t>
            </w:r>
          </w:p>
        </w:tc>
        <w:tc>
          <w:tcPr>
            <w:tcW w:w="3122" w:type="dxa"/>
            <w:tcBorders>
              <w:top w:val="nil"/>
              <w:left w:val="nil"/>
              <w:bottom w:val="nil"/>
              <w:right w:val="single" w:sz="4" w:space="0" w:color="auto"/>
            </w:tcBorders>
          </w:tcPr>
          <w:p w14:paraId="71439A47" w14:textId="77777777" w:rsidR="003177E0" w:rsidRPr="004253B5" w:rsidRDefault="003177E0" w:rsidP="0058687D">
            <w:pPr>
              <w:numPr>
                <w:ilvl w:val="0"/>
                <w:numId w:val="35"/>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C</w:t>
            </w:r>
            <w:r>
              <w:rPr>
                <w:rFonts w:ascii="Times New Roman" w:eastAsia="Times New Roman" w:hAnsi="Times New Roman"/>
                <w:szCs w:val="24"/>
                <w:lang w:val="en-US"/>
              </w:rPr>
              <w:t>PI</w:t>
            </w:r>
            <w:r w:rsidRPr="004253B5">
              <w:rPr>
                <w:rFonts w:ascii="Times New Roman" w:eastAsia="Times New Roman" w:hAnsi="Times New Roman"/>
                <w:szCs w:val="24"/>
                <w:lang w:val="en-US"/>
              </w:rPr>
              <w:t>.</w:t>
            </w:r>
          </w:p>
        </w:tc>
      </w:tr>
      <w:tr w:rsidR="003177E0" w:rsidRPr="004253B5" w14:paraId="022D990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tcPr>
          <w:p w14:paraId="310651DE" w14:textId="77777777" w:rsidR="003177E0" w:rsidRPr="004253B5" w:rsidRDefault="003177E0" w:rsidP="0058687D">
            <w:pPr>
              <w:spacing w:after="0" w:line="240" w:lineRule="auto"/>
              <w:jc w:val="both"/>
              <w:rPr>
                <w:rFonts w:ascii="Times New Roman" w:eastAsia="Times New Roman" w:hAnsi="Times New Roman"/>
                <w:szCs w:val="24"/>
                <w:lang w:val="en-US"/>
              </w:rPr>
            </w:pPr>
            <w:r>
              <w:rPr>
                <w:rFonts w:ascii="Times New Roman" w:eastAsia="Times New Roman" w:hAnsi="Times New Roman"/>
                <w:szCs w:val="24"/>
                <w:lang w:val="en-US"/>
              </w:rPr>
              <w:t>General Government</w:t>
            </w:r>
          </w:p>
        </w:tc>
        <w:tc>
          <w:tcPr>
            <w:tcW w:w="5644" w:type="dxa"/>
            <w:tcBorders>
              <w:top w:val="single" w:sz="4" w:space="0" w:color="auto"/>
              <w:left w:val="nil"/>
              <w:bottom w:val="single" w:sz="4" w:space="0" w:color="auto"/>
              <w:right w:val="single" w:sz="4" w:space="0" w:color="auto"/>
            </w:tcBorders>
          </w:tcPr>
          <w:p w14:paraId="5A7F71F0" w14:textId="77777777" w:rsidR="003177E0"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Final Consumption Expenditure for the General Government is equal to </w:t>
            </w:r>
            <w:r w:rsidRPr="00B133B5">
              <w:rPr>
                <w:rFonts w:ascii="Times New Roman" w:eastAsia="Times New Roman" w:hAnsi="Times New Roman"/>
                <w:b/>
                <w:lang w:val="en-US"/>
              </w:rPr>
              <w:t>Gross Output</w:t>
            </w:r>
            <w:r>
              <w:rPr>
                <w:rFonts w:ascii="Times New Roman" w:eastAsia="Times New Roman" w:hAnsi="Times New Roman"/>
                <w:lang w:val="en-US"/>
              </w:rPr>
              <w:t xml:space="preserve"> (Compensation of Employees + Consumption of Fixed Capital + value of goods and services purchased) </w:t>
            </w:r>
            <w:r w:rsidRPr="00B133B5">
              <w:rPr>
                <w:rFonts w:ascii="Times New Roman" w:eastAsia="Times New Roman" w:hAnsi="Times New Roman"/>
                <w:u w:val="single"/>
                <w:lang w:val="en-US"/>
              </w:rPr>
              <w:t>less</w:t>
            </w:r>
            <w:r>
              <w:rPr>
                <w:rFonts w:ascii="Times New Roman" w:eastAsia="Times New Roman" w:hAnsi="Times New Roman"/>
                <w:lang w:val="en-US"/>
              </w:rPr>
              <w:t xml:space="preserve"> sales of goods and services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expenditure on social benefits in kind </w:t>
            </w:r>
            <w:r w:rsidRPr="00B133B5">
              <w:rPr>
                <w:rFonts w:ascii="Times New Roman" w:eastAsia="Times New Roman" w:hAnsi="Times New Roman"/>
                <w:u w:val="single"/>
                <w:lang w:val="en-US"/>
              </w:rPr>
              <w:t>plus</w:t>
            </w:r>
            <w:r>
              <w:rPr>
                <w:rFonts w:ascii="Times New Roman" w:eastAsia="Times New Roman" w:hAnsi="Times New Roman"/>
                <w:lang w:val="en-US"/>
              </w:rPr>
              <w:t xml:space="preserve"> output of the Central Bank.</w:t>
            </w:r>
          </w:p>
          <w:p w14:paraId="6642D82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 xml:space="preserve"> </w:t>
            </w:r>
          </w:p>
          <w:p w14:paraId="2D6C4E4E"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Budgetary Central Government is available from the Accountant General Department.</w:t>
            </w:r>
          </w:p>
          <w:p w14:paraId="2F04C7E6" w14:textId="77777777" w:rsidR="003177E0" w:rsidRPr="004253B5" w:rsidRDefault="003177E0" w:rsidP="0058687D">
            <w:pPr>
              <w:spacing w:after="0" w:line="240" w:lineRule="auto"/>
              <w:jc w:val="both"/>
              <w:rPr>
                <w:rFonts w:ascii="Times New Roman" w:eastAsia="Times New Roman" w:hAnsi="Times New Roman"/>
                <w:lang w:val="en-US"/>
              </w:rPr>
            </w:pPr>
          </w:p>
          <w:p w14:paraId="657599EB" w14:textId="77777777" w:rsidR="003177E0" w:rsidRPr="004253B5"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Rodrigues is available from the RRA's finance department.</w:t>
            </w:r>
          </w:p>
          <w:p w14:paraId="6B9EC4A1" w14:textId="77777777" w:rsidR="003177E0" w:rsidRPr="004253B5" w:rsidRDefault="003177E0" w:rsidP="0058687D">
            <w:pPr>
              <w:spacing w:after="0" w:line="240" w:lineRule="auto"/>
              <w:jc w:val="both"/>
              <w:rPr>
                <w:rFonts w:ascii="Times New Roman" w:eastAsia="Times New Roman" w:hAnsi="Times New Roman"/>
                <w:lang w:val="en-US"/>
              </w:rPr>
            </w:pPr>
          </w:p>
          <w:p w14:paraId="44EA42C8" w14:textId="77777777" w:rsidR="003177E0" w:rsidRPr="00BB2B53" w:rsidRDefault="003177E0" w:rsidP="0058687D">
            <w:pPr>
              <w:spacing w:after="0" w:line="240" w:lineRule="auto"/>
              <w:jc w:val="both"/>
              <w:rPr>
                <w:rFonts w:ascii="Times New Roman" w:eastAsia="Times New Roman" w:hAnsi="Times New Roman"/>
                <w:lang w:val="en-US"/>
              </w:rPr>
            </w:pPr>
            <w:r w:rsidRPr="004253B5">
              <w:rPr>
                <w:rFonts w:ascii="Times New Roman" w:eastAsia="Times New Roman" w:hAnsi="Times New Roman"/>
                <w:lang w:val="en-US"/>
              </w:rPr>
              <w:t>Quarterly data for E</w:t>
            </w:r>
            <w:r>
              <w:rPr>
                <w:rFonts w:ascii="Times New Roman" w:eastAsia="Times New Roman" w:hAnsi="Times New Roman"/>
                <w:lang w:val="en-US"/>
              </w:rPr>
              <w:t>BU</w:t>
            </w:r>
            <w:r w:rsidRPr="004253B5">
              <w:rPr>
                <w:rFonts w:ascii="Times New Roman" w:eastAsia="Times New Roman" w:hAnsi="Times New Roman"/>
                <w:lang w:val="en-US"/>
              </w:rPr>
              <w:t>s and Local Government are estimated.</w:t>
            </w:r>
          </w:p>
        </w:tc>
        <w:tc>
          <w:tcPr>
            <w:tcW w:w="3122" w:type="dxa"/>
            <w:tcBorders>
              <w:top w:val="single" w:sz="4" w:space="0" w:color="auto"/>
              <w:left w:val="nil"/>
              <w:bottom w:val="single" w:sz="4" w:space="0" w:color="auto"/>
              <w:right w:val="single" w:sz="4" w:space="0" w:color="auto"/>
            </w:tcBorders>
          </w:tcPr>
          <w:p w14:paraId="6A10DAE1" w14:textId="77777777" w:rsidR="003177E0" w:rsidRPr="009C42A4"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Compensation of Employees is deflated using the annual wage rate index based on salary compensation.</w:t>
            </w:r>
          </w:p>
          <w:p w14:paraId="23A9DCFB"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D74CA0">
              <w:rPr>
                <w:rFonts w:ascii="Times New Roman" w:eastAsia="Times New Roman" w:hAnsi="Times New Roman"/>
                <w:szCs w:val="24"/>
                <w:lang w:val="en-US"/>
              </w:rPr>
              <w:t>Consumption of Fixed Capital is deflated using the quarterly Construction Price Index (for Construction items), Vehicle Price Index (for vehicles) and a combination of PPI and IPI (for machinery and equipment excluding vehicles)</w:t>
            </w:r>
            <w:r>
              <w:rPr>
                <w:rFonts w:ascii="Times New Roman" w:eastAsia="Times New Roman" w:hAnsi="Times New Roman"/>
                <w:szCs w:val="24"/>
                <w:lang w:val="en-US"/>
              </w:rPr>
              <w:t>.</w:t>
            </w:r>
          </w:p>
          <w:p w14:paraId="49BEB0E8" w14:textId="77777777" w:rsidR="003177E0" w:rsidRDefault="003177E0" w:rsidP="0058687D">
            <w:pPr>
              <w:pStyle w:val="ListParagraph"/>
              <w:numPr>
                <w:ilvl w:val="0"/>
                <w:numId w:val="35"/>
              </w:numPr>
              <w:spacing w:after="0" w:line="240" w:lineRule="auto"/>
              <w:jc w:val="both"/>
              <w:rPr>
                <w:rFonts w:ascii="Times New Roman" w:eastAsia="Times New Roman" w:hAnsi="Times New Roman"/>
                <w:szCs w:val="24"/>
                <w:lang w:val="en-US"/>
              </w:rPr>
            </w:pPr>
            <w:r w:rsidRPr="000B777E">
              <w:rPr>
                <w:rFonts w:ascii="Times New Roman" w:eastAsia="Times New Roman" w:hAnsi="Times New Roman"/>
                <w:szCs w:val="24"/>
                <w:lang w:val="en-US"/>
              </w:rPr>
              <w:t>Value of goods and services is deflated using quarterly CPI.</w:t>
            </w:r>
          </w:p>
          <w:p w14:paraId="468F4A99" w14:textId="2B0EF224" w:rsidR="00F007EA" w:rsidRPr="000B777E" w:rsidRDefault="00F007EA" w:rsidP="0058687D">
            <w:pPr>
              <w:pStyle w:val="ListParagraph"/>
              <w:numPr>
                <w:ilvl w:val="0"/>
                <w:numId w:val="35"/>
              </w:numPr>
              <w:spacing w:after="0" w:line="240" w:lineRule="auto"/>
              <w:jc w:val="both"/>
              <w:rPr>
                <w:rFonts w:ascii="Times New Roman" w:eastAsia="Times New Roman" w:hAnsi="Times New Roman"/>
                <w:szCs w:val="24"/>
                <w:lang w:val="en-US"/>
              </w:rPr>
            </w:pPr>
            <w:r w:rsidRPr="00F007EA">
              <w:rPr>
                <w:rFonts w:ascii="Times New Roman" w:eastAsia="Times New Roman" w:hAnsi="Times New Roman"/>
                <w:szCs w:val="24"/>
                <w:lang w:val="en-US"/>
              </w:rPr>
              <w:t>Social benefits in kind are deflated using the annual wage rate index based on salary compensation.</w:t>
            </w:r>
            <w:r>
              <w:rPr>
                <w:rFonts w:ascii="Times New Roman" w:eastAsia="Times New Roman" w:hAnsi="Times New Roman"/>
                <w:szCs w:val="24"/>
                <w:lang w:val="en-US"/>
              </w:rPr>
              <w:t xml:space="preserve">  </w:t>
            </w:r>
          </w:p>
        </w:tc>
      </w:tr>
      <w:tr w:rsidR="003177E0" w:rsidRPr="004253B5" w14:paraId="6F1AB89E"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2A53E23B" w14:textId="77777777" w:rsidR="003177E0" w:rsidRPr="00D74CA0"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b/>
                <w:szCs w:val="24"/>
                <w:lang w:val="en-US"/>
              </w:rPr>
              <w:t>B. Gross fixed capital f</w:t>
            </w:r>
            <w:r w:rsidRPr="004253B5">
              <w:rPr>
                <w:rFonts w:ascii="Times New Roman" w:eastAsia="Times New Roman" w:hAnsi="Times New Roman"/>
                <w:b/>
                <w:szCs w:val="24"/>
                <w:lang w:val="en-US"/>
              </w:rPr>
              <w:t>ormation (GFCF)</w:t>
            </w:r>
          </w:p>
        </w:tc>
      </w:tr>
      <w:tr w:rsidR="003177E0" w:rsidRPr="004253B5" w14:paraId="22204E5C"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F2F2F2"/>
          </w:tcPr>
          <w:p w14:paraId="6F29654E" w14:textId="77777777" w:rsidR="003177E0" w:rsidRDefault="003177E0" w:rsidP="0058687D">
            <w:pPr>
              <w:pStyle w:val="ListParagraph"/>
              <w:spacing w:after="0" w:line="240" w:lineRule="auto"/>
              <w:ind w:left="0"/>
              <w:jc w:val="both"/>
              <w:rPr>
                <w:rFonts w:ascii="Times New Roman" w:eastAsia="Times New Roman" w:hAnsi="Times New Roman"/>
                <w:b/>
                <w:szCs w:val="24"/>
                <w:lang w:val="en-US"/>
              </w:rPr>
            </w:pPr>
            <w:r>
              <w:rPr>
                <w:rFonts w:ascii="Times New Roman" w:eastAsia="Times New Roman" w:hAnsi="Times New Roman"/>
                <w:b/>
                <w:szCs w:val="24"/>
                <w:lang w:val="en-US"/>
              </w:rPr>
              <w:t xml:space="preserve">     Building and c</w:t>
            </w:r>
            <w:r w:rsidRPr="004253B5">
              <w:rPr>
                <w:rFonts w:ascii="Times New Roman" w:eastAsia="Times New Roman" w:hAnsi="Times New Roman"/>
                <w:b/>
                <w:szCs w:val="24"/>
                <w:lang w:val="en-US"/>
              </w:rPr>
              <w:t>onstruction</w:t>
            </w:r>
          </w:p>
        </w:tc>
      </w:tr>
      <w:tr w:rsidR="003177E0" w:rsidRPr="004253B5" w14:paraId="4CB7681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C6ADDFD" w14:textId="77777777" w:rsidR="003177E0" w:rsidRPr="00CA225A"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Residential building</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3AD30016" w14:textId="185E0D25" w:rsidR="003177E0" w:rsidRPr="00BB2B53"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Quarterly investment in residential buildings based on quarterly data on floor area from building permits (with a lag of 1 quarter) and quarterly Construction Price Index, together with </w:t>
            </w:r>
            <w:r>
              <w:rPr>
                <w:rFonts w:ascii="Times New Roman" w:eastAsia="Times New Roman" w:hAnsi="Times New Roman"/>
                <w:szCs w:val="24"/>
                <w:lang w:val="en-US"/>
              </w:rPr>
              <w:t xml:space="preserve">quarterly </w:t>
            </w:r>
            <w:r w:rsidRPr="004253B5">
              <w:rPr>
                <w:rFonts w:ascii="Times New Roman" w:eastAsia="Times New Roman" w:hAnsi="Times New Roman"/>
                <w:szCs w:val="24"/>
                <w:lang w:val="en-US"/>
              </w:rPr>
              <w:t xml:space="preserve">data from </w:t>
            </w:r>
            <w:r>
              <w:rPr>
                <w:rFonts w:ascii="Times New Roman" w:eastAsia="Times New Roman" w:hAnsi="Times New Roman"/>
                <w:szCs w:val="24"/>
                <w:lang w:val="en-US"/>
              </w:rPr>
              <w:t>Economic Development Board (EDB),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a</w:t>
            </w:r>
            <w:r w:rsidRPr="004253B5">
              <w:rPr>
                <w:rFonts w:ascii="Times New Roman" w:eastAsia="Times New Roman" w:hAnsi="Times New Roman"/>
                <w:szCs w:val="24"/>
                <w:lang w:val="en-US"/>
              </w:rPr>
              <w:t>nd other sources, and an estimate for projects for which no permit has been issued. The cost per unit of flo</w:t>
            </w:r>
            <w:r>
              <w:rPr>
                <w:rFonts w:ascii="Times New Roman" w:eastAsia="Times New Roman" w:hAnsi="Times New Roman"/>
                <w:szCs w:val="24"/>
                <w:lang w:val="en-US"/>
              </w:rPr>
              <w:t>or area has been revised in 2018</w:t>
            </w:r>
            <w:r w:rsidRPr="004253B5">
              <w:rPr>
                <w:rFonts w:ascii="Times New Roman" w:eastAsia="Times New Roman" w:hAnsi="Times New Roman"/>
                <w:szCs w:val="24"/>
                <w:lang w:val="en-US"/>
              </w:rPr>
              <w:t xml:space="preserve"> based on the last revision in the Construction Price Index.</w:t>
            </w:r>
          </w:p>
        </w:tc>
        <w:tc>
          <w:tcPr>
            <w:tcW w:w="3122" w:type="dxa"/>
            <w:tcBorders>
              <w:top w:val="single" w:sz="4" w:space="0" w:color="auto"/>
              <w:left w:val="single" w:sz="4" w:space="0" w:color="auto"/>
              <w:right w:val="single" w:sz="4" w:space="0" w:color="auto"/>
            </w:tcBorders>
            <w:shd w:val="clear" w:color="auto" w:fill="auto"/>
          </w:tcPr>
          <w:p w14:paraId="4BB72947"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4253B5">
              <w:rPr>
                <w:rFonts w:ascii="Times New Roman" w:eastAsia="Times New Roman" w:hAnsi="Times New Roman"/>
                <w:szCs w:val="24"/>
                <w:lang w:val="en-US"/>
              </w:rPr>
              <w:t>Deflation by quarterly construction price index.</w:t>
            </w:r>
          </w:p>
        </w:tc>
      </w:tr>
      <w:tr w:rsidR="003177E0" w:rsidRPr="004253B5" w14:paraId="43D86CE4"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D95F6A9" w14:textId="77777777" w:rsidR="006214E1" w:rsidRDefault="003177E0" w:rsidP="0058687D">
            <w:pPr>
              <w:pStyle w:val="ListParagraph"/>
              <w:spacing w:after="0" w:line="240" w:lineRule="auto"/>
              <w:ind w:left="0"/>
              <w:jc w:val="both"/>
              <w:rPr>
                <w:rFonts w:ascii="Times New Roman" w:eastAsia="Times New Roman" w:hAnsi="Times New Roman"/>
                <w:szCs w:val="24"/>
                <w:lang w:val="en-US"/>
              </w:rPr>
            </w:pPr>
            <w:r>
              <w:rPr>
                <w:rFonts w:ascii="Times New Roman" w:eastAsia="Times New Roman" w:hAnsi="Times New Roman"/>
                <w:szCs w:val="24"/>
                <w:lang w:val="en-US"/>
              </w:rPr>
              <w:t>Non-residential building and other construction w</w:t>
            </w:r>
            <w:r w:rsidRPr="004253B5">
              <w:rPr>
                <w:rFonts w:ascii="Times New Roman" w:eastAsia="Times New Roman" w:hAnsi="Times New Roman"/>
                <w:szCs w:val="24"/>
                <w:lang w:val="en-US"/>
              </w:rPr>
              <w:t>o</w:t>
            </w:r>
          </w:p>
          <w:p w14:paraId="33218915" w14:textId="2F28DC3E" w:rsidR="003177E0" w:rsidRDefault="003177E0" w:rsidP="0058687D">
            <w:pPr>
              <w:pStyle w:val="ListParagraph"/>
              <w:spacing w:after="0" w:line="240" w:lineRule="auto"/>
              <w:ind w:left="0"/>
              <w:jc w:val="both"/>
              <w:rPr>
                <w:rFonts w:ascii="Times New Roman" w:eastAsia="Times New Roman" w:hAnsi="Times New Roman"/>
                <w:szCs w:val="24"/>
                <w:lang w:val="en-US"/>
              </w:rPr>
            </w:pPr>
            <w:proofErr w:type="spellStart"/>
            <w:r w:rsidRPr="004253B5">
              <w:rPr>
                <w:rFonts w:ascii="Times New Roman" w:eastAsia="Times New Roman" w:hAnsi="Times New Roman"/>
                <w:szCs w:val="24"/>
                <w:lang w:val="en-US"/>
              </w:rPr>
              <w:t>rk</w:t>
            </w:r>
            <w:proofErr w:type="spellEnd"/>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894CA17" w14:textId="67A26FF1" w:rsidR="003177E0" w:rsidRPr="004253B5" w:rsidRDefault="003177E0" w:rsidP="0058687D">
            <w:pPr>
              <w:pStyle w:val="ListParagraph"/>
              <w:spacing w:after="0" w:line="240" w:lineRule="auto"/>
              <w:ind w:left="0"/>
              <w:jc w:val="both"/>
              <w:rPr>
                <w:rFonts w:ascii="Times New Roman" w:eastAsia="Times New Roman" w:hAnsi="Times New Roman"/>
                <w:szCs w:val="24"/>
                <w:lang w:val="en-US"/>
              </w:rPr>
            </w:pPr>
            <w:r w:rsidRPr="004253B5">
              <w:rPr>
                <w:rFonts w:ascii="Times New Roman" w:eastAsia="Times New Roman" w:hAnsi="Times New Roman"/>
                <w:szCs w:val="24"/>
                <w:lang w:val="en-US"/>
              </w:rPr>
              <w:t>Quarterly investment in non-residential buildings and other construction work based on quarterly building permits for non-residential buildings (</w:t>
            </w:r>
            <w:r>
              <w:rPr>
                <w:rFonts w:ascii="Times New Roman" w:eastAsia="Times New Roman" w:hAnsi="Times New Roman"/>
                <w:szCs w:val="24"/>
                <w:lang w:val="en-US"/>
              </w:rPr>
              <w:t xml:space="preserve">with a </w:t>
            </w:r>
            <w:r w:rsidRPr="004253B5">
              <w:rPr>
                <w:rFonts w:ascii="Times New Roman" w:eastAsia="Times New Roman" w:hAnsi="Times New Roman"/>
                <w:szCs w:val="24"/>
                <w:lang w:val="en-US"/>
              </w:rPr>
              <w:t xml:space="preserve">lag </w:t>
            </w:r>
            <w:r>
              <w:rPr>
                <w:rFonts w:ascii="Times New Roman" w:eastAsia="Times New Roman" w:hAnsi="Times New Roman"/>
                <w:szCs w:val="24"/>
                <w:lang w:val="en-US"/>
              </w:rPr>
              <w:t xml:space="preserve">of 1 </w:t>
            </w:r>
            <w:r w:rsidRPr="004253B5">
              <w:rPr>
                <w:rFonts w:ascii="Times New Roman" w:eastAsia="Times New Roman" w:hAnsi="Times New Roman"/>
                <w:szCs w:val="24"/>
                <w:lang w:val="en-US"/>
              </w:rPr>
              <w:t>quarter) and quarterly Construction Price Index, and quarterly data</w:t>
            </w:r>
            <w:r>
              <w:rPr>
                <w:rFonts w:ascii="Times New Roman" w:eastAsia="Times New Roman" w:hAnsi="Times New Roman"/>
                <w:szCs w:val="24"/>
                <w:lang w:val="en-US"/>
              </w:rPr>
              <w:t xml:space="preserve"> from EDB and </w:t>
            </w:r>
            <w:r w:rsidRPr="004253B5">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sidRPr="004253B5">
              <w:rPr>
                <w:rFonts w:ascii="Times New Roman" w:eastAsia="Times New Roman" w:hAnsi="Times New Roman"/>
                <w:szCs w:val="24"/>
                <w:lang w:val="en-US"/>
              </w:rPr>
              <w:t xml:space="preserve"> (PSIP).</w:t>
            </w:r>
          </w:p>
        </w:tc>
        <w:tc>
          <w:tcPr>
            <w:tcW w:w="3122" w:type="dxa"/>
            <w:tcBorders>
              <w:left w:val="single" w:sz="4" w:space="0" w:color="auto"/>
              <w:right w:val="single" w:sz="4" w:space="0" w:color="auto"/>
            </w:tcBorders>
            <w:shd w:val="clear" w:color="auto" w:fill="auto"/>
          </w:tcPr>
          <w:p w14:paraId="6F199790" w14:textId="77777777" w:rsidR="003177E0" w:rsidRPr="004253B5" w:rsidRDefault="003177E0" w:rsidP="0058687D">
            <w:pPr>
              <w:spacing w:after="0" w:line="240" w:lineRule="auto"/>
              <w:ind w:left="216" w:right="28"/>
              <w:jc w:val="both"/>
              <w:rPr>
                <w:rFonts w:ascii="Times New Roman" w:eastAsia="Times New Roman" w:hAnsi="Times New Roman"/>
                <w:szCs w:val="24"/>
                <w:lang w:val="en-US"/>
              </w:rPr>
            </w:pPr>
          </w:p>
        </w:tc>
      </w:tr>
      <w:tr w:rsidR="003177E0" w:rsidRPr="004253B5" w14:paraId="18F41558" w14:textId="77777777" w:rsidTr="0058687D">
        <w:trPr>
          <w:trHeight w:val="80"/>
          <w:jc w:val="center"/>
        </w:trPr>
        <w:tc>
          <w:tcPr>
            <w:tcW w:w="10450" w:type="dxa"/>
            <w:gridSpan w:val="3"/>
            <w:tcBorders>
              <w:top w:val="single" w:sz="4" w:space="0" w:color="auto"/>
              <w:left w:val="single" w:sz="4" w:space="0" w:color="auto"/>
              <w:bottom w:val="single" w:sz="4" w:space="0" w:color="auto"/>
              <w:right w:val="single" w:sz="4" w:space="0" w:color="auto"/>
            </w:tcBorders>
            <w:shd w:val="clear" w:color="auto" w:fill="D9D9D9"/>
          </w:tcPr>
          <w:p w14:paraId="60D65126"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EF61CC">
              <w:rPr>
                <w:rFonts w:ascii="Times New Roman" w:eastAsia="Times New Roman" w:hAnsi="Times New Roman"/>
                <w:b/>
                <w:szCs w:val="24"/>
                <w:lang w:val="en-US"/>
              </w:rPr>
              <w:t>Machinery and equipment</w:t>
            </w:r>
          </w:p>
        </w:tc>
      </w:tr>
      <w:tr w:rsidR="003177E0" w:rsidRPr="004253B5" w14:paraId="724EE6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66E39214"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sidRPr="00EF61CC">
              <w:rPr>
                <w:rFonts w:ascii="Times New Roman" w:eastAsia="Times New Roman" w:hAnsi="Times New Roman"/>
                <w:szCs w:val="24"/>
                <w:lang w:val="en-US"/>
              </w:rPr>
              <w:t>Aircraft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4368038C" w14:textId="2B124E01" w:rsidR="003177E0" w:rsidRPr="00BB2B53"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Based on information provided by Air Mauritius Ltd and </w:t>
            </w:r>
            <w:r>
              <w:rPr>
                <w:rFonts w:ascii="Times New Roman" w:eastAsia="Times New Roman" w:hAnsi="Times New Roman"/>
                <w:szCs w:val="24"/>
                <w:lang w:val="en-US"/>
              </w:rPr>
              <w:t>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w:t>
            </w:r>
          </w:p>
        </w:tc>
        <w:tc>
          <w:tcPr>
            <w:tcW w:w="3122" w:type="dxa"/>
            <w:vMerge w:val="restart"/>
            <w:tcBorders>
              <w:top w:val="single" w:sz="4" w:space="0" w:color="auto"/>
              <w:left w:val="single" w:sz="4" w:space="0" w:color="auto"/>
              <w:right w:val="single" w:sz="4" w:space="0" w:color="auto"/>
            </w:tcBorders>
            <w:shd w:val="clear" w:color="auto" w:fill="auto"/>
          </w:tcPr>
          <w:p w14:paraId="085CFC7C" w14:textId="77777777" w:rsidR="003177E0" w:rsidRPr="00EF61CC" w:rsidRDefault="003177E0" w:rsidP="0058687D">
            <w:pPr>
              <w:numPr>
                <w:ilvl w:val="0"/>
                <w:numId w:val="27"/>
              </w:numPr>
              <w:spacing w:after="0" w:line="240" w:lineRule="auto"/>
              <w:ind w:right="28"/>
              <w:jc w:val="both"/>
              <w:rPr>
                <w:rFonts w:ascii="Times New Roman" w:eastAsia="Times New Roman" w:hAnsi="Times New Roman"/>
                <w:b/>
                <w:szCs w:val="24"/>
                <w:lang w:val="en-US"/>
              </w:rPr>
            </w:pPr>
            <w:r w:rsidRPr="00D74CA0">
              <w:rPr>
                <w:rFonts w:ascii="Times New Roman" w:eastAsia="Times New Roman" w:hAnsi="Times New Roman"/>
                <w:lang w:val="en-US"/>
              </w:rPr>
              <w:t>Exchange rate of the currency in which asset is purchased.</w:t>
            </w:r>
          </w:p>
        </w:tc>
      </w:tr>
      <w:tr w:rsidR="003177E0" w:rsidRPr="004253B5" w14:paraId="46E492A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57F66AED" w14:textId="77777777" w:rsidR="003177E0" w:rsidRPr="00EF61CC" w:rsidRDefault="003177E0" w:rsidP="0058687D">
            <w:pPr>
              <w:spacing w:after="0" w:line="240" w:lineRule="auto"/>
              <w:ind w:left="216" w:right="28" w:hanging="216"/>
              <w:jc w:val="both"/>
              <w:rPr>
                <w:rFonts w:ascii="Times New Roman" w:eastAsia="Times New Roman" w:hAnsi="Times New Roman"/>
                <w:szCs w:val="24"/>
                <w:lang w:val="en-US"/>
              </w:rPr>
            </w:pPr>
            <w:r>
              <w:rPr>
                <w:rFonts w:ascii="Times New Roman" w:eastAsia="Times New Roman" w:hAnsi="Times New Roman"/>
                <w:szCs w:val="24"/>
                <w:lang w:val="en-US"/>
              </w:rPr>
              <w:t>Marine vessel</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2370DB98" w14:textId="5562401E"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provi</w:t>
            </w:r>
            <w:r>
              <w:rPr>
                <w:rFonts w:ascii="Times New Roman" w:eastAsia="Times New Roman" w:hAnsi="Times New Roman"/>
                <w:szCs w:val="24"/>
                <w:lang w:val="en-US"/>
              </w:rPr>
              <w:t>ded by M</w:t>
            </w:r>
            <w:r w:rsidR="00D51A88">
              <w:rPr>
                <w:rFonts w:ascii="Times New Roman" w:eastAsia="Times New Roman" w:hAnsi="Times New Roman"/>
                <w:szCs w:val="24"/>
                <w:lang w:val="en-US"/>
              </w:rPr>
              <w:t>inistry of Finance</w:t>
            </w:r>
            <w:r>
              <w:rPr>
                <w:rFonts w:ascii="Times New Roman" w:eastAsia="Times New Roman" w:hAnsi="Times New Roman"/>
                <w:szCs w:val="24"/>
                <w:lang w:val="en-US"/>
              </w:rPr>
              <w:t xml:space="preserve"> (PSIP) and from administrative sources.</w:t>
            </w:r>
          </w:p>
        </w:tc>
        <w:tc>
          <w:tcPr>
            <w:tcW w:w="3122" w:type="dxa"/>
            <w:vMerge/>
            <w:tcBorders>
              <w:left w:val="single" w:sz="4" w:space="0" w:color="auto"/>
              <w:bottom w:val="single" w:sz="4" w:space="0" w:color="auto"/>
              <w:right w:val="single" w:sz="4" w:space="0" w:color="auto"/>
            </w:tcBorders>
            <w:shd w:val="clear" w:color="auto" w:fill="auto"/>
          </w:tcPr>
          <w:p w14:paraId="3BA5135C"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p>
        </w:tc>
      </w:tr>
      <w:tr w:rsidR="003177E0" w:rsidRPr="004253B5" w14:paraId="0CC85DBA"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49DAEF87" w14:textId="77777777" w:rsidR="003177E0" w:rsidRDefault="003177E0" w:rsidP="0058687D">
            <w:pPr>
              <w:spacing w:after="0" w:line="240" w:lineRule="auto"/>
              <w:ind w:left="-14" w:right="28"/>
              <w:jc w:val="both"/>
              <w:rPr>
                <w:rFonts w:ascii="Times New Roman" w:eastAsia="Times New Roman" w:hAnsi="Times New Roman"/>
                <w:szCs w:val="24"/>
                <w:lang w:val="en-US"/>
              </w:rPr>
            </w:pPr>
            <w:r>
              <w:rPr>
                <w:rFonts w:ascii="Times New Roman" w:eastAsia="Times New Roman" w:hAnsi="Times New Roman"/>
                <w:szCs w:val="24"/>
                <w:lang w:val="en-US"/>
              </w:rPr>
              <w:t>Transport equipment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F23E63B" w14:textId="207FC232" w:rsidR="003177E0" w:rsidRPr="004253B5" w:rsidRDefault="003177E0" w:rsidP="0058687D">
            <w:pPr>
              <w:spacing w:after="0" w:line="240" w:lineRule="auto"/>
              <w:ind w:right="28" w:hanging="35"/>
              <w:jc w:val="both"/>
              <w:rPr>
                <w:rFonts w:ascii="Times New Roman" w:eastAsia="Times New Roman" w:hAnsi="Times New Roman"/>
                <w:szCs w:val="24"/>
                <w:lang w:val="en-US"/>
              </w:rPr>
            </w:pPr>
            <w:r w:rsidRPr="004253B5">
              <w:rPr>
                <w:rFonts w:ascii="Times New Roman" w:eastAsia="Times New Roman" w:hAnsi="Times New Roman"/>
                <w:szCs w:val="24"/>
                <w:lang w:val="en-US"/>
              </w:rPr>
              <w:t>Based on information on registered vehicles provided by N</w:t>
            </w:r>
            <w:r w:rsidR="004B690B">
              <w:rPr>
                <w:rFonts w:ascii="Times New Roman" w:eastAsia="Times New Roman" w:hAnsi="Times New Roman"/>
                <w:szCs w:val="24"/>
                <w:lang w:val="en-US"/>
              </w:rPr>
              <w:t>L</w:t>
            </w:r>
            <w:r w:rsidRPr="004253B5">
              <w:rPr>
                <w:rFonts w:ascii="Times New Roman" w:eastAsia="Times New Roman" w:hAnsi="Times New Roman"/>
                <w:szCs w:val="24"/>
                <w:lang w:val="en-US"/>
              </w:rPr>
              <w:t>TA classified as final consumption expenditure or investment according to purchasers.  For transport equipment for which no registration is necessar</w:t>
            </w:r>
            <w:r>
              <w:rPr>
                <w:rFonts w:ascii="Times New Roman" w:eastAsia="Times New Roman" w:hAnsi="Times New Roman"/>
                <w:szCs w:val="24"/>
                <w:lang w:val="en-US"/>
              </w:rPr>
              <w:t>y, imports statistics are used.</w:t>
            </w:r>
          </w:p>
        </w:tc>
        <w:tc>
          <w:tcPr>
            <w:tcW w:w="3122" w:type="dxa"/>
            <w:tcBorders>
              <w:left w:val="single" w:sz="4" w:space="0" w:color="auto"/>
              <w:bottom w:val="single" w:sz="4" w:space="0" w:color="auto"/>
              <w:right w:val="single" w:sz="4" w:space="0" w:color="auto"/>
            </w:tcBorders>
            <w:shd w:val="clear" w:color="auto" w:fill="auto"/>
          </w:tcPr>
          <w:p w14:paraId="4F445D9E" w14:textId="77777777" w:rsidR="003177E0" w:rsidRPr="00AC3E18" w:rsidRDefault="003177E0" w:rsidP="0058687D">
            <w:pPr>
              <w:numPr>
                <w:ilvl w:val="0"/>
                <w:numId w:val="27"/>
              </w:numPr>
              <w:spacing w:after="0" w:line="240" w:lineRule="auto"/>
              <w:ind w:right="28"/>
              <w:jc w:val="both"/>
              <w:rPr>
                <w:rFonts w:ascii="Times New Roman" w:eastAsia="Times New Roman" w:hAnsi="Times New Roman"/>
                <w:szCs w:val="24"/>
                <w:lang w:val="en-US"/>
              </w:rPr>
            </w:pPr>
            <w:r w:rsidRPr="00AC3E18">
              <w:rPr>
                <w:rFonts w:ascii="Times New Roman" w:eastAsia="Times New Roman" w:hAnsi="Times New Roman"/>
                <w:szCs w:val="24"/>
                <w:lang w:val="en-US"/>
              </w:rPr>
              <w:t>Deflation by a vehicle price index</w:t>
            </w:r>
          </w:p>
        </w:tc>
      </w:tr>
      <w:tr w:rsidR="003177E0" w:rsidRPr="004253B5" w14:paraId="2A5E7E87"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7DC06E8D" w14:textId="77777777" w:rsidR="003177E0" w:rsidRPr="00EF61CC"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t>Other machinery and e</w:t>
            </w:r>
            <w:r w:rsidRPr="004253B5">
              <w:rPr>
                <w:rFonts w:ascii="Times New Roman" w:eastAsia="Times New Roman" w:hAnsi="Times New Roman"/>
                <w:szCs w:val="24"/>
                <w:lang w:val="en-US"/>
              </w:rPr>
              <w:t>quipment.</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4B5D95D" w14:textId="42F15F73" w:rsidR="003177E0" w:rsidRPr="004253B5" w:rsidRDefault="003177E0" w:rsidP="006C6D43">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 xml:space="preserve">Estimates are mostly based on quarterly Trade Statistics given that most of the machinery and equipment are imported.  The imported machinery and equipment goods are brought to purchasers' prices by adding all duties and taxes, landing cost, transport cost and margins. Duties and taxes are available from </w:t>
            </w:r>
            <w:r>
              <w:rPr>
                <w:rFonts w:ascii="Times New Roman" w:eastAsia="Times New Roman" w:hAnsi="Times New Roman"/>
                <w:szCs w:val="24"/>
                <w:lang w:val="en-US"/>
              </w:rPr>
              <w:t>MRA</w:t>
            </w:r>
            <w:r w:rsidRPr="004253B5">
              <w:rPr>
                <w:rFonts w:ascii="Times New Roman" w:eastAsia="Times New Roman" w:hAnsi="Times New Roman"/>
                <w:szCs w:val="24"/>
                <w:lang w:val="en-US"/>
              </w:rPr>
              <w:t xml:space="preserve">, landing cost from </w:t>
            </w:r>
            <w:r>
              <w:rPr>
                <w:rFonts w:ascii="Times New Roman" w:eastAsia="Times New Roman" w:hAnsi="Times New Roman"/>
                <w:szCs w:val="24"/>
                <w:lang w:val="en-US"/>
              </w:rPr>
              <w:t>MPA</w:t>
            </w:r>
            <w:r w:rsidRPr="004253B5">
              <w:rPr>
                <w:rFonts w:ascii="Times New Roman" w:eastAsia="Times New Roman" w:hAnsi="Times New Roman"/>
                <w:szCs w:val="24"/>
                <w:lang w:val="en-US"/>
              </w:rPr>
              <w:t xml:space="preserve"> while rates of transport and margin are based on the results of the 201</w:t>
            </w:r>
            <w:r w:rsidR="00313E74">
              <w:rPr>
                <w:rFonts w:ascii="Times New Roman" w:eastAsia="Times New Roman" w:hAnsi="Times New Roman"/>
                <w:szCs w:val="24"/>
                <w:lang w:val="en-US"/>
              </w:rPr>
              <w:t>8</w:t>
            </w:r>
            <w:r w:rsidRPr="004253B5">
              <w:rPr>
                <w:rFonts w:ascii="Times New Roman" w:eastAsia="Times New Roman" w:hAnsi="Times New Roman"/>
                <w:szCs w:val="24"/>
                <w:lang w:val="en-US"/>
              </w:rPr>
              <w:t xml:space="preserve"> CEA.</w:t>
            </w:r>
            <w:r w:rsidR="006C6D43">
              <w:rPr>
                <w:rFonts w:ascii="Times New Roman" w:eastAsia="Times New Roman" w:hAnsi="Times New Roman"/>
                <w:szCs w:val="24"/>
                <w:lang w:val="en-US"/>
              </w:rPr>
              <w:t xml:space="preserve"> </w:t>
            </w:r>
            <w:r w:rsidRPr="004253B5">
              <w:rPr>
                <w:rFonts w:ascii="Times New Roman" w:eastAsia="Times New Roman" w:hAnsi="Times New Roman"/>
                <w:szCs w:val="24"/>
                <w:lang w:val="en-US"/>
              </w:rPr>
              <w:t xml:space="preserve">Local </w:t>
            </w:r>
            <w:r w:rsidRPr="004253B5">
              <w:rPr>
                <w:rFonts w:ascii="Times New Roman" w:eastAsia="Times New Roman" w:hAnsi="Times New Roman"/>
                <w:szCs w:val="24"/>
                <w:lang w:val="en-US"/>
              </w:rPr>
              <w:lastRenderedPageBreak/>
              <w:t>production of machinery is estimated from outputs of companies producing capital goods.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F60A9CA" w14:textId="77777777" w:rsidR="003177E0" w:rsidRPr="00EF61CC" w:rsidRDefault="003177E0" w:rsidP="0058687D">
            <w:pPr>
              <w:spacing w:after="0" w:line="240" w:lineRule="auto"/>
              <w:ind w:left="216" w:right="28"/>
              <w:jc w:val="both"/>
              <w:rPr>
                <w:rFonts w:ascii="Times New Roman" w:eastAsia="Times New Roman" w:hAnsi="Times New Roman"/>
                <w:b/>
                <w:szCs w:val="24"/>
                <w:lang w:val="en-US"/>
              </w:rPr>
            </w:pPr>
            <w:r w:rsidRPr="00D74CA0">
              <w:rPr>
                <w:rFonts w:ascii="Times New Roman" w:eastAsia="Times New Roman" w:hAnsi="Times New Roman"/>
                <w:lang w:val="en-US"/>
              </w:rPr>
              <w:lastRenderedPageBreak/>
              <w:t xml:space="preserve">A weighted deflator based on separate deflators for “locally produced goods” and “imported goods”. For the “locally produced goods” PPI components are used whilst for “imported goods” IPI components for “Machinery </w:t>
            </w:r>
            <w:r w:rsidRPr="00D74CA0">
              <w:rPr>
                <w:rFonts w:ascii="Times New Roman" w:eastAsia="Times New Roman" w:hAnsi="Times New Roman"/>
                <w:lang w:val="en-US"/>
              </w:rPr>
              <w:lastRenderedPageBreak/>
              <w:t>and equipment” excluding transport equipment are used to construct the deflators.</w:t>
            </w:r>
          </w:p>
        </w:tc>
      </w:tr>
      <w:tr w:rsidR="003177E0" w:rsidRPr="004253B5" w14:paraId="735746EC" w14:textId="77777777" w:rsidTr="0058687D">
        <w:trPr>
          <w:trHeight w:val="80"/>
          <w:jc w:val="center"/>
        </w:trPr>
        <w:tc>
          <w:tcPr>
            <w:tcW w:w="1684" w:type="dxa"/>
            <w:tcBorders>
              <w:top w:val="single" w:sz="4" w:space="0" w:color="auto"/>
              <w:left w:val="single" w:sz="4" w:space="0" w:color="auto"/>
              <w:bottom w:val="single" w:sz="4" w:space="0" w:color="auto"/>
              <w:right w:val="single" w:sz="4" w:space="0" w:color="auto"/>
            </w:tcBorders>
            <w:shd w:val="clear" w:color="auto" w:fill="auto"/>
          </w:tcPr>
          <w:p w14:paraId="0628DA36" w14:textId="77777777" w:rsidR="003177E0" w:rsidRDefault="003177E0" w:rsidP="0058687D">
            <w:pPr>
              <w:spacing w:after="0" w:line="240" w:lineRule="auto"/>
              <w:ind w:right="28"/>
              <w:jc w:val="both"/>
              <w:rPr>
                <w:rFonts w:ascii="Times New Roman" w:eastAsia="Times New Roman" w:hAnsi="Times New Roman"/>
                <w:szCs w:val="24"/>
                <w:lang w:val="en-US"/>
              </w:rPr>
            </w:pPr>
            <w:r>
              <w:rPr>
                <w:rFonts w:ascii="Times New Roman" w:eastAsia="Times New Roman" w:hAnsi="Times New Roman"/>
                <w:szCs w:val="24"/>
                <w:lang w:val="en-US"/>
              </w:rPr>
              <w:lastRenderedPageBreak/>
              <w:t>Exports and Imports of goods and s</w:t>
            </w:r>
            <w:r w:rsidRPr="004253B5">
              <w:rPr>
                <w:rFonts w:ascii="Times New Roman" w:eastAsia="Times New Roman" w:hAnsi="Times New Roman"/>
                <w:szCs w:val="24"/>
                <w:lang w:val="en-US"/>
              </w:rPr>
              <w:t>ervices</w:t>
            </w:r>
          </w:p>
        </w:tc>
        <w:tc>
          <w:tcPr>
            <w:tcW w:w="5644" w:type="dxa"/>
            <w:tcBorders>
              <w:top w:val="single" w:sz="4" w:space="0" w:color="auto"/>
              <w:left w:val="single" w:sz="4" w:space="0" w:color="auto"/>
              <w:bottom w:val="single" w:sz="4" w:space="0" w:color="auto"/>
              <w:right w:val="single" w:sz="4" w:space="0" w:color="auto"/>
            </w:tcBorders>
            <w:shd w:val="clear" w:color="auto" w:fill="auto"/>
          </w:tcPr>
          <w:p w14:paraId="684802EF"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Data available from the Quarterly Balance of Payments (BOP) of the Bank of Mauritius adjusted for import and export of FISIM.</w:t>
            </w:r>
          </w:p>
          <w:p w14:paraId="2DA5894E"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and export of goods, import and export price indices are used as deflators. For export of services, each component is deflated with concerned output deflators.</w:t>
            </w:r>
          </w:p>
          <w:p w14:paraId="42914031"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For import of services, a combined index is compiled based on exchange rate and inflation of trading countries.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9585CE2" w14:textId="77777777" w:rsidR="003177E0" w:rsidRPr="004253B5" w:rsidRDefault="003177E0" w:rsidP="0058687D">
            <w:pPr>
              <w:numPr>
                <w:ilvl w:val="0"/>
                <w:numId w:val="27"/>
              </w:numPr>
              <w:spacing w:after="0" w:line="240" w:lineRule="auto"/>
              <w:ind w:right="28"/>
              <w:jc w:val="both"/>
              <w:rPr>
                <w:rFonts w:ascii="Times New Roman" w:eastAsia="Times New Roman" w:hAnsi="Times New Roman"/>
                <w:lang w:val="en-US"/>
              </w:rPr>
            </w:pPr>
            <w:r w:rsidRPr="004253B5">
              <w:rPr>
                <w:rFonts w:ascii="Times New Roman" w:eastAsia="Times New Roman" w:hAnsi="Times New Roman"/>
                <w:lang w:val="en-US"/>
              </w:rPr>
              <w:t>Deflation using respective quarterly price indices.</w:t>
            </w:r>
          </w:p>
          <w:p w14:paraId="2DF03613" w14:textId="77777777" w:rsidR="003177E0" w:rsidRPr="00D74CA0" w:rsidRDefault="003177E0" w:rsidP="0058687D">
            <w:pPr>
              <w:spacing w:after="0" w:line="240" w:lineRule="auto"/>
              <w:ind w:left="216" w:right="28"/>
              <w:jc w:val="both"/>
              <w:rPr>
                <w:rFonts w:ascii="Times New Roman" w:eastAsia="Times New Roman" w:hAnsi="Times New Roman"/>
                <w:lang w:val="en-US"/>
              </w:rPr>
            </w:pPr>
          </w:p>
        </w:tc>
      </w:tr>
    </w:tbl>
    <w:p w14:paraId="7648CBA2" w14:textId="77777777" w:rsidR="003177E0" w:rsidRDefault="003177E0" w:rsidP="003177E0">
      <w:pPr>
        <w:jc w:val="both"/>
        <w:rPr>
          <w:rFonts w:ascii="Arial" w:hAnsi="Arial" w:cs="Arial"/>
          <w:b/>
          <w:i/>
          <w:sz w:val="20"/>
        </w:rPr>
      </w:pPr>
    </w:p>
    <w:p w14:paraId="61B90873" w14:textId="77777777" w:rsidR="003177E0" w:rsidRPr="008F18AC" w:rsidRDefault="003177E0" w:rsidP="003177E0">
      <w:pPr>
        <w:numPr>
          <w:ilvl w:val="0"/>
          <w:numId w:val="41"/>
        </w:numPr>
        <w:ind w:left="0"/>
        <w:rPr>
          <w:rFonts w:ascii="Times New Roman" w:hAnsi="Times New Roman"/>
          <w:b/>
        </w:rPr>
      </w:pPr>
      <w:r w:rsidRPr="008F18AC">
        <w:rPr>
          <w:rFonts w:ascii="Times New Roman" w:hAnsi="Times New Roman"/>
          <w:b/>
        </w:rPr>
        <w:t>Financial intermediation services indirectly measured (FISIM)</w:t>
      </w:r>
    </w:p>
    <w:tbl>
      <w:tblPr>
        <w:tblW w:w="10450" w:type="dxa"/>
        <w:jc w:val="center"/>
        <w:tblLayout w:type="fixed"/>
        <w:tblLook w:val="0000" w:firstRow="0" w:lastRow="0" w:firstColumn="0" w:lastColumn="0" w:noHBand="0" w:noVBand="0"/>
      </w:tblPr>
      <w:tblGrid>
        <w:gridCol w:w="1659"/>
        <w:gridCol w:w="6236"/>
        <w:gridCol w:w="2555"/>
      </w:tblGrid>
      <w:tr w:rsidR="003177E0" w:rsidRPr="004253B5" w14:paraId="49F91E23" w14:textId="77777777" w:rsidTr="0058687D">
        <w:trPr>
          <w:jc w:val="center"/>
        </w:trPr>
        <w:tc>
          <w:tcPr>
            <w:tcW w:w="1659" w:type="dxa"/>
            <w:tcBorders>
              <w:top w:val="single" w:sz="4" w:space="0" w:color="auto"/>
              <w:left w:val="single" w:sz="4" w:space="0" w:color="auto"/>
              <w:bottom w:val="single" w:sz="4" w:space="0" w:color="auto"/>
              <w:right w:val="single" w:sz="4" w:space="0" w:color="auto"/>
            </w:tcBorders>
            <w:shd w:val="clear" w:color="auto" w:fill="A6A6A6"/>
            <w:vAlign w:val="center"/>
          </w:tcPr>
          <w:p w14:paraId="128614B3" w14:textId="77777777" w:rsidR="003177E0" w:rsidRPr="004253B5" w:rsidRDefault="003177E0" w:rsidP="0058687D">
            <w:pPr>
              <w:spacing w:after="0" w:line="240" w:lineRule="auto"/>
              <w:jc w:val="both"/>
              <w:rPr>
                <w:rFonts w:ascii="Times New Roman" w:eastAsia="Times New Roman" w:hAnsi="Times New Roman"/>
                <w:b/>
                <w:szCs w:val="24"/>
                <w:lang w:val="en-US"/>
              </w:rPr>
            </w:pPr>
            <w:r>
              <w:rPr>
                <w:rFonts w:ascii="Times New Roman" w:eastAsia="Times New Roman" w:hAnsi="Times New Roman"/>
                <w:b/>
                <w:szCs w:val="24"/>
                <w:lang w:val="en-US"/>
              </w:rPr>
              <w:t>Item</w:t>
            </w:r>
          </w:p>
        </w:tc>
        <w:tc>
          <w:tcPr>
            <w:tcW w:w="6236" w:type="dxa"/>
            <w:tcBorders>
              <w:top w:val="single" w:sz="4" w:space="0" w:color="auto"/>
              <w:left w:val="nil"/>
              <w:bottom w:val="single" w:sz="4" w:space="0" w:color="auto"/>
              <w:right w:val="single" w:sz="4" w:space="0" w:color="auto"/>
            </w:tcBorders>
            <w:shd w:val="clear" w:color="auto" w:fill="A6A6A6"/>
            <w:vAlign w:val="center"/>
          </w:tcPr>
          <w:p w14:paraId="3CD4C03D"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Sources </w:t>
            </w:r>
            <w:r>
              <w:rPr>
                <w:rFonts w:ascii="Times New Roman" w:eastAsia="Times New Roman" w:hAnsi="Times New Roman"/>
                <w:b/>
                <w:szCs w:val="24"/>
                <w:lang w:val="en-US"/>
              </w:rPr>
              <w:t>and</w:t>
            </w:r>
            <w:r w:rsidRPr="004253B5">
              <w:rPr>
                <w:rFonts w:ascii="Times New Roman" w:eastAsia="Times New Roman" w:hAnsi="Times New Roman"/>
                <w:b/>
                <w:szCs w:val="24"/>
                <w:lang w:val="en-US"/>
              </w:rPr>
              <w:t xml:space="preserve"> Methodology</w:t>
            </w:r>
          </w:p>
        </w:tc>
        <w:tc>
          <w:tcPr>
            <w:tcW w:w="2555" w:type="dxa"/>
            <w:tcBorders>
              <w:top w:val="single" w:sz="4" w:space="0" w:color="auto"/>
              <w:left w:val="nil"/>
              <w:bottom w:val="single" w:sz="4" w:space="0" w:color="auto"/>
              <w:right w:val="single" w:sz="4" w:space="0" w:color="auto"/>
            </w:tcBorders>
            <w:shd w:val="clear" w:color="auto" w:fill="A6A6A6"/>
            <w:vAlign w:val="center"/>
          </w:tcPr>
          <w:p w14:paraId="48DFBA41" w14:textId="77777777" w:rsidR="003177E0" w:rsidRPr="004253B5" w:rsidRDefault="003177E0" w:rsidP="0058687D">
            <w:pPr>
              <w:spacing w:after="0" w:line="240" w:lineRule="auto"/>
              <w:jc w:val="both"/>
              <w:rPr>
                <w:rFonts w:ascii="Times New Roman" w:eastAsia="Times New Roman" w:hAnsi="Times New Roman"/>
                <w:b/>
                <w:szCs w:val="24"/>
                <w:lang w:val="en-US"/>
              </w:rPr>
            </w:pPr>
            <w:r w:rsidRPr="004253B5">
              <w:rPr>
                <w:rFonts w:ascii="Times New Roman" w:eastAsia="Times New Roman" w:hAnsi="Times New Roman"/>
                <w:b/>
                <w:szCs w:val="24"/>
                <w:lang w:val="en-US"/>
              </w:rPr>
              <w:t xml:space="preserve">Indicator – </w:t>
            </w:r>
            <w:r>
              <w:rPr>
                <w:rFonts w:ascii="Times New Roman" w:eastAsia="Times New Roman" w:hAnsi="Times New Roman"/>
                <w:b/>
                <w:szCs w:val="24"/>
                <w:lang w:val="en-US"/>
              </w:rPr>
              <w:t>C</w:t>
            </w:r>
            <w:r w:rsidRPr="004253B5">
              <w:rPr>
                <w:rFonts w:ascii="Times New Roman" w:eastAsia="Times New Roman" w:hAnsi="Times New Roman"/>
                <w:b/>
                <w:szCs w:val="24"/>
                <w:lang w:val="en-US"/>
              </w:rPr>
              <w:t xml:space="preserve">onstant </w:t>
            </w:r>
            <w:r>
              <w:rPr>
                <w:rFonts w:ascii="Times New Roman" w:eastAsia="Times New Roman" w:hAnsi="Times New Roman"/>
                <w:b/>
                <w:szCs w:val="24"/>
                <w:lang w:val="en-US"/>
              </w:rPr>
              <w:t>P</w:t>
            </w:r>
            <w:r w:rsidRPr="004253B5">
              <w:rPr>
                <w:rFonts w:ascii="Times New Roman" w:eastAsia="Times New Roman" w:hAnsi="Times New Roman"/>
                <w:b/>
                <w:szCs w:val="24"/>
                <w:lang w:val="en-US"/>
              </w:rPr>
              <w:t xml:space="preserve">rice </w:t>
            </w:r>
            <w:r>
              <w:rPr>
                <w:rFonts w:ascii="Times New Roman" w:eastAsia="Times New Roman" w:hAnsi="Times New Roman"/>
                <w:b/>
                <w:szCs w:val="24"/>
                <w:lang w:val="en-US"/>
              </w:rPr>
              <w:t>E</w:t>
            </w:r>
            <w:r w:rsidRPr="004253B5">
              <w:rPr>
                <w:rFonts w:ascii="Times New Roman" w:eastAsia="Times New Roman" w:hAnsi="Times New Roman"/>
                <w:b/>
                <w:szCs w:val="24"/>
                <w:lang w:val="en-US"/>
              </w:rPr>
              <w:t>stimates</w:t>
            </w:r>
          </w:p>
        </w:tc>
      </w:tr>
      <w:tr w:rsidR="003177E0" w:rsidRPr="004253B5" w14:paraId="2413896D" w14:textId="77777777" w:rsidTr="0058687D">
        <w:trPr>
          <w:trHeight w:val="764"/>
          <w:jc w:val="center"/>
        </w:trPr>
        <w:tc>
          <w:tcPr>
            <w:tcW w:w="1659" w:type="dxa"/>
            <w:tcBorders>
              <w:top w:val="single" w:sz="4" w:space="0" w:color="auto"/>
              <w:left w:val="single" w:sz="4" w:space="0" w:color="auto"/>
              <w:bottom w:val="single" w:sz="4" w:space="0" w:color="auto"/>
              <w:right w:val="single" w:sz="4" w:space="0" w:color="auto"/>
            </w:tcBorders>
          </w:tcPr>
          <w:p w14:paraId="75060C56" w14:textId="77777777" w:rsidR="003177E0" w:rsidRPr="004253B5" w:rsidRDefault="003177E0" w:rsidP="0058687D">
            <w:pPr>
              <w:spacing w:after="0" w:line="240" w:lineRule="auto"/>
              <w:jc w:val="both"/>
              <w:rPr>
                <w:rFonts w:ascii="Times New Roman" w:eastAsia="Times New Roman" w:hAnsi="Times New Roman"/>
                <w:szCs w:val="24"/>
                <w:lang w:val="en-US"/>
              </w:rPr>
            </w:pPr>
            <w:r w:rsidRPr="004253B5">
              <w:rPr>
                <w:rFonts w:ascii="Times New Roman" w:eastAsia="Times New Roman" w:hAnsi="Times New Roman"/>
                <w:szCs w:val="24"/>
                <w:lang w:val="en-US"/>
              </w:rPr>
              <w:t>Allocation of FISIM by sector</w:t>
            </w:r>
          </w:p>
        </w:tc>
        <w:tc>
          <w:tcPr>
            <w:tcW w:w="6236" w:type="dxa"/>
            <w:tcBorders>
              <w:top w:val="single" w:sz="4" w:space="0" w:color="auto"/>
              <w:left w:val="nil"/>
              <w:bottom w:val="single" w:sz="4" w:space="0" w:color="auto"/>
              <w:right w:val="single" w:sz="4" w:space="0" w:color="auto"/>
            </w:tcBorders>
          </w:tcPr>
          <w:p w14:paraId="04144777" w14:textId="77777777" w:rsidR="003177E0" w:rsidRPr="00654E45" w:rsidRDefault="003177E0" w:rsidP="0058687D">
            <w:pPr>
              <w:jc w:val="both"/>
              <w:rPr>
                <w:rFonts w:ascii="Times New Roman" w:hAnsi="Times New Roman"/>
              </w:rPr>
            </w:pPr>
            <w:r w:rsidRPr="000D6AF6">
              <w:rPr>
                <w:rFonts w:ascii="Times New Roman" w:hAnsi="Times New Roman"/>
              </w:rPr>
              <w:t>The quarterly figure of FISIM calculated from data available on deposits, loans and prevailing rates is distributed by sector f</w:t>
            </w:r>
            <w:r>
              <w:rPr>
                <w:rFonts w:ascii="Times New Roman" w:hAnsi="Times New Roman"/>
              </w:rPr>
              <w:t>ollowing recommendation in SNA.</w:t>
            </w:r>
          </w:p>
        </w:tc>
        <w:tc>
          <w:tcPr>
            <w:tcW w:w="2555" w:type="dxa"/>
            <w:tcBorders>
              <w:top w:val="single" w:sz="4" w:space="0" w:color="auto"/>
              <w:left w:val="nil"/>
              <w:bottom w:val="single" w:sz="4" w:space="0" w:color="auto"/>
              <w:right w:val="single" w:sz="4" w:space="0" w:color="auto"/>
            </w:tcBorders>
          </w:tcPr>
          <w:p w14:paraId="19065C67" w14:textId="77777777" w:rsidR="003177E0" w:rsidRPr="00654E45" w:rsidRDefault="003177E0" w:rsidP="0058687D">
            <w:pPr>
              <w:pStyle w:val="ListParagraph"/>
              <w:numPr>
                <w:ilvl w:val="0"/>
                <w:numId w:val="27"/>
              </w:numPr>
              <w:spacing w:after="0" w:line="240" w:lineRule="auto"/>
              <w:jc w:val="both"/>
              <w:rPr>
                <w:rFonts w:ascii="Times New Roman" w:eastAsia="Times New Roman" w:hAnsi="Times New Roman"/>
                <w:lang w:val="en-US"/>
              </w:rPr>
            </w:pPr>
            <w:r>
              <w:rPr>
                <w:rFonts w:ascii="Times New Roman" w:eastAsia="Times New Roman" w:hAnsi="Times New Roman"/>
                <w:lang w:val="en-US"/>
              </w:rPr>
              <w:t>Deflated by an overall FISIM deflator</w:t>
            </w:r>
          </w:p>
        </w:tc>
      </w:tr>
    </w:tbl>
    <w:p w14:paraId="1C8BE24E" w14:textId="77777777" w:rsidR="00492AA6" w:rsidRPr="004253B5" w:rsidRDefault="00492AA6" w:rsidP="00492AA6">
      <w:pPr>
        <w:spacing w:after="0" w:line="240" w:lineRule="auto"/>
        <w:jc w:val="center"/>
        <w:rPr>
          <w:rFonts w:ascii="Times New Roman" w:eastAsia="Times New Roman" w:hAnsi="Times New Roman"/>
          <w:b/>
          <w:sz w:val="24"/>
          <w:szCs w:val="24"/>
          <w:lang w:val="en-US"/>
        </w:rPr>
      </w:pPr>
    </w:p>
    <w:sectPr w:rsidR="00492AA6" w:rsidRPr="004253B5" w:rsidSect="00061F53">
      <w:pgSz w:w="11909" w:h="16834" w:code="9"/>
      <w:pgMar w:top="993" w:right="1111" w:bottom="567" w:left="1111" w:header="720" w:footer="505" w:gutter="0"/>
      <w:pgNumType w:start="19"/>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1D89C" w14:textId="77777777" w:rsidR="00B83B97" w:rsidRDefault="00B83B97" w:rsidP="005B04CC">
      <w:pPr>
        <w:spacing w:after="0" w:line="240" w:lineRule="auto"/>
      </w:pPr>
      <w:r>
        <w:separator/>
      </w:r>
    </w:p>
  </w:endnote>
  <w:endnote w:type="continuationSeparator" w:id="0">
    <w:p w14:paraId="690D9ED0" w14:textId="77777777" w:rsidR="00B83B97" w:rsidRDefault="00B83B97" w:rsidP="005B0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W1)">
    <w:altName w:val="Times New Roman"/>
    <w:charset w:val="00"/>
    <w:family w:val="roman"/>
    <w:pitch w:val="variable"/>
    <w:sig w:usb0="00000000" w:usb1="80000000" w:usb2="00000008"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93011" w14:textId="77777777" w:rsidR="00B83B97" w:rsidRDefault="00B83B97" w:rsidP="005B04CC">
      <w:pPr>
        <w:spacing w:after="0" w:line="240" w:lineRule="auto"/>
      </w:pPr>
      <w:r>
        <w:separator/>
      </w:r>
    </w:p>
  </w:footnote>
  <w:footnote w:type="continuationSeparator" w:id="0">
    <w:p w14:paraId="334E20E8" w14:textId="77777777" w:rsidR="00B83B97" w:rsidRDefault="00B83B97" w:rsidP="005B04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B1BA2" w14:textId="77777777" w:rsidR="00CA212A" w:rsidRDefault="00CA212A">
    <w:pPr>
      <w:pStyle w:val="Header"/>
      <w:jc w:val="center"/>
    </w:pPr>
    <w:r>
      <w:fldChar w:fldCharType="begin"/>
    </w:r>
    <w:r>
      <w:instrText xml:space="preserve"> PAGE   \* MERGEFORMAT </w:instrText>
    </w:r>
    <w:r>
      <w:fldChar w:fldCharType="separate"/>
    </w:r>
    <w:r w:rsidR="00432C95">
      <w:rPr>
        <w:noProof/>
      </w:rPr>
      <w:t>28</w:t>
    </w:r>
    <w:r>
      <w:rPr>
        <w:noProof/>
      </w:rPr>
      <w:fldChar w:fldCharType="end"/>
    </w:r>
  </w:p>
  <w:p w14:paraId="046FE787" w14:textId="77777777" w:rsidR="00CA212A" w:rsidRDefault="00CA21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AE0F" w14:textId="16F2C85D" w:rsidR="00061F53" w:rsidRDefault="00061F53">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F470F"/>
    <w:multiLevelType w:val="multilevel"/>
    <w:tmpl w:val="5686EC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347A71"/>
    <w:multiLevelType w:val="multilevel"/>
    <w:tmpl w:val="E08847F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B94116"/>
    <w:multiLevelType w:val="multilevel"/>
    <w:tmpl w:val="B47802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F65FDF"/>
    <w:multiLevelType w:val="multilevel"/>
    <w:tmpl w:val="48881B9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503D2"/>
    <w:multiLevelType w:val="multilevel"/>
    <w:tmpl w:val="E5D832E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995CC4"/>
    <w:multiLevelType w:val="multilevel"/>
    <w:tmpl w:val="5DA855F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582DF3"/>
    <w:multiLevelType w:val="multilevel"/>
    <w:tmpl w:val="05D8979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7165E"/>
    <w:multiLevelType w:val="multilevel"/>
    <w:tmpl w:val="9F3688CC"/>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BE3FFC"/>
    <w:multiLevelType w:val="multilevel"/>
    <w:tmpl w:val="D9E4825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8640F3"/>
    <w:multiLevelType w:val="multilevel"/>
    <w:tmpl w:val="A6F4728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5C55A8"/>
    <w:multiLevelType w:val="multilevel"/>
    <w:tmpl w:val="A8CE906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F91F52"/>
    <w:multiLevelType w:val="multilevel"/>
    <w:tmpl w:val="79F0797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FC599C"/>
    <w:multiLevelType w:val="multilevel"/>
    <w:tmpl w:val="A510DFA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5E50D6"/>
    <w:multiLevelType w:val="hybridMultilevel"/>
    <w:tmpl w:val="43F8D7DE"/>
    <w:lvl w:ilvl="0" w:tplc="0409000F">
      <w:start w:val="1"/>
      <w:numFmt w:val="decimal"/>
      <w:lvlText w:val="%1."/>
      <w:lvlJc w:val="left"/>
      <w:pPr>
        <w:ind w:left="2135" w:hanging="360"/>
      </w:pPr>
      <w:rPr>
        <w:rFonts w:hint="default"/>
      </w:rPr>
    </w:lvl>
    <w:lvl w:ilvl="1" w:tplc="04090019" w:tentative="1">
      <w:start w:val="1"/>
      <w:numFmt w:val="lowerLetter"/>
      <w:lvlText w:val="%2."/>
      <w:lvlJc w:val="left"/>
      <w:pPr>
        <w:ind w:left="2855" w:hanging="360"/>
      </w:pPr>
    </w:lvl>
    <w:lvl w:ilvl="2" w:tplc="0409001B" w:tentative="1">
      <w:start w:val="1"/>
      <w:numFmt w:val="lowerRoman"/>
      <w:lvlText w:val="%3."/>
      <w:lvlJc w:val="right"/>
      <w:pPr>
        <w:ind w:left="3575" w:hanging="180"/>
      </w:pPr>
    </w:lvl>
    <w:lvl w:ilvl="3" w:tplc="0409000F" w:tentative="1">
      <w:start w:val="1"/>
      <w:numFmt w:val="decimal"/>
      <w:lvlText w:val="%4."/>
      <w:lvlJc w:val="left"/>
      <w:pPr>
        <w:ind w:left="4295" w:hanging="360"/>
      </w:pPr>
    </w:lvl>
    <w:lvl w:ilvl="4" w:tplc="04090019" w:tentative="1">
      <w:start w:val="1"/>
      <w:numFmt w:val="lowerLetter"/>
      <w:lvlText w:val="%5."/>
      <w:lvlJc w:val="left"/>
      <w:pPr>
        <w:ind w:left="5015" w:hanging="360"/>
      </w:pPr>
    </w:lvl>
    <w:lvl w:ilvl="5" w:tplc="0409001B" w:tentative="1">
      <w:start w:val="1"/>
      <w:numFmt w:val="lowerRoman"/>
      <w:lvlText w:val="%6."/>
      <w:lvlJc w:val="right"/>
      <w:pPr>
        <w:ind w:left="5735" w:hanging="180"/>
      </w:pPr>
    </w:lvl>
    <w:lvl w:ilvl="6" w:tplc="0409000F" w:tentative="1">
      <w:start w:val="1"/>
      <w:numFmt w:val="decimal"/>
      <w:lvlText w:val="%7."/>
      <w:lvlJc w:val="left"/>
      <w:pPr>
        <w:ind w:left="6455" w:hanging="360"/>
      </w:pPr>
    </w:lvl>
    <w:lvl w:ilvl="7" w:tplc="04090019" w:tentative="1">
      <w:start w:val="1"/>
      <w:numFmt w:val="lowerLetter"/>
      <w:lvlText w:val="%8."/>
      <w:lvlJc w:val="left"/>
      <w:pPr>
        <w:ind w:left="7175" w:hanging="360"/>
      </w:pPr>
    </w:lvl>
    <w:lvl w:ilvl="8" w:tplc="0409001B" w:tentative="1">
      <w:start w:val="1"/>
      <w:numFmt w:val="lowerRoman"/>
      <w:lvlText w:val="%9."/>
      <w:lvlJc w:val="right"/>
      <w:pPr>
        <w:ind w:left="7895" w:hanging="180"/>
      </w:pPr>
    </w:lvl>
  </w:abstractNum>
  <w:abstractNum w:abstractNumId="14" w15:restartNumberingAfterBreak="0">
    <w:nsid w:val="1D9E7F20"/>
    <w:multiLevelType w:val="multilevel"/>
    <w:tmpl w:val="E1B689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923443"/>
    <w:multiLevelType w:val="multilevel"/>
    <w:tmpl w:val="76CCD78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325FA3"/>
    <w:multiLevelType w:val="multilevel"/>
    <w:tmpl w:val="1F5C5CFA"/>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1368"/>
        </w:tabs>
        <w:ind w:left="1368" w:hanging="288"/>
      </w:pPr>
      <w:rPr>
        <w:rFonts w:ascii="Times New Roman" w:eastAsia="Times New Roman" w:hAnsi="Times New Roman" w:cs="Times New Roman" w:hint="default"/>
      </w:rPr>
    </w:lvl>
    <w:lvl w:ilvl="2">
      <w:numFmt w:val="bullet"/>
      <w:lvlText w:val="-"/>
      <w:lvlJc w:val="left"/>
      <w:pPr>
        <w:tabs>
          <w:tab w:val="num" w:pos="2016"/>
        </w:tabs>
        <w:ind w:left="2016" w:hanging="216"/>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F671DB"/>
    <w:multiLevelType w:val="multilevel"/>
    <w:tmpl w:val="5DDE943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D10E54"/>
    <w:multiLevelType w:val="multilevel"/>
    <w:tmpl w:val="A0321A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795085"/>
    <w:multiLevelType w:val="hybridMultilevel"/>
    <w:tmpl w:val="0A7EEA42"/>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0" w15:restartNumberingAfterBreak="0">
    <w:nsid w:val="322C7F1A"/>
    <w:multiLevelType w:val="multilevel"/>
    <w:tmpl w:val="32148F1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861A78"/>
    <w:multiLevelType w:val="hybridMultilevel"/>
    <w:tmpl w:val="14229C80"/>
    <w:lvl w:ilvl="0" w:tplc="E34C5E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8A372A3"/>
    <w:multiLevelType w:val="multilevel"/>
    <w:tmpl w:val="586EF5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9F54C7"/>
    <w:multiLevelType w:val="multilevel"/>
    <w:tmpl w:val="93AEE4BE"/>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3DE6567F"/>
    <w:multiLevelType w:val="multilevel"/>
    <w:tmpl w:val="2CC4DA5A"/>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FF37ED0"/>
    <w:multiLevelType w:val="hybridMultilevel"/>
    <w:tmpl w:val="5AC80E40"/>
    <w:lvl w:ilvl="0" w:tplc="B288C370">
      <w:start w:val="1"/>
      <w:numFmt w:val="lowerRoman"/>
      <w:lvlText w:val="(%1)"/>
      <w:lvlJc w:val="left"/>
      <w:pPr>
        <w:ind w:left="6303" w:hanging="720"/>
      </w:pPr>
      <w:rPr>
        <w:rFonts w:hint="default"/>
      </w:rPr>
    </w:lvl>
    <w:lvl w:ilvl="1" w:tplc="04090019">
      <w:start w:val="1"/>
      <w:numFmt w:val="lowerLetter"/>
      <w:lvlText w:val="%2."/>
      <w:lvlJc w:val="left"/>
      <w:pPr>
        <w:ind w:left="11198" w:hanging="360"/>
      </w:pPr>
    </w:lvl>
    <w:lvl w:ilvl="2" w:tplc="0409001B" w:tentative="1">
      <w:start w:val="1"/>
      <w:numFmt w:val="lowerRoman"/>
      <w:lvlText w:val="%3."/>
      <w:lvlJc w:val="right"/>
      <w:pPr>
        <w:ind w:left="11918" w:hanging="180"/>
      </w:pPr>
    </w:lvl>
    <w:lvl w:ilvl="3" w:tplc="0409000F" w:tentative="1">
      <w:start w:val="1"/>
      <w:numFmt w:val="decimal"/>
      <w:lvlText w:val="%4."/>
      <w:lvlJc w:val="left"/>
      <w:pPr>
        <w:ind w:left="12638" w:hanging="360"/>
      </w:pPr>
    </w:lvl>
    <w:lvl w:ilvl="4" w:tplc="04090019" w:tentative="1">
      <w:start w:val="1"/>
      <w:numFmt w:val="lowerLetter"/>
      <w:lvlText w:val="%5."/>
      <w:lvlJc w:val="left"/>
      <w:pPr>
        <w:ind w:left="13358" w:hanging="360"/>
      </w:pPr>
    </w:lvl>
    <w:lvl w:ilvl="5" w:tplc="0409001B" w:tentative="1">
      <w:start w:val="1"/>
      <w:numFmt w:val="lowerRoman"/>
      <w:lvlText w:val="%6."/>
      <w:lvlJc w:val="right"/>
      <w:pPr>
        <w:ind w:left="14078" w:hanging="180"/>
      </w:pPr>
    </w:lvl>
    <w:lvl w:ilvl="6" w:tplc="0409000F" w:tentative="1">
      <w:start w:val="1"/>
      <w:numFmt w:val="decimal"/>
      <w:lvlText w:val="%7."/>
      <w:lvlJc w:val="left"/>
      <w:pPr>
        <w:ind w:left="14798" w:hanging="360"/>
      </w:pPr>
    </w:lvl>
    <w:lvl w:ilvl="7" w:tplc="04090019" w:tentative="1">
      <w:start w:val="1"/>
      <w:numFmt w:val="lowerLetter"/>
      <w:lvlText w:val="%8."/>
      <w:lvlJc w:val="left"/>
      <w:pPr>
        <w:ind w:left="15518" w:hanging="360"/>
      </w:pPr>
    </w:lvl>
    <w:lvl w:ilvl="8" w:tplc="0409001B" w:tentative="1">
      <w:start w:val="1"/>
      <w:numFmt w:val="lowerRoman"/>
      <w:lvlText w:val="%9."/>
      <w:lvlJc w:val="right"/>
      <w:pPr>
        <w:ind w:left="16238" w:hanging="180"/>
      </w:pPr>
    </w:lvl>
  </w:abstractNum>
  <w:abstractNum w:abstractNumId="26" w15:restartNumberingAfterBreak="0">
    <w:nsid w:val="46102123"/>
    <w:multiLevelType w:val="multilevel"/>
    <w:tmpl w:val="EC562A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BA53CCB"/>
    <w:multiLevelType w:val="multilevel"/>
    <w:tmpl w:val="EF94ADF4"/>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A30F6E"/>
    <w:multiLevelType w:val="multilevel"/>
    <w:tmpl w:val="4EE6374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5810537"/>
    <w:multiLevelType w:val="multilevel"/>
    <w:tmpl w:val="E34EA59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66C25A3"/>
    <w:multiLevelType w:val="multilevel"/>
    <w:tmpl w:val="1A38602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6E30319"/>
    <w:multiLevelType w:val="multilevel"/>
    <w:tmpl w:val="173C982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6643A2"/>
    <w:multiLevelType w:val="hybridMultilevel"/>
    <w:tmpl w:val="638087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3B6F08"/>
    <w:multiLevelType w:val="multilevel"/>
    <w:tmpl w:val="E730AD22"/>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2DD0385"/>
    <w:multiLevelType w:val="multilevel"/>
    <w:tmpl w:val="EC225F00"/>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CF4BEB"/>
    <w:multiLevelType w:val="multilevel"/>
    <w:tmpl w:val="1DFA479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805171"/>
    <w:multiLevelType w:val="multilevel"/>
    <w:tmpl w:val="8AAE96E8"/>
    <w:lvl w:ilvl="0">
      <w:numFmt w:val="bullet"/>
      <w:lvlText w:val="-"/>
      <w:lvlJc w:val="left"/>
      <w:pPr>
        <w:tabs>
          <w:tab w:val="num" w:pos="216"/>
        </w:tabs>
        <w:ind w:left="216" w:hanging="216"/>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913373"/>
    <w:multiLevelType w:val="multilevel"/>
    <w:tmpl w:val="B114BB58"/>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C2C2571"/>
    <w:multiLevelType w:val="multilevel"/>
    <w:tmpl w:val="116A8F86"/>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FD7A62"/>
    <w:multiLevelType w:val="multilevel"/>
    <w:tmpl w:val="57B08B22"/>
    <w:lvl w:ilvl="0">
      <w:numFmt w:val="bullet"/>
      <w:lvlText w:val="-"/>
      <w:lvlJc w:val="left"/>
      <w:pPr>
        <w:tabs>
          <w:tab w:val="num" w:pos="216"/>
        </w:tabs>
        <w:ind w:left="216" w:hanging="216"/>
      </w:pPr>
      <w:rPr>
        <w:rFonts w:ascii="Times New Roman" w:eastAsia="Times New Roman" w:hAnsi="Times New Roman" w:cs="Times New Roman" w:hint="default"/>
      </w:rPr>
    </w:lvl>
    <w:lvl w:ilvl="1">
      <w:numFmt w:val="bullet"/>
      <w:lvlText w:val="-"/>
      <w:lvlJc w:val="left"/>
      <w:pPr>
        <w:tabs>
          <w:tab w:val="num" w:pos="360"/>
        </w:tabs>
        <w:ind w:left="360" w:hanging="288"/>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29189A"/>
    <w:multiLevelType w:val="multilevel"/>
    <w:tmpl w:val="AC2EEC7C"/>
    <w:lvl w:ilvl="0">
      <w:numFmt w:val="bullet"/>
      <w:lvlText w:val="-"/>
      <w:lvlJc w:val="left"/>
      <w:pPr>
        <w:tabs>
          <w:tab w:val="num" w:pos="216"/>
        </w:tabs>
        <w:ind w:left="216" w:hanging="216"/>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966811683">
    <w:abstractNumId w:val="27"/>
  </w:num>
  <w:num w:numId="2" w16cid:durableId="621692169">
    <w:abstractNumId w:val="2"/>
  </w:num>
  <w:num w:numId="3" w16cid:durableId="555311808">
    <w:abstractNumId w:val="15"/>
  </w:num>
  <w:num w:numId="4" w16cid:durableId="456026088">
    <w:abstractNumId w:val="38"/>
  </w:num>
  <w:num w:numId="5" w16cid:durableId="183204006">
    <w:abstractNumId w:val="24"/>
  </w:num>
  <w:num w:numId="6" w16cid:durableId="1913542903">
    <w:abstractNumId w:val="1"/>
  </w:num>
  <w:num w:numId="7" w16cid:durableId="1531337618">
    <w:abstractNumId w:val="37"/>
  </w:num>
  <w:num w:numId="8" w16cid:durableId="426654657">
    <w:abstractNumId w:val="12"/>
  </w:num>
  <w:num w:numId="9" w16cid:durableId="369458024">
    <w:abstractNumId w:val="8"/>
  </w:num>
  <w:num w:numId="10" w16cid:durableId="947783803">
    <w:abstractNumId w:val="34"/>
  </w:num>
  <w:num w:numId="11" w16cid:durableId="648822307">
    <w:abstractNumId w:val="29"/>
  </w:num>
  <w:num w:numId="12" w16cid:durableId="235941809">
    <w:abstractNumId w:val="33"/>
  </w:num>
  <w:num w:numId="13" w16cid:durableId="291445861">
    <w:abstractNumId w:val="4"/>
  </w:num>
  <w:num w:numId="14" w16cid:durableId="1994870039">
    <w:abstractNumId w:val="14"/>
  </w:num>
  <w:num w:numId="15" w16cid:durableId="1477989722">
    <w:abstractNumId w:val="40"/>
  </w:num>
  <w:num w:numId="16" w16cid:durableId="1376661679">
    <w:abstractNumId w:val="23"/>
  </w:num>
  <w:num w:numId="17" w16cid:durableId="1305233578">
    <w:abstractNumId w:val="26"/>
  </w:num>
  <w:num w:numId="18" w16cid:durableId="217862587">
    <w:abstractNumId w:val="9"/>
  </w:num>
  <w:num w:numId="19" w16cid:durableId="175270862">
    <w:abstractNumId w:val="3"/>
  </w:num>
  <w:num w:numId="20" w16cid:durableId="578056458">
    <w:abstractNumId w:val="5"/>
  </w:num>
  <w:num w:numId="21" w16cid:durableId="1513446229">
    <w:abstractNumId w:val="36"/>
  </w:num>
  <w:num w:numId="22" w16cid:durableId="1956984197">
    <w:abstractNumId w:val="30"/>
  </w:num>
  <w:num w:numId="23" w16cid:durableId="1350568303">
    <w:abstractNumId w:val="16"/>
  </w:num>
  <w:num w:numId="24" w16cid:durableId="1221090092">
    <w:abstractNumId w:val="7"/>
  </w:num>
  <w:num w:numId="25" w16cid:durableId="304087629">
    <w:abstractNumId w:val="35"/>
  </w:num>
  <w:num w:numId="26" w16cid:durableId="305933403">
    <w:abstractNumId w:val="10"/>
  </w:num>
  <w:num w:numId="27" w16cid:durableId="25722786">
    <w:abstractNumId w:val="22"/>
  </w:num>
  <w:num w:numId="28" w16cid:durableId="1161313110">
    <w:abstractNumId w:val="31"/>
  </w:num>
  <w:num w:numId="29" w16cid:durableId="1473407569">
    <w:abstractNumId w:val="20"/>
  </w:num>
  <w:num w:numId="30" w16cid:durableId="2023894605">
    <w:abstractNumId w:val="6"/>
  </w:num>
  <w:num w:numId="31" w16cid:durableId="196704851">
    <w:abstractNumId w:val="28"/>
  </w:num>
  <w:num w:numId="32" w16cid:durableId="1215049209">
    <w:abstractNumId w:val="11"/>
  </w:num>
  <w:num w:numId="33" w16cid:durableId="579947000">
    <w:abstractNumId w:val="0"/>
  </w:num>
  <w:num w:numId="34" w16cid:durableId="139424344">
    <w:abstractNumId w:val="39"/>
  </w:num>
  <w:num w:numId="35" w16cid:durableId="1793591393">
    <w:abstractNumId w:val="18"/>
  </w:num>
  <w:num w:numId="36" w16cid:durableId="757480153">
    <w:abstractNumId w:val="17"/>
  </w:num>
  <w:num w:numId="37" w16cid:durableId="1855684481">
    <w:abstractNumId w:val="13"/>
  </w:num>
  <w:num w:numId="38" w16cid:durableId="64231896">
    <w:abstractNumId w:val="25"/>
  </w:num>
  <w:num w:numId="39" w16cid:durableId="1514765936">
    <w:abstractNumId w:val="21"/>
  </w:num>
  <w:num w:numId="40" w16cid:durableId="1518425010">
    <w:abstractNumId w:val="19"/>
  </w:num>
  <w:num w:numId="41" w16cid:durableId="4303220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4CC"/>
    <w:rsid w:val="000000A0"/>
    <w:rsid w:val="0000108F"/>
    <w:rsid w:val="000032BA"/>
    <w:rsid w:val="00003809"/>
    <w:rsid w:val="00004F1F"/>
    <w:rsid w:val="00011041"/>
    <w:rsid w:val="000117B1"/>
    <w:rsid w:val="000119FC"/>
    <w:rsid w:val="00012B2C"/>
    <w:rsid w:val="00012C12"/>
    <w:rsid w:val="0001451B"/>
    <w:rsid w:val="00015025"/>
    <w:rsid w:val="00016FC0"/>
    <w:rsid w:val="0002198E"/>
    <w:rsid w:val="0002216F"/>
    <w:rsid w:val="000229F5"/>
    <w:rsid w:val="00025250"/>
    <w:rsid w:val="0002691F"/>
    <w:rsid w:val="00027887"/>
    <w:rsid w:val="000326D2"/>
    <w:rsid w:val="00032F3C"/>
    <w:rsid w:val="00037C7C"/>
    <w:rsid w:val="00040E51"/>
    <w:rsid w:val="00042B81"/>
    <w:rsid w:val="000431E3"/>
    <w:rsid w:val="000449A6"/>
    <w:rsid w:val="000461F3"/>
    <w:rsid w:val="00046632"/>
    <w:rsid w:val="00046805"/>
    <w:rsid w:val="000501CB"/>
    <w:rsid w:val="000502E4"/>
    <w:rsid w:val="00050451"/>
    <w:rsid w:val="00051BA3"/>
    <w:rsid w:val="00052A7A"/>
    <w:rsid w:val="00052C21"/>
    <w:rsid w:val="00054104"/>
    <w:rsid w:val="00054EF3"/>
    <w:rsid w:val="00055847"/>
    <w:rsid w:val="000560DD"/>
    <w:rsid w:val="000578B7"/>
    <w:rsid w:val="000578FF"/>
    <w:rsid w:val="0006079B"/>
    <w:rsid w:val="00061F53"/>
    <w:rsid w:val="00062626"/>
    <w:rsid w:val="00063C4E"/>
    <w:rsid w:val="000647C4"/>
    <w:rsid w:val="000669B5"/>
    <w:rsid w:val="00066D33"/>
    <w:rsid w:val="0006760B"/>
    <w:rsid w:val="00071B5E"/>
    <w:rsid w:val="00071C9E"/>
    <w:rsid w:val="00084BD8"/>
    <w:rsid w:val="00085664"/>
    <w:rsid w:val="000861EB"/>
    <w:rsid w:val="00087ECE"/>
    <w:rsid w:val="00090D40"/>
    <w:rsid w:val="00091105"/>
    <w:rsid w:val="000918D6"/>
    <w:rsid w:val="00091E42"/>
    <w:rsid w:val="00091FE2"/>
    <w:rsid w:val="00094AB4"/>
    <w:rsid w:val="00094BD6"/>
    <w:rsid w:val="0009506D"/>
    <w:rsid w:val="0009606D"/>
    <w:rsid w:val="00097A48"/>
    <w:rsid w:val="000A2A9B"/>
    <w:rsid w:val="000A31E4"/>
    <w:rsid w:val="000A3DD4"/>
    <w:rsid w:val="000A6785"/>
    <w:rsid w:val="000A791A"/>
    <w:rsid w:val="000B0308"/>
    <w:rsid w:val="000B09DD"/>
    <w:rsid w:val="000B2121"/>
    <w:rsid w:val="000B299D"/>
    <w:rsid w:val="000B6E85"/>
    <w:rsid w:val="000C11C5"/>
    <w:rsid w:val="000C162A"/>
    <w:rsid w:val="000C2287"/>
    <w:rsid w:val="000C35C2"/>
    <w:rsid w:val="000C41D0"/>
    <w:rsid w:val="000C4518"/>
    <w:rsid w:val="000C6AD5"/>
    <w:rsid w:val="000C7739"/>
    <w:rsid w:val="000D2123"/>
    <w:rsid w:val="000D3199"/>
    <w:rsid w:val="000D4893"/>
    <w:rsid w:val="000D4B55"/>
    <w:rsid w:val="000D5583"/>
    <w:rsid w:val="000D5F92"/>
    <w:rsid w:val="000D6469"/>
    <w:rsid w:val="000D65DE"/>
    <w:rsid w:val="000E0E3A"/>
    <w:rsid w:val="000E120E"/>
    <w:rsid w:val="000E1C34"/>
    <w:rsid w:val="000E325A"/>
    <w:rsid w:val="000E3CE7"/>
    <w:rsid w:val="000E570F"/>
    <w:rsid w:val="000E6E3A"/>
    <w:rsid w:val="000F25DD"/>
    <w:rsid w:val="000F3AC5"/>
    <w:rsid w:val="000F4450"/>
    <w:rsid w:val="000F6A5E"/>
    <w:rsid w:val="000F6EFC"/>
    <w:rsid w:val="000F71AF"/>
    <w:rsid w:val="00103B20"/>
    <w:rsid w:val="00103C77"/>
    <w:rsid w:val="00104C22"/>
    <w:rsid w:val="00106D28"/>
    <w:rsid w:val="00107A1C"/>
    <w:rsid w:val="001112A2"/>
    <w:rsid w:val="001116B7"/>
    <w:rsid w:val="00112CC2"/>
    <w:rsid w:val="001136EC"/>
    <w:rsid w:val="00113F4C"/>
    <w:rsid w:val="00114355"/>
    <w:rsid w:val="00114FC4"/>
    <w:rsid w:val="00115628"/>
    <w:rsid w:val="00120652"/>
    <w:rsid w:val="00122E37"/>
    <w:rsid w:val="00123638"/>
    <w:rsid w:val="0012420E"/>
    <w:rsid w:val="00124C1F"/>
    <w:rsid w:val="00125169"/>
    <w:rsid w:val="00125519"/>
    <w:rsid w:val="00125FBA"/>
    <w:rsid w:val="0012669C"/>
    <w:rsid w:val="00130899"/>
    <w:rsid w:val="00130CC7"/>
    <w:rsid w:val="00133B32"/>
    <w:rsid w:val="0013462C"/>
    <w:rsid w:val="001350E0"/>
    <w:rsid w:val="001354DC"/>
    <w:rsid w:val="00135800"/>
    <w:rsid w:val="00135B63"/>
    <w:rsid w:val="00136801"/>
    <w:rsid w:val="00140561"/>
    <w:rsid w:val="00141E40"/>
    <w:rsid w:val="00142C24"/>
    <w:rsid w:val="00144DDF"/>
    <w:rsid w:val="00145B70"/>
    <w:rsid w:val="00145E28"/>
    <w:rsid w:val="001547D1"/>
    <w:rsid w:val="00154A92"/>
    <w:rsid w:val="001559AE"/>
    <w:rsid w:val="0015604C"/>
    <w:rsid w:val="00160E5F"/>
    <w:rsid w:val="00162B8B"/>
    <w:rsid w:val="00166D46"/>
    <w:rsid w:val="00167507"/>
    <w:rsid w:val="0016786E"/>
    <w:rsid w:val="0017451D"/>
    <w:rsid w:val="001767A0"/>
    <w:rsid w:val="00177BCD"/>
    <w:rsid w:val="001804CD"/>
    <w:rsid w:val="00182236"/>
    <w:rsid w:val="001848C0"/>
    <w:rsid w:val="001850D3"/>
    <w:rsid w:val="00185683"/>
    <w:rsid w:val="00190F85"/>
    <w:rsid w:val="001916E4"/>
    <w:rsid w:val="001920DF"/>
    <w:rsid w:val="00195B91"/>
    <w:rsid w:val="00196DF1"/>
    <w:rsid w:val="001A0904"/>
    <w:rsid w:val="001A22ED"/>
    <w:rsid w:val="001A28D5"/>
    <w:rsid w:val="001A62FB"/>
    <w:rsid w:val="001A7651"/>
    <w:rsid w:val="001A7C3C"/>
    <w:rsid w:val="001B4924"/>
    <w:rsid w:val="001B53D5"/>
    <w:rsid w:val="001B6469"/>
    <w:rsid w:val="001C2963"/>
    <w:rsid w:val="001C3BA3"/>
    <w:rsid w:val="001C69A1"/>
    <w:rsid w:val="001C6EDD"/>
    <w:rsid w:val="001D0B92"/>
    <w:rsid w:val="001D243B"/>
    <w:rsid w:val="001D5966"/>
    <w:rsid w:val="001D6AC4"/>
    <w:rsid w:val="001E0332"/>
    <w:rsid w:val="001E0F30"/>
    <w:rsid w:val="001E4320"/>
    <w:rsid w:val="001E47BD"/>
    <w:rsid w:val="001E552F"/>
    <w:rsid w:val="001E603C"/>
    <w:rsid w:val="001E71D2"/>
    <w:rsid w:val="001E73DC"/>
    <w:rsid w:val="001F11A0"/>
    <w:rsid w:val="001F2AA3"/>
    <w:rsid w:val="001F2F42"/>
    <w:rsid w:val="001F4360"/>
    <w:rsid w:val="001F608B"/>
    <w:rsid w:val="001F615E"/>
    <w:rsid w:val="001F64CC"/>
    <w:rsid w:val="001F6957"/>
    <w:rsid w:val="0020098E"/>
    <w:rsid w:val="0020434E"/>
    <w:rsid w:val="00204357"/>
    <w:rsid w:val="0020526B"/>
    <w:rsid w:val="002065CF"/>
    <w:rsid w:val="002073C8"/>
    <w:rsid w:val="00210416"/>
    <w:rsid w:val="00210829"/>
    <w:rsid w:val="00217D1F"/>
    <w:rsid w:val="00223DFE"/>
    <w:rsid w:val="002268AB"/>
    <w:rsid w:val="0023084F"/>
    <w:rsid w:val="00230DC7"/>
    <w:rsid w:val="00232EA8"/>
    <w:rsid w:val="00232FF4"/>
    <w:rsid w:val="0023638E"/>
    <w:rsid w:val="00241BFC"/>
    <w:rsid w:val="00243160"/>
    <w:rsid w:val="00244506"/>
    <w:rsid w:val="0024611F"/>
    <w:rsid w:val="002478A2"/>
    <w:rsid w:val="002504AB"/>
    <w:rsid w:val="00251231"/>
    <w:rsid w:val="00251297"/>
    <w:rsid w:val="00251455"/>
    <w:rsid w:val="00251A35"/>
    <w:rsid w:val="00252FB3"/>
    <w:rsid w:val="002543F3"/>
    <w:rsid w:val="0025575A"/>
    <w:rsid w:val="00255A64"/>
    <w:rsid w:val="002605CF"/>
    <w:rsid w:val="00260857"/>
    <w:rsid w:val="0026354A"/>
    <w:rsid w:val="002635AA"/>
    <w:rsid w:val="002639FF"/>
    <w:rsid w:val="00264980"/>
    <w:rsid w:val="00265EBB"/>
    <w:rsid w:val="00267D36"/>
    <w:rsid w:val="00271353"/>
    <w:rsid w:val="00272F71"/>
    <w:rsid w:val="00272FE8"/>
    <w:rsid w:val="002731BB"/>
    <w:rsid w:val="00273993"/>
    <w:rsid w:val="00273AFE"/>
    <w:rsid w:val="00273D4C"/>
    <w:rsid w:val="00274795"/>
    <w:rsid w:val="00274913"/>
    <w:rsid w:val="00274B94"/>
    <w:rsid w:val="0027581F"/>
    <w:rsid w:val="0027610A"/>
    <w:rsid w:val="002764BB"/>
    <w:rsid w:val="00276E9E"/>
    <w:rsid w:val="002806C4"/>
    <w:rsid w:val="00283534"/>
    <w:rsid w:val="002843C6"/>
    <w:rsid w:val="00285215"/>
    <w:rsid w:val="002861F0"/>
    <w:rsid w:val="00287137"/>
    <w:rsid w:val="0028760F"/>
    <w:rsid w:val="00290CF1"/>
    <w:rsid w:val="00291520"/>
    <w:rsid w:val="00293968"/>
    <w:rsid w:val="002970C3"/>
    <w:rsid w:val="00297880"/>
    <w:rsid w:val="002A1C14"/>
    <w:rsid w:val="002A32F5"/>
    <w:rsid w:val="002A3D43"/>
    <w:rsid w:val="002A4EA5"/>
    <w:rsid w:val="002A57C1"/>
    <w:rsid w:val="002A5B92"/>
    <w:rsid w:val="002A7CF7"/>
    <w:rsid w:val="002B0487"/>
    <w:rsid w:val="002B0E8E"/>
    <w:rsid w:val="002B1CE3"/>
    <w:rsid w:val="002B5719"/>
    <w:rsid w:val="002B7D7D"/>
    <w:rsid w:val="002C0E31"/>
    <w:rsid w:val="002C26B6"/>
    <w:rsid w:val="002C279B"/>
    <w:rsid w:val="002D0DE9"/>
    <w:rsid w:val="002D6C42"/>
    <w:rsid w:val="002E03CF"/>
    <w:rsid w:val="002E0F18"/>
    <w:rsid w:val="002E12C5"/>
    <w:rsid w:val="002E26BF"/>
    <w:rsid w:val="002E3BE1"/>
    <w:rsid w:val="002E4B19"/>
    <w:rsid w:val="002E66C8"/>
    <w:rsid w:val="002F10B8"/>
    <w:rsid w:val="002F189D"/>
    <w:rsid w:val="002F3AA9"/>
    <w:rsid w:val="002F42C5"/>
    <w:rsid w:val="002F6238"/>
    <w:rsid w:val="002F65A2"/>
    <w:rsid w:val="002F6E81"/>
    <w:rsid w:val="002F7D4D"/>
    <w:rsid w:val="00300BFD"/>
    <w:rsid w:val="00301752"/>
    <w:rsid w:val="0030184A"/>
    <w:rsid w:val="00302571"/>
    <w:rsid w:val="00305C12"/>
    <w:rsid w:val="003064E3"/>
    <w:rsid w:val="0030672F"/>
    <w:rsid w:val="003068DA"/>
    <w:rsid w:val="00307E00"/>
    <w:rsid w:val="0031031F"/>
    <w:rsid w:val="003107DC"/>
    <w:rsid w:val="00310846"/>
    <w:rsid w:val="0031120B"/>
    <w:rsid w:val="00313E74"/>
    <w:rsid w:val="00314553"/>
    <w:rsid w:val="00315909"/>
    <w:rsid w:val="003177E0"/>
    <w:rsid w:val="003211D2"/>
    <w:rsid w:val="003217E1"/>
    <w:rsid w:val="0032224C"/>
    <w:rsid w:val="0032258C"/>
    <w:rsid w:val="003233E7"/>
    <w:rsid w:val="003252E6"/>
    <w:rsid w:val="0032638B"/>
    <w:rsid w:val="00326C97"/>
    <w:rsid w:val="00330AE3"/>
    <w:rsid w:val="00330D0C"/>
    <w:rsid w:val="00333C2F"/>
    <w:rsid w:val="00334BC2"/>
    <w:rsid w:val="00335D4B"/>
    <w:rsid w:val="00336639"/>
    <w:rsid w:val="003378DC"/>
    <w:rsid w:val="0034046D"/>
    <w:rsid w:val="00340961"/>
    <w:rsid w:val="00340A9F"/>
    <w:rsid w:val="00340B5B"/>
    <w:rsid w:val="00340DC5"/>
    <w:rsid w:val="00341401"/>
    <w:rsid w:val="00341EE8"/>
    <w:rsid w:val="003428E5"/>
    <w:rsid w:val="00342924"/>
    <w:rsid w:val="0034299B"/>
    <w:rsid w:val="00345AC0"/>
    <w:rsid w:val="00345D21"/>
    <w:rsid w:val="00346EB4"/>
    <w:rsid w:val="00347169"/>
    <w:rsid w:val="00350AFF"/>
    <w:rsid w:val="00351C80"/>
    <w:rsid w:val="003549A9"/>
    <w:rsid w:val="00357230"/>
    <w:rsid w:val="00364662"/>
    <w:rsid w:val="00365A92"/>
    <w:rsid w:val="00365E70"/>
    <w:rsid w:val="00367030"/>
    <w:rsid w:val="00370AB2"/>
    <w:rsid w:val="00370C97"/>
    <w:rsid w:val="00371E23"/>
    <w:rsid w:val="00374028"/>
    <w:rsid w:val="00374287"/>
    <w:rsid w:val="0037502A"/>
    <w:rsid w:val="00375704"/>
    <w:rsid w:val="00375EDF"/>
    <w:rsid w:val="0038207A"/>
    <w:rsid w:val="00384A4F"/>
    <w:rsid w:val="003859F1"/>
    <w:rsid w:val="00387DB7"/>
    <w:rsid w:val="00390005"/>
    <w:rsid w:val="003911C6"/>
    <w:rsid w:val="00391C71"/>
    <w:rsid w:val="00394995"/>
    <w:rsid w:val="00395816"/>
    <w:rsid w:val="0039703F"/>
    <w:rsid w:val="00397337"/>
    <w:rsid w:val="003977DF"/>
    <w:rsid w:val="003A0578"/>
    <w:rsid w:val="003A398A"/>
    <w:rsid w:val="003B136B"/>
    <w:rsid w:val="003B15D1"/>
    <w:rsid w:val="003B2490"/>
    <w:rsid w:val="003B3124"/>
    <w:rsid w:val="003B3A58"/>
    <w:rsid w:val="003B4381"/>
    <w:rsid w:val="003B45F4"/>
    <w:rsid w:val="003B559D"/>
    <w:rsid w:val="003B795C"/>
    <w:rsid w:val="003C0CE4"/>
    <w:rsid w:val="003C1367"/>
    <w:rsid w:val="003C1E3D"/>
    <w:rsid w:val="003C1E4E"/>
    <w:rsid w:val="003C435F"/>
    <w:rsid w:val="003C5F65"/>
    <w:rsid w:val="003C7AA8"/>
    <w:rsid w:val="003D0084"/>
    <w:rsid w:val="003D16F8"/>
    <w:rsid w:val="003D1C37"/>
    <w:rsid w:val="003D2744"/>
    <w:rsid w:val="003D28C3"/>
    <w:rsid w:val="003D2AC5"/>
    <w:rsid w:val="003D2D17"/>
    <w:rsid w:val="003D2EF5"/>
    <w:rsid w:val="003D317C"/>
    <w:rsid w:val="003D4545"/>
    <w:rsid w:val="003D65E4"/>
    <w:rsid w:val="003D6B46"/>
    <w:rsid w:val="003E0419"/>
    <w:rsid w:val="003E271A"/>
    <w:rsid w:val="003E2BE0"/>
    <w:rsid w:val="003E356D"/>
    <w:rsid w:val="003E422C"/>
    <w:rsid w:val="003E7241"/>
    <w:rsid w:val="003E75D7"/>
    <w:rsid w:val="003E7751"/>
    <w:rsid w:val="003E7D93"/>
    <w:rsid w:val="003F080B"/>
    <w:rsid w:val="003F104E"/>
    <w:rsid w:val="003F18AA"/>
    <w:rsid w:val="003F2FD0"/>
    <w:rsid w:val="003F38CA"/>
    <w:rsid w:val="003F41B1"/>
    <w:rsid w:val="003F50F0"/>
    <w:rsid w:val="003F590B"/>
    <w:rsid w:val="003F6559"/>
    <w:rsid w:val="003F6C41"/>
    <w:rsid w:val="003F7B18"/>
    <w:rsid w:val="00402642"/>
    <w:rsid w:val="00402A86"/>
    <w:rsid w:val="0040366F"/>
    <w:rsid w:val="00403C12"/>
    <w:rsid w:val="00405CD8"/>
    <w:rsid w:val="004065F1"/>
    <w:rsid w:val="00406C69"/>
    <w:rsid w:val="00406F27"/>
    <w:rsid w:val="00407396"/>
    <w:rsid w:val="00412C96"/>
    <w:rsid w:val="00414793"/>
    <w:rsid w:val="00414EAB"/>
    <w:rsid w:val="00415A40"/>
    <w:rsid w:val="004160F5"/>
    <w:rsid w:val="004168E7"/>
    <w:rsid w:val="00420612"/>
    <w:rsid w:val="00420C8A"/>
    <w:rsid w:val="0042103B"/>
    <w:rsid w:val="0042177B"/>
    <w:rsid w:val="004221FB"/>
    <w:rsid w:val="00422571"/>
    <w:rsid w:val="00422C01"/>
    <w:rsid w:val="00422F1D"/>
    <w:rsid w:val="004235DA"/>
    <w:rsid w:val="00423760"/>
    <w:rsid w:val="00423DA0"/>
    <w:rsid w:val="004240BB"/>
    <w:rsid w:val="0043051B"/>
    <w:rsid w:val="00431288"/>
    <w:rsid w:val="004322D1"/>
    <w:rsid w:val="00432431"/>
    <w:rsid w:val="00432C95"/>
    <w:rsid w:val="0043370F"/>
    <w:rsid w:val="0043425A"/>
    <w:rsid w:val="004354EA"/>
    <w:rsid w:val="004356EF"/>
    <w:rsid w:val="00437755"/>
    <w:rsid w:val="00437C63"/>
    <w:rsid w:val="00437D2E"/>
    <w:rsid w:val="004429BB"/>
    <w:rsid w:val="004435CD"/>
    <w:rsid w:val="00446BF0"/>
    <w:rsid w:val="00447BA0"/>
    <w:rsid w:val="00447C3E"/>
    <w:rsid w:val="004501F0"/>
    <w:rsid w:val="00452EC2"/>
    <w:rsid w:val="0045396B"/>
    <w:rsid w:val="00454636"/>
    <w:rsid w:val="0045485E"/>
    <w:rsid w:val="00454D35"/>
    <w:rsid w:val="00456D46"/>
    <w:rsid w:val="00457E32"/>
    <w:rsid w:val="004614E1"/>
    <w:rsid w:val="00462E27"/>
    <w:rsid w:val="0046400D"/>
    <w:rsid w:val="00466A4A"/>
    <w:rsid w:val="00467047"/>
    <w:rsid w:val="00470663"/>
    <w:rsid w:val="00470DF9"/>
    <w:rsid w:val="00470E4C"/>
    <w:rsid w:val="0047104E"/>
    <w:rsid w:val="004713BD"/>
    <w:rsid w:val="004717B0"/>
    <w:rsid w:val="00472571"/>
    <w:rsid w:val="00473CCF"/>
    <w:rsid w:val="00474141"/>
    <w:rsid w:val="00476371"/>
    <w:rsid w:val="0047772F"/>
    <w:rsid w:val="00477F8C"/>
    <w:rsid w:val="00480ABA"/>
    <w:rsid w:val="00480B4F"/>
    <w:rsid w:val="00481535"/>
    <w:rsid w:val="0048297D"/>
    <w:rsid w:val="00482C30"/>
    <w:rsid w:val="00483001"/>
    <w:rsid w:val="00485B9F"/>
    <w:rsid w:val="00490B83"/>
    <w:rsid w:val="00492907"/>
    <w:rsid w:val="00492AA6"/>
    <w:rsid w:val="00494441"/>
    <w:rsid w:val="0049491F"/>
    <w:rsid w:val="004956FF"/>
    <w:rsid w:val="00496001"/>
    <w:rsid w:val="00497227"/>
    <w:rsid w:val="0049723D"/>
    <w:rsid w:val="004975FA"/>
    <w:rsid w:val="004A0589"/>
    <w:rsid w:val="004A171C"/>
    <w:rsid w:val="004A21DC"/>
    <w:rsid w:val="004A5E3D"/>
    <w:rsid w:val="004B1A3B"/>
    <w:rsid w:val="004B1AEC"/>
    <w:rsid w:val="004B2E41"/>
    <w:rsid w:val="004B351A"/>
    <w:rsid w:val="004B5877"/>
    <w:rsid w:val="004B5FC1"/>
    <w:rsid w:val="004B688E"/>
    <w:rsid w:val="004B690B"/>
    <w:rsid w:val="004B7217"/>
    <w:rsid w:val="004B7341"/>
    <w:rsid w:val="004C10A2"/>
    <w:rsid w:val="004C4163"/>
    <w:rsid w:val="004C5761"/>
    <w:rsid w:val="004C73A5"/>
    <w:rsid w:val="004D1885"/>
    <w:rsid w:val="004D20EC"/>
    <w:rsid w:val="004D2A02"/>
    <w:rsid w:val="004D4534"/>
    <w:rsid w:val="004D4B29"/>
    <w:rsid w:val="004D5D0B"/>
    <w:rsid w:val="004E1C9C"/>
    <w:rsid w:val="004E1D8E"/>
    <w:rsid w:val="004E4B8C"/>
    <w:rsid w:val="004E4E29"/>
    <w:rsid w:val="004E5497"/>
    <w:rsid w:val="004E5CF3"/>
    <w:rsid w:val="004E5E1D"/>
    <w:rsid w:val="004E60A4"/>
    <w:rsid w:val="004F10FF"/>
    <w:rsid w:val="004F114A"/>
    <w:rsid w:val="004F2162"/>
    <w:rsid w:val="004F330D"/>
    <w:rsid w:val="004F4731"/>
    <w:rsid w:val="004F55CE"/>
    <w:rsid w:val="004F6AC5"/>
    <w:rsid w:val="00500B7F"/>
    <w:rsid w:val="00501BE5"/>
    <w:rsid w:val="00507BE9"/>
    <w:rsid w:val="00511BC6"/>
    <w:rsid w:val="00512BF9"/>
    <w:rsid w:val="00512C3C"/>
    <w:rsid w:val="00513308"/>
    <w:rsid w:val="00513CCD"/>
    <w:rsid w:val="00513D79"/>
    <w:rsid w:val="0051457C"/>
    <w:rsid w:val="005160B7"/>
    <w:rsid w:val="00516892"/>
    <w:rsid w:val="005179DB"/>
    <w:rsid w:val="00517A35"/>
    <w:rsid w:val="0052006D"/>
    <w:rsid w:val="0052073F"/>
    <w:rsid w:val="00524D3E"/>
    <w:rsid w:val="00525349"/>
    <w:rsid w:val="005259F8"/>
    <w:rsid w:val="00525A72"/>
    <w:rsid w:val="00525AD4"/>
    <w:rsid w:val="0052672B"/>
    <w:rsid w:val="00526F99"/>
    <w:rsid w:val="00527505"/>
    <w:rsid w:val="00531340"/>
    <w:rsid w:val="005326BD"/>
    <w:rsid w:val="00534916"/>
    <w:rsid w:val="00534983"/>
    <w:rsid w:val="00534DDB"/>
    <w:rsid w:val="00534ED4"/>
    <w:rsid w:val="00535438"/>
    <w:rsid w:val="00535DE4"/>
    <w:rsid w:val="00540CF1"/>
    <w:rsid w:val="00541C6D"/>
    <w:rsid w:val="00542EA1"/>
    <w:rsid w:val="005430C8"/>
    <w:rsid w:val="00545117"/>
    <w:rsid w:val="005463DA"/>
    <w:rsid w:val="00546B3E"/>
    <w:rsid w:val="00546D10"/>
    <w:rsid w:val="005470A8"/>
    <w:rsid w:val="00547F6B"/>
    <w:rsid w:val="00550132"/>
    <w:rsid w:val="005513B2"/>
    <w:rsid w:val="00551BAD"/>
    <w:rsid w:val="00551BEC"/>
    <w:rsid w:val="0055499F"/>
    <w:rsid w:val="00554D34"/>
    <w:rsid w:val="00554FAC"/>
    <w:rsid w:val="005564DA"/>
    <w:rsid w:val="005568F3"/>
    <w:rsid w:val="00556F0D"/>
    <w:rsid w:val="00557E97"/>
    <w:rsid w:val="00557F04"/>
    <w:rsid w:val="005610FA"/>
    <w:rsid w:val="00561501"/>
    <w:rsid w:val="00562387"/>
    <w:rsid w:val="005624C8"/>
    <w:rsid w:val="005626C5"/>
    <w:rsid w:val="005659C0"/>
    <w:rsid w:val="00571BE3"/>
    <w:rsid w:val="005738AD"/>
    <w:rsid w:val="00573A1B"/>
    <w:rsid w:val="00573BD7"/>
    <w:rsid w:val="005746F1"/>
    <w:rsid w:val="00575678"/>
    <w:rsid w:val="00576FE6"/>
    <w:rsid w:val="0058132C"/>
    <w:rsid w:val="005813B8"/>
    <w:rsid w:val="00581AD5"/>
    <w:rsid w:val="00581DAC"/>
    <w:rsid w:val="0058687D"/>
    <w:rsid w:val="00587E31"/>
    <w:rsid w:val="00590CEA"/>
    <w:rsid w:val="00590F30"/>
    <w:rsid w:val="0059149B"/>
    <w:rsid w:val="005924A6"/>
    <w:rsid w:val="00594939"/>
    <w:rsid w:val="005A0B3A"/>
    <w:rsid w:val="005A3795"/>
    <w:rsid w:val="005A3837"/>
    <w:rsid w:val="005A432C"/>
    <w:rsid w:val="005A605E"/>
    <w:rsid w:val="005A7313"/>
    <w:rsid w:val="005B04CC"/>
    <w:rsid w:val="005B089C"/>
    <w:rsid w:val="005B1DA8"/>
    <w:rsid w:val="005B1F48"/>
    <w:rsid w:val="005B2369"/>
    <w:rsid w:val="005B2EF1"/>
    <w:rsid w:val="005B48B4"/>
    <w:rsid w:val="005B49F4"/>
    <w:rsid w:val="005B5BFF"/>
    <w:rsid w:val="005B664D"/>
    <w:rsid w:val="005B6E37"/>
    <w:rsid w:val="005C10EB"/>
    <w:rsid w:val="005C2A69"/>
    <w:rsid w:val="005C45F6"/>
    <w:rsid w:val="005C490A"/>
    <w:rsid w:val="005C4EBA"/>
    <w:rsid w:val="005C5226"/>
    <w:rsid w:val="005C57B6"/>
    <w:rsid w:val="005D013E"/>
    <w:rsid w:val="005D04E5"/>
    <w:rsid w:val="005D1239"/>
    <w:rsid w:val="005D371C"/>
    <w:rsid w:val="005D3FC0"/>
    <w:rsid w:val="005E0E86"/>
    <w:rsid w:val="005E32AC"/>
    <w:rsid w:val="005E4FD3"/>
    <w:rsid w:val="005E63F7"/>
    <w:rsid w:val="005F0144"/>
    <w:rsid w:val="005F0575"/>
    <w:rsid w:val="005F0578"/>
    <w:rsid w:val="005F0D45"/>
    <w:rsid w:val="005F13D9"/>
    <w:rsid w:val="005F1604"/>
    <w:rsid w:val="005F313B"/>
    <w:rsid w:val="005F31A4"/>
    <w:rsid w:val="005F364F"/>
    <w:rsid w:val="005F36EB"/>
    <w:rsid w:val="00600D9A"/>
    <w:rsid w:val="00602477"/>
    <w:rsid w:val="00604181"/>
    <w:rsid w:val="00605661"/>
    <w:rsid w:val="00605C76"/>
    <w:rsid w:val="00610EAE"/>
    <w:rsid w:val="00611BC3"/>
    <w:rsid w:val="00612687"/>
    <w:rsid w:val="00612ABE"/>
    <w:rsid w:val="00613D01"/>
    <w:rsid w:val="00614DA5"/>
    <w:rsid w:val="00616ED1"/>
    <w:rsid w:val="00616FF9"/>
    <w:rsid w:val="006171B7"/>
    <w:rsid w:val="00620E84"/>
    <w:rsid w:val="006214E1"/>
    <w:rsid w:val="00621FCD"/>
    <w:rsid w:val="00622368"/>
    <w:rsid w:val="006228A3"/>
    <w:rsid w:val="00623E2B"/>
    <w:rsid w:val="0062437E"/>
    <w:rsid w:val="006246EF"/>
    <w:rsid w:val="006249EC"/>
    <w:rsid w:val="00633AA5"/>
    <w:rsid w:val="0063487F"/>
    <w:rsid w:val="00634D39"/>
    <w:rsid w:val="0063574A"/>
    <w:rsid w:val="00636452"/>
    <w:rsid w:val="006379E4"/>
    <w:rsid w:val="00641681"/>
    <w:rsid w:val="00641EED"/>
    <w:rsid w:val="006422CC"/>
    <w:rsid w:val="00644767"/>
    <w:rsid w:val="0064775B"/>
    <w:rsid w:val="006477F6"/>
    <w:rsid w:val="00653255"/>
    <w:rsid w:val="00653354"/>
    <w:rsid w:val="00654E34"/>
    <w:rsid w:val="00655DA4"/>
    <w:rsid w:val="00656904"/>
    <w:rsid w:val="00657480"/>
    <w:rsid w:val="00657826"/>
    <w:rsid w:val="00657FA4"/>
    <w:rsid w:val="00660AF8"/>
    <w:rsid w:val="006611EB"/>
    <w:rsid w:val="00661355"/>
    <w:rsid w:val="006631FB"/>
    <w:rsid w:val="00663D06"/>
    <w:rsid w:val="00664B08"/>
    <w:rsid w:val="00664EA0"/>
    <w:rsid w:val="006654D6"/>
    <w:rsid w:val="0066635C"/>
    <w:rsid w:val="006676C9"/>
    <w:rsid w:val="00670D90"/>
    <w:rsid w:val="0067187D"/>
    <w:rsid w:val="006736A3"/>
    <w:rsid w:val="00675EEA"/>
    <w:rsid w:val="0068164B"/>
    <w:rsid w:val="00683A38"/>
    <w:rsid w:val="00684215"/>
    <w:rsid w:val="00684474"/>
    <w:rsid w:val="0068653F"/>
    <w:rsid w:val="006870CA"/>
    <w:rsid w:val="006926F6"/>
    <w:rsid w:val="006932A0"/>
    <w:rsid w:val="006933AA"/>
    <w:rsid w:val="00694CA5"/>
    <w:rsid w:val="006A167D"/>
    <w:rsid w:val="006A19BF"/>
    <w:rsid w:val="006A1F50"/>
    <w:rsid w:val="006A202B"/>
    <w:rsid w:val="006A2931"/>
    <w:rsid w:val="006A4CC1"/>
    <w:rsid w:val="006A5A77"/>
    <w:rsid w:val="006A7335"/>
    <w:rsid w:val="006B0380"/>
    <w:rsid w:val="006B03EB"/>
    <w:rsid w:val="006B3A2D"/>
    <w:rsid w:val="006B3BDA"/>
    <w:rsid w:val="006B6319"/>
    <w:rsid w:val="006B7DC2"/>
    <w:rsid w:val="006C2A4E"/>
    <w:rsid w:val="006C3360"/>
    <w:rsid w:val="006C3412"/>
    <w:rsid w:val="006C390D"/>
    <w:rsid w:val="006C5CD6"/>
    <w:rsid w:val="006C6D43"/>
    <w:rsid w:val="006C76A8"/>
    <w:rsid w:val="006C7BE4"/>
    <w:rsid w:val="006D027A"/>
    <w:rsid w:val="006D12C8"/>
    <w:rsid w:val="006D34D0"/>
    <w:rsid w:val="006E02B5"/>
    <w:rsid w:val="006E0E9F"/>
    <w:rsid w:val="006E2928"/>
    <w:rsid w:val="006E52D7"/>
    <w:rsid w:val="006E7151"/>
    <w:rsid w:val="006E7319"/>
    <w:rsid w:val="006E7CAE"/>
    <w:rsid w:val="006F0177"/>
    <w:rsid w:val="006F06DA"/>
    <w:rsid w:val="006F07A3"/>
    <w:rsid w:val="006F1A10"/>
    <w:rsid w:val="006F1E10"/>
    <w:rsid w:val="006F2520"/>
    <w:rsid w:val="006F3D24"/>
    <w:rsid w:val="006F3E6E"/>
    <w:rsid w:val="006F5290"/>
    <w:rsid w:val="006F5866"/>
    <w:rsid w:val="006F5C63"/>
    <w:rsid w:val="006F5D36"/>
    <w:rsid w:val="006F603E"/>
    <w:rsid w:val="006F61C6"/>
    <w:rsid w:val="006F714D"/>
    <w:rsid w:val="00700D80"/>
    <w:rsid w:val="00703130"/>
    <w:rsid w:val="0070555E"/>
    <w:rsid w:val="00705BAF"/>
    <w:rsid w:val="00705C07"/>
    <w:rsid w:val="00706B90"/>
    <w:rsid w:val="00706BAF"/>
    <w:rsid w:val="00710783"/>
    <w:rsid w:val="0071162A"/>
    <w:rsid w:val="00711D30"/>
    <w:rsid w:val="00712798"/>
    <w:rsid w:val="00713472"/>
    <w:rsid w:val="00713546"/>
    <w:rsid w:val="00713720"/>
    <w:rsid w:val="0071491F"/>
    <w:rsid w:val="00715440"/>
    <w:rsid w:val="007162D2"/>
    <w:rsid w:val="007174F8"/>
    <w:rsid w:val="00724400"/>
    <w:rsid w:val="00725E65"/>
    <w:rsid w:val="00726561"/>
    <w:rsid w:val="007312AA"/>
    <w:rsid w:val="00731601"/>
    <w:rsid w:val="007316B0"/>
    <w:rsid w:val="007324F3"/>
    <w:rsid w:val="007328C0"/>
    <w:rsid w:val="00734E9B"/>
    <w:rsid w:val="007376BD"/>
    <w:rsid w:val="00740295"/>
    <w:rsid w:val="00740D0E"/>
    <w:rsid w:val="00741567"/>
    <w:rsid w:val="00743A5B"/>
    <w:rsid w:val="00744193"/>
    <w:rsid w:val="00744C8C"/>
    <w:rsid w:val="00745D40"/>
    <w:rsid w:val="0074765C"/>
    <w:rsid w:val="00747F29"/>
    <w:rsid w:val="00750136"/>
    <w:rsid w:val="007504CD"/>
    <w:rsid w:val="00750B3C"/>
    <w:rsid w:val="00752B8D"/>
    <w:rsid w:val="00754AB4"/>
    <w:rsid w:val="00755910"/>
    <w:rsid w:val="00756502"/>
    <w:rsid w:val="00761115"/>
    <w:rsid w:val="0076150F"/>
    <w:rsid w:val="00762B0B"/>
    <w:rsid w:val="007639DE"/>
    <w:rsid w:val="0076421F"/>
    <w:rsid w:val="00764D0F"/>
    <w:rsid w:val="00765CE3"/>
    <w:rsid w:val="00765E28"/>
    <w:rsid w:val="00767DF8"/>
    <w:rsid w:val="007700B5"/>
    <w:rsid w:val="0077209D"/>
    <w:rsid w:val="00772717"/>
    <w:rsid w:val="007731F9"/>
    <w:rsid w:val="00773FE2"/>
    <w:rsid w:val="00775440"/>
    <w:rsid w:val="00777B05"/>
    <w:rsid w:val="00782B0A"/>
    <w:rsid w:val="00783475"/>
    <w:rsid w:val="00783F78"/>
    <w:rsid w:val="0078401B"/>
    <w:rsid w:val="0078505B"/>
    <w:rsid w:val="00785464"/>
    <w:rsid w:val="007859B4"/>
    <w:rsid w:val="00785AC8"/>
    <w:rsid w:val="00787624"/>
    <w:rsid w:val="00787A1D"/>
    <w:rsid w:val="00787C8D"/>
    <w:rsid w:val="007916F6"/>
    <w:rsid w:val="00792FFC"/>
    <w:rsid w:val="0079439B"/>
    <w:rsid w:val="0079788B"/>
    <w:rsid w:val="007A05B7"/>
    <w:rsid w:val="007A1C5A"/>
    <w:rsid w:val="007A26DD"/>
    <w:rsid w:val="007A322B"/>
    <w:rsid w:val="007A3E12"/>
    <w:rsid w:val="007A5F82"/>
    <w:rsid w:val="007A6A44"/>
    <w:rsid w:val="007A7DE9"/>
    <w:rsid w:val="007B090F"/>
    <w:rsid w:val="007B0C72"/>
    <w:rsid w:val="007B0E49"/>
    <w:rsid w:val="007B38F9"/>
    <w:rsid w:val="007B3DBC"/>
    <w:rsid w:val="007B59A9"/>
    <w:rsid w:val="007B5F12"/>
    <w:rsid w:val="007B6168"/>
    <w:rsid w:val="007B77BD"/>
    <w:rsid w:val="007C0416"/>
    <w:rsid w:val="007C12CA"/>
    <w:rsid w:val="007C181B"/>
    <w:rsid w:val="007C1C43"/>
    <w:rsid w:val="007C23DD"/>
    <w:rsid w:val="007C6AAF"/>
    <w:rsid w:val="007C6D75"/>
    <w:rsid w:val="007D0A7F"/>
    <w:rsid w:val="007D1BD7"/>
    <w:rsid w:val="007D27F0"/>
    <w:rsid w:val="007D4CF8"/>
    <w:rsid w:val="007E0031"/>
    <w:rsid w:val="007E179D"/>
    <w:rsid w:val="007E1C6A"/>
    <w:rsid w:val="007E4365"/>
    <w:rsid w:val="007E5C2C"/>
    <w:rsid w:val="007E5DE2"/>
    <w:rsid w:val="007E69C5"/>
    <w:rsid w:val="007E7244"/>
    <w:rsid w:val="007E7531"/>
    <w:rsid w:val="007F0014"/>
    <w:rsid w:val="007F0A28"/>
    <w:rsid w:val="007F13F4"/>
    <w:rsid w:val="007F16A8"/>
    <w:rsid w:val="007F2FF8"/>
    <w:rsid w:val="007F54D5"/>
    <w:rsid w:val="007F7D9E"/>
    <w:rsid w:val="00800230"/>
    <w:rsid w:val="008010A7"/>
    <w:rsid w:val="0080125A"/>
    <w:rsid w:val="00801CF7"/>
    <w:rsid w:val="008046A5"/>
    <w:rsid w:val="00805A80"/>
    <w:rsid w:val="0080622B"/>
    <w:rsid w:val="00810403"/>
    <w:rsid w:val="008105CC"/>
    <w:rsid w:val="00811DF9"/>
    <w:rsid w:val="00813C74"/>
    <w:rsid w:val="00817460"/>
    <w:rsid w:val="00820BC6"/>
    <w:rsid w:val="00820F8C"/>
    <w:rsid w:val="008225B6"/>
    <w:rsid w:val="00823C7E"/>
    <w:rsid w:val="008244F0"/>
    <w:rsid w:val="00824A36"/>
    <w:rsid w:val="00826736"/>
    <w:rsid w:val="00832B7B"/>
    <w:rsid w:val="00833B1E"/>
    <w:rsid w:val="00833F62"/>
    <w:rsid w:val="00834650"/>
    <w:rsid w:val="00835B14"/>
    <w:rsid w:val="0083629F"/>
    <w:rsid w:val="00837601"/>
    <w:rsid w:val="00837C02"/>
    <w:rsid w:val="00841FCA"/>
    <w:rsid w:val="008434F9"/>
    <w:rsid w:val="00843A8D"/>
    <w:rsid w:val="00843ECF"/>
    <w:rsid w:val="00843F6E"/>
    <w:rsid w:val="00844A3E"/>
    <w:rsid w:val="00844CEC"/>
    <w:rsid w:val="0084692C"/>
    <w:rsid w:val="00846A64"/>
    <w:rsid w:val="0085004F"/>
    <w:rsid w:val="00850DC5"/>
    <w:rsid w:val="00850FFB"/>
    <w:rsid w:val="0085123C"/>
    <w:rsid w:val="0085230C"/>
    <w:rsid w:val="00854D0D"/>
    <w:rsid w:val="008606A0"/>
    <w:rsid w:val="00860F4F"/>
    <w:rsid w:val="0086141D"/>
    <w:rsid w:val="00863344"/>
    <w:rsid w:val="00863D51"/>
    <w:rsid w:val="008642A8"/>
    <w:rsid w:val="00864AC7"/>
    <w:rsid w:val="00866311"/>
    <w:rsid w:val="00870D22"/>
    <w:rsid w:val="008732E0"/>
    <w:rsid w:val="00874582"/>
    <w:rsid w:val="00875736"/>
    <w:rsid w:val="00876B6D"/>
    <w:rsid w:val="0087740E"/>
    <w:rsid w:val="008803C7"/>
    <w:rsid w:val="0088044A"/>
    <w:rsid w:val="00880B38"/>
    <w:rsid w:val="00883345"/>
    <w:rsid w:val="0088351B"/>
    <w:rsid w:val="00883E34"/>
    <w:rsid w:val="00886580"/>
    <w:rsid w:val="00886AD9"/>
    <w:rsid w:val="00890506"/>
    <w:rsid w:val="008907B5"/>
    <w:rsid w:val="00892330"/>
    <w:rsid w:val="008924E3"/>
    <w:rsid w:val="00892AE3"/>
    <w:rsid w:val="00892E90"/>
    <w:rsid w:val="008935F5"/>
    <w:rsid w:val="0089435E"/>
    <w:rsid w:val="00895D11"/>
    <w:rsid w:val="00897CFF"/>
    <w:rsid w:val="008A0EEC"/>
    <w:rsid w:val="008A19AF"/>
    <w:rsid w:val="008A275A"/>
    <w:rsid w:val="008A4B4B"/>
    <w:rsid w:val="008A6810"/>
    <w:rsid w:val="008A6CEC"/>
    <w:rsid w:val="008A7CEE"/>
    <w:rsid w:val="008B06CD"/>
    <w:rsid w:val="008B20F8"/>
    <w:rsid w:val="008B315D"/>
    <w:rsid w:val="008B4643"/>
    <w:rsid w:val="008B4655"/>
    <w:rsid w:val="008B5966"/>
    <w:rsid w:val="008B5B42"/>
    <w:rsid w:val="008B65F5"/>
    <w:rsid w:val="008B779E"/>
    <w:rsid w:val="008C0DDB"/>
    <w:rsid w:val="008C2BE4"/>
    <w:rsid w:val="008C2DC2"/>
    <w:rsid w:val="008C3274"/>
    <w:rsid w:val="008C5B12"/>
    <w:rsid w:val="008C7008"/>
    <w:rsid w:val="008C7E1F"/>
    <w:rsid w:val="008D1906"/>
    <w:rsid w:val="008D46DC"/>
    <w:rsid w:val="008D5C68"/>
    <w:rsid w:val="008D6BF7"/>
    <w:rsid w:val="008D7B9F"/>
    <w:rsid w:val="008E053B"/>
    <w:rsid w:val="008E0783"/>
    <w:rsid w:val="008E0FE7"/>
    <w:rsid w:val="008E564D"/>
    <w:rsid w:val="008E77C9"/>
    <w:rsid w:val="008F2640"/>
    <w:rsid w:val="008F2A6C"/>
    <w:rsid w:val="008F2CCD"/>
    <w:rsid w:val="008F6112"/>
    <w:rsid w:val="008F6717"/>
    <w:rsid w:val="008F6B38"/>
    <w:rsid w:val="008F743F"/>
    <w:rsid w:val="008F762F"/>
    <w:rsid w:val="008F7D0B"/>
    <w:rsid w:val="00901982"/>
    <w:rsid w:val="00902E72"/>
    <w:rsid w:val="0090438D"/>
    <w:rsid w:val="00904C82"/>
    <w:rsid w:val="00905203"/>
    <w:rsid w:val="009060D6"/>
    <w:rsid w:val="00906565"/>
    <w:rsid w:val="0090756E"/>
    <w:rsid w:val="009105B1"/>
    <w:rsid w:val="00911F46"/>
    <w:rsid w:val="00911F79"/>
    <w:rsid w:val="00911F8B"/>
    <w:rsid w:val="009122A3"/>
    <w:rsid w:val="00912B5E"/>
    <w:rsid w:val="00914534"/>
    <w:rsid w:val="00916429"/>
    <w:rsid w:val="00916C1A"/>
    <w:rsid w:val="009206FD"/>
    <w:rsid w:val="00921DEF"/>
    <w:rsid w:val="009222A9"/>
    <w:rsid w:val="00923DEA"/>
    <w:rsid w:val="009240D5"/>
    <w:rsid w:val="00925A54"/>
    <w:rsid w:val="00930307"/>
    <w:rsid w:val="009315D3"/>
    <w:rsid w:val="00934014"/>
    <w:rsid w:val="00934E31"/>
    <w:rsid w:val="00934EFD"/>
    <w:rsid w:val="00936DFF"/>
    <w:rsid w:val="009400B2"/>
    <w:rsid w:val="0094035B"/>
    <w:rsid w:val="00941999"/>
    <w:rsid w:val="00942028"/>
    <w:rsid w:val="00942181"/>
    <w:rsid w:val="00942B30"/>
    <w:rsid w:val="00943690"/>
    <w:rsid w:val="00946C5C"/>
    <w:rsid w:val="00947011"/>
    <w:rsid w:val="00951712"/>
    <w:rsid w:val="00956AD9"/>
    <w:rsid w:val="0096055D"/>
    <w:rsid w:val="00960DAE"/>
    <w:rsid w:val="00964D61"/>
    <w:rsid w:val="0096548E"/>
    <w:rsid w:val="00965F03"/>
    <w:rsid w:val="00965F1D"/>
    <w:rsid w:val="0097018E"/>
    <w:rsid w:val="00971649"/>
    <w:rsid w:val="00972EFB"/>
    <w:rsid w:val="0097346B"/>
    <w:rsid w:val="00973ED7"/>
    <w:rsid w:val="00974372"/>
    <w:rsid w:val="00977EF4"/>
    <w:rsid w:val="009802E6"/>
    <w:rsid w:val="0098108C"/>
    <w:rsid w:val="00981592"/>
    <w:rsid w:val="00981CC7"/>
    <w:rsid w:val="009825B9"/>
    <w:rsid w:val="00983D8B"/>
    <w:rsid w:val="009847F1"/>
    <w:rsid w:val="009866A2"/>
    <w:rsid w:val="009912AC"/>
    <w:rsid w:val="00992503"/>
    <w:rsid w:val="00994237"/>
    <w:rsid w:val="00994BBA"/>
    <w:rsid w:val="009955FC"/>
    <w:rsid w:val="00995B3C"/>
    <w:rsid w:val="00997CB0"/>
    <w:rsid w:val="009A00D4"/>
    <w:rsid w:val="009A0387"/>
    <w:rsid w:val="009A0421"/>
    <w:rsid w:val="009A0666"/>
    <w:rsid w:val="009A179E"/>
    <w:rsid w:val="009A323F"/>
    <w:rsid w:val="009A3AEA"/>
    <w:rsid w:val="009A4013"/>
    <w:rsid w:val="009A407E"/>
    <w:rsid w:val="009A47CB"/>
    <w:rsid w:val="009A5D50"/>
    <w:rsid w:val="009A73AA"/>
    <w:rsid w:val="009B0599"/>
    <w:rsid w:val="009B257B"/>
    <w:rsid w:val="009B5C35"/>
    <w:rsid w:val="009B63CA"/>
    <w:rsid w:val="009C0E56"/>
    <w:rsid w:val="009C23A9"/>
    <w:rsid w:val="009C327E"/>
    <w:rsid w:val="009C3DB5"/>
    <w:rsid w:val="009C7D15"/>
    <w:rsid w:val="009D0B66"/>
    <w:rsid w:val="009D17B3"/>
    <w:rsid w:val="009D1A0B"/>
    <w:rsid w:val="009D1D32"/>
    <w:rsid w:val="009D1F4E"/>
    <w:rsid w:val="009D20F8"/>
    <w:rsid w:val="009D5212"/>
    <w:rsid w:val="009D60AE"/>
    <w:rsid w:val="009D7C36"/>
    <w:rsid w:val="009E14E0"/>
    <w:rsid w:val="009E3F4C"/>
    <w:rsid w:val="009E4ED0"/>
    <w:rsid w:val="009E5EB0"/>
    <w:rsid w:val="009E69C0"/>
    <w:rsid w:val="009E6CC8"/>
    <w:rsid w:val="009E744F"/>
    <w:rsid w:val="009F02ED"/>
    <w:rsid w:val="009F0BC0"/>
    <w:rsid w:val="009F267F"/>
    <w:rsid w:val="009F35CF"/>
    <w:rsid w:val="009F5269"/>
    <w:rsid w:val="009F5503"/>
    <w:rsid w:val="009F5DE4"/>
    <w:rsid w:val="009F7BB0"/>
    <w:rsid w:val="00A00A7D"/>
    <w:rsid w:val="00A0119F"/>
    <w:rsid w:val="00A036A3"/>
    <w:rsid w:val="00A0398F"/>
    <w:rsid w:val="00A03E6A"/>
    <w:rsid w:val="00A05EC9"/>
    <w:rsid w:val="00A07B23"/>
    <w:rsid w:val="00A07F78"/>
    <w:rsid w:val="00A12FEE"/>
    <w:rsid w:val="00A1469D"/>
    <w:rsid w:val="00A1510A"/>
    <w:rsid w:val="00A1571A"/>
    <w:rsid w:val="00A167D0"/>
    <w:rsid w:val="00A16929"/>
    <w:rsid w:val="00A212AB"/>
    <w:rsid w:val="00A2143E"/>
    <w:rsid w:val="00A22DD5"/>
    <w:rsid w:val="00A22EEA"/>
    <w:rsid w:val="00A24DC6"/>
    <w:rsid w:val="00A26527"/>
    <w:rsid w:val="00A27259"/>
    <w:rsid w:val="00A27756"/>
    <w:rsid w:val="00A27AEC"/>
    <w:rsid w:val="00A30724"/>
    <w:rsid w:val="00A312BC"/>
    <w:rsid w:val="00A318CC"/>
    <w:rsid w:val="00A3191F"/>
    <w:rsid w:val="00A31A74"/>
    <w:rsid w:val="00A31B79"/>
    <w:rsid w:val="00A35719"/>
    <w:rsid w:val="00A368BA"/>
    <w:rsid w:val="00A36B54"/>
    <w:rsid w:val="00A36E93"/>
    <w:rsid w:val="00A402C7"/>
    <w:rsid w:val="00A40321"/>
    <w:rsid w:val="00A40AFA"/>
    <w:rsid w:val="00A42919"/>
    <w:rsid w:val="00A43E50"/>
    <w:rsid w:val="00A43EE4"/>
    <w:rsid w:val="00A450E4"/>
    <w:rsid w:val="00A4579A"/>
    <w:rsid w:val="00A45E5D"/>
    <w:rsid w:val="00A45EBE"/>
    <w:rsid w:val="00A5043E"/>
    <w:rsid w:val="00A505AD"/>
    <w:rsid w:val="00A50CC2"/>
    <w:rsid w:val="00A524C8"/>
    <w:rsid w:val="00A53368"/>
    <w:rsid w:val="00A56D4F"/>
    <w:rsid w:val="00A572AC"/>
    <w:rsid w:val="00A6383C"/>
    <w:rsid w:val="00A640BF"/>
    <w:rsid w:val="00A64F0F"/>
    <w:rsid w:val="00A659E8"/>
    <w:rsid w:val="00A6656E"/>
    <w:rsid w:val="00A668ED"/>
    <w:rsid w:val="00A6742A"/>
    <w:rsid w:val="00A6763D"/>
    <w:rsid w:val="00A67D0C"/>
    <w:rsid w:val="00A71078"/>
    <w:rsid w:val="00A7483A"/>
    <w:rsid w:val="00A75E62"/>
    <w:rsid w:val="00A8068A"/>
    <w:rsid w:val="00A80FF4"/>
    <w:rsid w:val="00A81E58"/>
    <w:rsid w:val="00A82501"/>
    <w:rsid w:val="00A83B33"/>
    <w:rsid w:val="00A85650"/>
    <w:rsid w:val="00A87942"/>
    <w:rsid w:val="00A90326"/>
    <w:rsid w:val="00A911CA"/>
    <w:rsid w:val="00A918A0"/>
    <w:rsid w:val="00A96506"/>
    <w:rsid w:val="00AA3442"/>
    <w:rsid w:val="00AA3C70"/>
    <w:rsid w:val="00AA4008"/>
    <w:rsid w:val="00AA55B1"/>
    <w:rsid w:val="00AA5AA1"/>
    <w:rsid w:val="00AA6128"/>
    <w:rsid w:val="00AA6732"/>
    <w:rsid w:val="00AA6EEC"/>
    <w:rsid w:val="00AB01E4"/>
    <w:rsid w:val="00AB515D"/>
    <w:rsid w:val="00AB5C42"/>
    <w:rsid w:val="00AB6B20"/>
    <w:rsid w:val="00AC255D"/>
    <w:rsid w:val="00AC2CBE"/>
    <w:rsid w:val="00AC3162"/>
    <w:rsid w:val="00AC375E"/>
    <w:rsid w:val="00AC3959"/>
    <w:rsid w:val="00AC4AE3"/>
    <w:rsid w:val="00AC4B97"/>
    <w:rsid w:val="00AC6B6A"/>
    <w:rsid w:val="00AC6CEC"/>
    <w:rsid w:val="00AD092C"/>
    <w:rsid w:val="00AD1194"/>
    <w:rsid w:val="00AD15B8"/>
    <w:rsid w:val="00AD3968"/>
    <w:rsid w:val="00AD3A7A"/>
    <w:rsid w:val="00AD3F91"/>
    <w:rsid w:val="00AD5D01"/>
    <w:rsid w:val="00AD64A2"/>
    <w:rsid w:val="00AE0C84"/>
    <w:rsid w:val="00AE1271"/>
    <w:rsid w:val="00AE2C14"/>
    <w:rsid w:val="00AE373D"/>
    <w:rsid w:val="00AE3F20"/>
    <w:rsid w:val="00AE4BFB"/>
    <w:rsid w:val="00AE536A"/>
    <w:rsid w:val="00AE53C1"/>
    <w:rsid w:val="00AE54F2"/>
    <w:rsid w:val="00AE63F3"/>
    <w:rsid w:val="00AE66FA"/>
    <w:rsid w:val="00AE7231"/>
    <w:rsid w:val="00AE742C"/>
    <w:rsid w:val="00AF0576"/>
    <w:rsid w:val="00AF0F00"/>
    <w:rsid w:val="00AF199D"/>
    <w:rsid w:val="00AF2BD3"/>
    <w:rsid w:val="00AF5018"/>
    <w:rsid w:val="00AF5CE7"/>
    <w:rsid w:val="00AF7336"/>
    <w:rsid w:val="00B00FC3"/>
    <w:rsid w:val="00B01BC1"/>
    <w:rsid w:val="00B02060"/>
    <w:rsid w:val="00B021D3"/>
    <w:rsid w:val="00B025E8"/>
    <w:rsid w:val="00B02646"/>
    <w:rsid w:val="00B02C7A"/>
    <w:rsid w:val="00B0363A"/>
    <w:rsid w:val="00B065D1"/>
    <w:rsid w:val="00B102F2"/>
    <w:rsid w:val="00B14438"/>
    <w:rsid w:val="00B1710B"/>
    <w:rsid w:val="00B20588"/>
    <w:rsid w:val="00B20BD6"/>
    <w:rsid w:val="00B2145F"/>
    <w:rsid w:val="00B22631"/>
    <w:rsid w:val="00B2351A"/>
    <w:rsid w:val="00B254D4"/>
    <w:rsid w:val="00B25B17"/>
    <w:rsid w:val="00B27EC6"/>
    <w:rsid w:val="00B30ED2"/>
    <w:rsid w:val="00B33675"/>
    <w:rsid w:val="00B34956"/>
    <w:rsid w:val="00B34AF4"/>
    <w:rsid w:val="00B34E4B"/>
    <w:rsid w:val="00B34FA4"/>
    <w:rsid w:val="00B3506F"/>
    <w:rsid w:val="00B353F2"/>
    <w:rsid w:val="00B37635"/>
    <w:rsid w:val="00B3763A"/>
    <w:rsid w:val="00B40DA0"/>
    <w:rsid w:val="00B41095"/>
    <w:rsid w:val="00B4260F"/>
    <w:rsid w:val="00B440CD"/>
    <w:rsid w:val="00B449EE"/>
    <w:rsid w:val="00B44FBA"/>
    <w:rsid w:val="00B456BA"/>
    <w:rsid w:val="00B4607A"/>
    <w:rsid w:val="00B50B31"/>
    <w:rsid w:val="00B52375"/>
    <w:rsid w:val="00B5367B"/>
    <w:rsid w:val="00B56BD7"/>
    <w:rsid w:val="00B578E2"/>
    <w:rsid w:val="00B607FF"/>
    <w:rsid w:val="00B60E0D"/>
    <w:rsid w:val="00B71FCD"/>
    <w:rsid w:val="00B72482"/>
    <w:rsid w:val="00B72AFA"/>
    <w:rsid w:val="00B73127"/>
    <w:rsid w:val="00B73138"/>
    <w:rsid w:val="00B73AE3"/>
    <w:rsid w:val="00B73C87"/>
    <w:rsid w:val="00B74221"/>
    <w:rsid w:val="00B75044"/>
    <w:rsid w:val="00B752D8"/>
    <w:rsid w:val="00B77AD4"/>
    <w:rsid w:val="00B77AEC"/>
    <w:rsid w:val="00B80272"/>
    <w:rsid w:val="00B80C44"/>
    <w:rsid w:val="00B82D9C"/>
    <w:rsid w:val="00B82E25"/>
    <w:rsid w:val="00B83B97"/>
    <w:rsid w:val="00B8433E"/>
    <w:rsid w:val="00B85E7E"/>
    <w:rsid w:val="00B90BC7"/>
    <w:rsid w:val="00B90BF8"/>
    <w:rsid w:val="00B922DC"/>
    <w:rsid w:val="00B9299F"/>
    <w:rsid w:val="00B92E26"/>
    <w:rsid w:val="00B92E4F"/>
    <w:rsid w:val="00B9416E"/>
    <w:rsid w:val="00B95814"/>
    <w:rsid w:val="00B96AB5"/>
    <w:rsid w:val="00B970BC"/>
    <w:rsid w:val="00B97446"/>
    <w:rsid w:val="00BA0CF9"/>
    <w:rsid w:val="00BA1439"/>
    <w:rsid w:val="00BA53EA"/>
    <w:rsid w:val="00BA6F6A"/>
    <w:rsid w:val="00BA7D05"/>
    <w:rsid w:val="00BB034E"/>
    <w:rsid w:val="00BB0FFB"/>
    <w:rsid w:val="00BB12BE"/>
    <w:rsid w:val="00BB14BA"/>
    <w:rsid w:val="00BB24CF"/>
    <w:rsid w:val="00BB360F"/>
    <w:rsid w:val="00BB3C96"/>
    <w:rsid w:val="00BB4E53"/>
    <w:rsid w:val="00BB5708"/>
    <w:rsid w:val="00BB6FC2"/>
    <w:rsid w:val="00BC05BD"/>
    <w:rsid w:val="00BC105D"/>
    <w:rsid w:val="00BC177A"/>
    <w:rsid w:val="00BC2BD1"/>
    <w:rsid w:val="00BC3403"/>
    <w:rsid w:val="00BC36B0"/>
    <w:rsid w:val="00BC3FD6"/>
    <w:rsid w:val="00BC4651"/>
    <w:rsid w:val="00BC6824"/>
    <w:rsid w:val="00BC6C97"/>
    <w:rsid w:val="00BD2C4E"/>
    <w:rsid w:val="00BD2EC9"/>
    <w:rsid w:val="00BD3DEC"/>
    <w:rsid w:val="00BD5FC8"/>
    <w:rsid w:val="00BD62FA"/>
    <w:rsid w:val="00BD6F8F"/>
    <w:rsid w:val="00BD7F12"/>
    <w:rsid w:val="00BE00EA"/>
    <w:rsid w:val="00BE2055"/>
    <w:rsid w:val="00BE5BDA"/>
    <w:rsid w:val="00BE6698"/>
    <w:rsid w:val="00BE73D8"/>
    <w:rsid w:val="00BF152A"/>
    <w:rsid w:val="00BF1A54"/>
    <w:rsid w:val="00BF36F7"/>
    <w:rsid w:val="00BF54E6"/>
    <w:rsid w:val="00BF682F"/>
    <w:rsid w:val="00BF7A91"/>
    <w:rsid w:val="00C00604"/>
    <w:rsid w:val="00C00C97"/>
    <w:rsid w:val="00C013D6"/>
    <w:rsid w:val="00C01D88"/>
    <w:rsid w:val="00C03076"/>
    <w:rsid w:val="00C03613"/>
    <w:rsid w:val="00C04DF1"/>
    <w:rsid w:val="00C115FB"/>
    <w:rsid w:val="00C12D7E"/>
    <w:rsid w:val="00C1483B"/>
    <w:rsid w:val="00C1620F"/>
    <w:rsid w:val="00C1663C"/>
    <w:rsid w:val="00C16C65"/>
    <w:rsid w:val="00C216FD"/>
    <w:rsid w:val="00C21B31"/>
    <w:rsid w:val="00C21B5B"/>
    <w:rsid w:val="00C2332A"/>
    <w:rsid w:val="00C23787"/>
    <w:rsid w:val="00C23DE4"/>
    <w:rsid w:val="00C246D4"/>
    <w:rsid w:val="00C2689B"/>
    <w:rsid w:val="00C274A0"/>
    <w:rsid w:val="00C3132C"/>
    <w:rsid w:val="00C33E79"/>
    <w:rsid w:val="00C36ABA"/>
    <w:rsid w:val="00C40090"/>
    <w:rsid w:val="00C40EAA"/>
    <w:rsid w:val="00C430AB"/>
    <w:rsid w:val="00C436B7"/>
    <w:rsid w:val="00C43BF2"/>
    <w:rsid w:val="00C43F96"/>
    <w:rsid w:val="00C44D38"/>
    <w:rsid w:val="00C45434"/>
    <w:rsid w:val="00C45A88"/>
    <w:rsid w:val="00C45C9F"/>
    <w:rsid w:val="00C47365"/>
    <w:rsid w:val="00C500F0"/>
    <w:rsid w:val="00C50A31"/>
    <w:rsid w:val="00C50A39"/>
    <w:rsid w:val="00C5106B"/>
    <w:rsid w:val="00C5199D"/>
    <w:rsid w:val="00C51E33"/>
    <w:rsid w:val="00C521B7"/>
    <w:rsid w:val="00C54A01"/>
    <w:rsid w:val="00C55AC1"/>
    <w:rsid w:val="00C55B88"/>
    <w:rsid w:val="00C56686"/>
    <w:rsid w:val="00C57970"/>
    <w:rsid w:val="00C57BEF"/>
    <w:rsid w:val="00C57C29"/>
    <w:rsid w:val="00C61750"/>
    <w:rsid w:val="00C61C2D"/>
    <w:rsid w:val="00C62185"/>
    <w:rsid w:val="00C6530E"/>
    <w:rsid w:val="00C65D33"/>
    <w:rsid w:val="00C65FC3"/>
    <w:rsid w:val="00C67C72"/>
    <w:rsid w:val="00C70185"/>
    <w:rsid w:val="00C70436"/>
    <w:rsid w:val="00C70437"/>
    <w:rsid w:val="00C71EE8"/>
    <w:rsid w:val="00C72357"/>
    <w:rsid w:val="00C72B3B"/>
    <w:rsid w:val="00C7612E"/>
    <w:rsid w:val="00C762E9"/>
    <w:rsid w:val="00C802D1"/>
    <w:rsid w:val="00C80745"/>
    <w:rsid w:val="00C8232C"/>
    <w:rsid w:val="00C829EF"/>
    <w:rsid w:val="00C83D1F"/>
    <w:rsid w:val="00C85268"/>
    <w:rsid w:val="00C86B69"/>
    <w:rsid w:val="00C878CB"/>
    <w:rsid w:val="00C87D81"/>
    <w:rsid w:val="00C91229"/>
    <w:rsid w:val="00C92039"/>
    <w:rsid w:val="00C921E2"/>
    <w:rsid w:val="00C929CE"/>
    <w:rsid w:val="00C94A77"/>
    <w:rsid w:val="00C94BB7"/>
    <w:rsid w:val="00CA0212"/>
    <w:rsid w:val="00CA1140"/>
    <w:rsid w:val="00CA18C5"/>
    <w:rsid w:val="00CA20D3"/>
    <w:rsid w:val="00CA212A"/>
    <w:rsid w:val="00CA2B26"/>
    <w:rsid w:val="00CA2D58"/>
    <w:rsid w:val="00CA2EF1"/>
    <w:rsid w:val="00CA3995"/>
    <w:rsid w:val="00CA5D4F"/>
    <w:rsid w:val="00CB0A4D"/>
    <w:rsid w:val="00CB0C2E"/>
    <w:rsid w:val="00CB142F"/>
    <w:rsid w:val="00CB1FF1"/>
    <w:rsid w:val="00CB3C6B"/>
    <w:rsid w:val="00CB487C"/>
    <w:rsid w:val="00CB4E46"/>
    <w:rsid w:val="00CB5C51"/>
    <w:rsid w:val="00CB7851"/>
    <w:rsid w:val="00CB7A24"/>
    <w:rsid w:val="00CC0366"/>
    <w:rsid w:val="00CC0A6B"/>
    <w:rsid w:val="00CC1994"/>
    <w:rsid w:val="00CC3771"/>
    <w:rsid w:val="00CC4FD2"/>
    <w:rsid w:val="00CC531E"/>
    <w:rsid w:val="00CC5604"/>
    <w:rsid w:val="00CC5C56"/>
    <w:rsid w:val="00CD0CC1"/>
    <w:rsid w:val="00CD2855"/>
    <w:rsid w:val="00CD28D8"/>
    <w:rsid w:val="00CD4B3E"/>
    <w:rsid w:val="00CD57FF"/>
    <w:rsid w:val="00CD739C"/>
    <w:rsid w:val="00CD7FE3"/>
    <w:rsid w:val="00CE10C1"/>
    <w:rsid w:val="00CE18FD"/>
    <w:rsid w:val="00CE24B7"/>
    <w:rsid w:val="00CE3C68"/>
    <w:rsid w:val="00CE57FC"/>
    <w:rsid w:val="00CE6AB5"/>
    <w:rsid w:val="00CE6B6C"/>
    <w:rsid w:val="00CE7535"/>
    <w:rsid w:val="00CF08C8"/>
    <w:rsid w:val="00CF38E2"/>
    <w:rsid w:val="00CF5067"/>
    <w:rsid w:val="00CF6367"/>
    <w:rsid w:val="00CF69AA"/>
    <w:rsid w:val="00CF7152"/>
    <w:rsid w:val="00D002F3"/>
    <w:rsid w:val="00D0042D"/>
    <w:rsid w:val="00D0047C"/>
    <w:rsid w:val="00D00CA8"/>
    <w:rsid w:val="00D01658"/>
    <w:rsid w:val="00D01E96"/>
    <w:rsid w:val="00D026E7"/>
    <w:rsid w:val="00D03530"/>
    <w:rsid w:val="00D0411B"/>
    <w:rsid w:val="00D0412A"/>
    <w:rsid w:val="00D05563"/>
    <w:rsid w:val="00D05BFB"/>
    <w:rsid w:val="00D05EAF"/>
    <w:rsid w:val="00D06596"/>
    <w:rsid w:val="00D06B45"/>
    <w:rsid w:val="00D0791F"/>
    <w:rsid w:val="00D0794F"/>
    <w:rsid w:val="00D1065E"/>
    <w:rsid w:val="00D10BDD"/>
    <w:rsid w:val="00D1120B"/>
    <w:rsid w:val="00D13F98"/>
    <w:rsid w:val="00D162BC"/>
    <w:rsid w:val="00D16441"/>
    <w:rsid w:val="00D16C91"/>
    <w:rsid w:val="00D212BD"/>
    <w:rsid w:val="00D2181E"/>
    <w:rsid w:val="00D221FE"/>
    <w:rsid w:val="00D24C57"/>
    <w:rsid w:val="00D24D36"/>
    <w:rsid w:val="00D25532"/>
    <w:rsid w:val="00D258B2"/>
    <w:rsid w:val="00D25BD5"/>
    <w:rsid w:val="00D27082"/>
    <w:rsid w:val="00D272B9"/>
    <w:rsid w:val="00D278A6"/>
    <w:rsid w:val="00D31853"/>
    <w:rsid w:val="00D31E29"/>
    <w:rsid w:val="00D31EA1"/>
    <w:rsid w:val="00D33CF8"/>
    <w:rsid w:val="00D36188"/>
    <w:rsid w:val="00D36C57"/>
    <w:rsid w:val="00D419A7"/>
    <w:rsid w:val="00D42D98"/>
    <w:rsid w:val="00D43425"/>
    <w:rsid w:val="00D440F7"/>
    <w:rsid w:val="00D4539B"/>
    <w:rsid w:val="00D453C4"/>
    <w:rsid w:val="00D464BB"/>
    <w:rsid w:val="00D5020E"/>
    <w:rsid w:val="00D515C6"/>
    <w:rsid w:val="00D51A88"/>
    <w:rsid w:val="00D54557"/>
    <w:rsid w:val="00D57030"/>
    <w:rsid w:val="00D577E4"/>
    <w:rsid w:val="00D57EA0"/>
    <w:rsid w:val="00D625FC"/>
    <w:rsid w:val="00D628B0"/>
    <w:rsid w:val="00D65007"/>
    <w:rsid w:val="00D65FA6"/>
    <w:rsid w:val="00D66B37"/>
    <w:rsid w:val="00D70579"/>
    <w:rsid w:val="00D70EF2"/>
    <w:rsid w:val="00D72674"/>
    <w:rsid w:val="00D73D6E"/>
    <w:rsid w:val="00D755E9"/>
    <w:rsid w:val="00D758CB"/>
    <w:rsid w:val="00D75BFB"/>
    <w:rsid w:val="00D80A7F"/>
    <w:rsid w:val="00D82453"/>
    <w:rsid w:val="00D833D4"/>
    <w:rsid w:val="00D836D9"/>
    <w:rsid w:val="00D83FDD"/>
    <w:rsid w:val="00D83FE1"/>
    <w:rsid w:val="00D85CE6"/>
    <w:rsid w:val="00D85FAE"/>
    <w:rsid w:val="00D868C1"/>
    <w:rsid w:val="00D86C46"/>
    <w:rsid w:val="00D877AE"/>
    <w:rsid w:val="00D87DDB"/>
    <w:rsid w:val="00D92258"/>
    <w:rsid w:val="00D9304A"/>
    <w:rsid w:val="00D93EC1"/>
    <w:rsid w:val="00D93F76"/>
    <w:rsid w:val="00D951CA"/>
    <w:rsid w:val="00D9529E"/>
    <w:rsid w:val="00D964A5"/>
    <w:rsid w:val="00D976F2"/>
    <w:rsid w:val="00DA1FED"/>
    <w:rsid w:val="00DA2949"/>
    <w:rsid w:val="00DA4D4A"/>
    <w:rsid w:val="00DB1054"/>
    <w:rsid w:val="00DB1358"/>
    <w:rsid w:val="00DB26CB"/>
    <w:rsid w:val="00DB2D4B"/>
    <w:rsid w:val="00DB3ADE"/>
    <w:rsid w:val="00DB3DB8"/>
    <w:rsid w:val="00DB4947"/>
    <w:rsid w:val="00DB49A8"/>
    <w:rsid w:val="00DB4A7C"/>
    <w:rsid w:val="00DB4A8D"/>
    <w:rsid w:val="00DC0008"/>
    <w:rsid w:val="00DC36CA"/>
    <w:rsid w:val="00DC407A"/>
    <w:rsid w:val="00DC654F"/>
    <w:rsid w:val="00DC67FF"/>
    <w:rsid w:val="00DC733B"/>
    <w:rsid w:val="00DC79C9"/>
    <w:rsid w:val="00DD2D15"/>
    <w:rsid w:val="00DD388F"/>
    <w:rsid w:val="00DD3C4D"/>
    <w:rsid w:val="00DD3EC1"/>
    <w:rsid w:val="00DD60C8"/>
    <w:rsid w:val="00DE07E4"/>
    <w:rsid w:val="00DE0DA1"/>
    <w:rsid w:val="00DE183F"/>
    <w:rsid w:val="00DE2A7A"/>
    <w:rsid w:val="00DE2C6D"/>
    <w:rsid w:val="00DE31CF"/>
    <w:rsid w:val="00DE3AAD"/>
    <w:rsid w:val="00DE4BCE"/>
    <w:rsid w:val="00DE6B40"/>
    <w:rsid w:val="00DE6DFF"/>
    <w:rsid w:val="00DF0668"/>
    <w:rsid w:val="00DF1C4B"/>
    <w:rsid w:val="00DF1D0F"/>
    <w:rsid w:val="00DF1DB3"/>
    <w:rsid w:val="00DF373C"/>
    <w:rsid w:val="00DF39AE"/>
    <w:rsid w:val="00DF452B"/>
    <w:rsid w:val="00DF5FE1"/>
    <w:rsid w:val="00DF7C66"/>
    <w:rsid w:val="00E0215B"/>
    <w:rsid w:val="00E024FB"/>
    <w:rsid w:val="00E03EE2"/>
    <w:rsid w:val="00E0570D"/>
    <w:rsid w:val="00E05C9F"/>
    <w:rsid w:val="00E074A2"/>
    <w:rsid w:val="00E07B60"/>
    <w:rsid w:val="00E14515"/>
    <w:rsid w:val="00E14D8F"/>
    <w:rsid w:val="00E15208"/>
    <w:rsid w:val="00E15E05"/>
    <w:rsid w:val="00E16C8A"/>
    <w:rsid w:val="00E17B56"/>
    <w:rsid w:val="00E20A0D"/>
    <w:rsid w:val="00E20C98"/>
    <w:rsid w:val="00E24FEF"/>
    <w:rsid w:val="00E25E73"/>
    <w:rsid w:val="00E26E72"/>
    <w:rsid w:val="00E31576"/>
    <w:rsid w:val="00E32819"/>
    <w:rsid w:val="00E32968"/>
    <w:rsid w:val="00E33522"/>
    <w:rsid w:val="00E34DBB"/>
    <w:rsid w:val="00E360F5"/>
    <w:rsid w:val="00E40D71"/>
    <w:rsid w:val="00E42154"/>
    <w:rsid w:val="00E44283"/>
    <w:rsid w:val="00E44455"/>
    <w:rsid w:val="00E444B8"/>
    <w:rsid w:val="00E457CF"/>
    <w:rsid w:val="00E460A7"/>
    <w:rsid w:val="00E47197"/>
    <w:rsid w:val="00E477E5"/>
    <w:rsid w:val="00E53A20"/>
    <w:rsid w:val="00E53BF7"/>
    <w:rsid w:val="00E541D2"/>
    <w:rsid w:val="00E54D98"/>
    <w:rsid w:val="00E55D31"/>
    <w:rsid w:val="00E57A56"/>
    <w:rsid w:val="00E609A0"/>
    <w:rsid w:val="00E6160D"/>
    <w:rsid w:val="00E639DB"/>
    <w:rsid w:val="00E645D5"/>
    <w:rsid w:val="00E64F07"/>
    <w:rsid w:val="00E6554C"/>
    <w:rsid w:val="00E65649"/>
    <w:rsid w:val="00E66AD9"/>
    <w:rsid w:val="00E674F3"/>
    <w:rsid w:val="00E70132"/>
    <w:rsid w:val="00E7109B"/>
    <w:rsid w:val="00E712A2"/>
    <w:rsid w:val="00E71A65"/>
    <w:rsid w:val="00E747C2"/>
    <w:rsid w:val="00E7544A"/>
    <w:rsid w:val="00E7559C"/>
    <w:rsid w:val="00E76376"/>
    <w:rsid w:val="00E76A45"/>
    <w:rsid w:val="00E76F8D"/>
    <w:rsid w:val="00E82FAC"/>
    <w:rsid w:val="00E836B9"/>
    <w:rsid w:val="00E86024"/>
    <w:rsid w:val="00E87FD5"/>
    <w:rsid w:val="00E900F2"/>
    <w:rsid w:val="00E9735D"/>
    <w:rsid w:val="00E97514"/>
    <w:rsid w:val="00E97DF7"/>
    <w:rsid w:val="00EA055D"/>
    <w:rsid w:val="00EA0BD3"/>
    <w:rsid w:val="00EA36FD"/>
    <w:rsid w:val="00EA6F2E"/>
    <w:rsid w:val="00EB0C3B"/>
    <w:rsid w:val="00EB0EAB"/>
    <w:rsid w:val="00EB1A8C"/>
    <w:rsid w:val="00EB3AA4"/>
    <w:rsid w:val="00EB4BAA"/>
    <w:rsid w:val="00EB4CB3"/>
    <w:rsid w:val="00EB4FA8"/>
    <w:rsid w:val="00EB5C4D"/>
    <w:rsid w:val="00EB6BE4"/>
    <w:rsid w:val="00EB76CF"/>
    <w:rsid w:val="00EC05A8"/>
    <w:rsid w:val="00EC09D5"/>
    <w:rsid w:val="00EC1083"/>
    <w:rsid w:val="00EC3AD9"/>
    <w:rsid w:val="00EC40B6"/>
    <w:rsid w:val="00EC419E"/>
    <w:rsid w:val="00EC526A"/>
    <w:rsid w:val="00EC70AF"/>
    <w:rsid w:val="00EC7BE3"/>
    <w:rsid w:val="00ED0F3D"/>
    <w:rsid w:val="00ED175B"/>
    <w:rsid w:val="00ED22F7"/>
    <w:rsid w:val="00ED3288"/>
    <w:rsid w:val="00ED3701"/>
    <w:rsid w:val="00ED3CDA"/>
    <w:rsid w:val="00ED4034"/>
    <w:rsid w:val="00ED43F6"/>
    <w:rsid w:val="00ED47FB"/>
    <w:rsid w:val="00ED6D44"/>
    <w:rsid w:val="00ED75EA"/>
    <w:rsid w:val="00ED7817"/>
    <w:rsid w:val="00EE1D46"/>
    <w:rsid w:val="00EE23E6"/>
    <w:rsid w:val="00EE4869"/>
    <w:rsid w:val="00EE56E6"/>
    <w:rsid w:val="00EE5C4B"/>
    <w:rsid w:val="00EE6375"/>
    <w:rsid w:val="00EE6626"/>
    <w:rsid w:val="00EE6F7C"/>
    <w:rsid w:val="00EF177D"/>
    <w:rsid w:val="00EF24F9"/>
    <w:rsid w:val="00EF5671"/>
    <w:rsid w:val="00EF5CC7"/>
    <w:rsid w:val="00EF5EED"/>
    <w:rsid w:val="00EF61FE"/>
    <w:rsid w:val="00EF62A4"/>
    <w:rsid w:val="00EF6541"/>
    <w:rsid w:val="00EF656E"/>
    <w:rsid w:val="00EF6646"/>
    <w:rsid w:val="00EF6A17"/>
    <w:rsid w:val="00EF7C89"/>
    <w:rsid w:val="00F000FB"/>
    <w:rsid w:val="00F007EA"/>
    <w:rsid w:val="00F019B7"/>
    <w:rsid w:val="00F01F1F"/>
    <w:rsid w:val="00F0412A"/>
    <w:rsid w:val="00F05067"/>
    <w:rsid w:val="00F073F7"/>
    <w:rsid w:val="00F110A1"/>
    <w:rsid w:val="00F118C8"/>
    <w:rsid w:val="00F12515"/>
    <w:rsid w:val="00F13F92"/>
    <w:rsid w:val="00F1424F"/>
    <w:rsid w:val="00F178D0"/>
    <w:rsid w:val="00F21F88"/>
    <w:rsid w:val="00F236ED"/>
    <w:rsid w:val="00F24894"/>
    <w:rsid w:val="00F257E1"/>
    <w:rsid w:val="00F26585"/>
    <w:rsid w:val="00F376A5"/>
    <w:rsid w:val="00F37886"/>
    <w:rsid w:val="00F415CB"/>
    <w:rsid w:val="00F43F94"/>
    <w:rsid w:val="00F4587B"/>
    <w:rsid w:val="00F45994"/>
    <w:rsid w:val="00F45D6B"/>
    <w:rsid w:val="00F46F0A"/>
    <w:rsid w:val="00F470E8"/>
    <w:rsid w:val="00F473D4"/>
    <w:rsid w:val="00F508F5"/>
    <w:rsid w:val="00F516F8"/>
    <w:rsid w:val="00F51F6C"/>
    <w:rsid w:val="00F53D57"/>
    <w:rsid w:val="00F53EAD"/>
    <w:rsid w:val="00F5531A"/>
    <w:rsid w:val="00F60484"/>
    <w:rsid w:val="00F60755"/>
    <w:rsid w:val="00F62353"/>
    <w:rsid w:val="00F63296"/>
    <w:rsid w:val="00F64527"/>
    <w:rsid w:val="00F65B92"/>
    <w:rsid w:val="00F65CA0"/>
    <w:rsid w:val="00F660D7"/>
    <w:rsid w:val="00F67379"/>
    <w:rsid w:val="00F706EB"/>
    <w:rsid w:val="00F70722"/>
    <w:rsid w:val="00F71786"/>
    <w:rsid w:val="00F724C9"/>
    <w:rsid w:val="00F74C2D"/>
    <w:rsid w:val="00F75B6F"/>
    <w:rsid w:val="00F76465"/>
    <w:rsid w:val="00F77B45"/>
    <w:rsid w:val="00F80EFC"/>
    <w:rsid w:val="00F8226F"/>
    <w:rsid w:val="00F82A8A"/>
    <w:rsid w:val="00F82DE8"/>
    <w:rsid w:val="00F84141"/>
    <w:rsid w:val="00F85EC6"/>
    <w:rsid w:val="00F864EC"/>
    <w:rsid w:val="00F86B4B"/>
    <w:rsid w:val="00F879EA"/>
    <w:rsid w:val="00F919A6"/>
    <w:rsid w:val="00F94961"/>
    <w:rsid w:val="00F94E9B"/>
    <w:rsid w:val="00F9536B"/>
    <w:rsid w:val="00F96289"/>
    <w:rsid w:val="00FA055A"/>
    <w:rsid w:val="00FA12A3"/>
    <w:rsid w:val="00FA20D0"/>
    <w:rsid w:val="00FA24C5"/>
    <w:rsid w:val="00FA3D5F"/>
    <w:rsid w:val="00FA55A4"/>
    <w:rsid w:val="00FB0DD6"/>
    <w:rsid w:val="00FB1613"/>
    <w:rsid w:val="00FB21DC"/>
    <w:rsid w:val="00FB3039"/>
    <w:rsid w:val="00FB5383"/>
    <w:rsid w:val="00FB7A15"/>
    <w:rsid w:val="00FC0E68"/>
    <w:rsid w:val="00FC1BA8"/>
    <w:rsid w:val="00FD0451"/>
    <w:rsid w:val="00FD560B"/>
    <w:rsid w:val="00FD6676"/>
    <w:rsid w:val="00FD6845"/>
    <w:rsid w:val="00FE0461"/>
    <w:rsid w:val="00FE07B1"/>
    <w:rsid w:val="00FE0DFB"/>
    <w:rsid w:val="00FE1115"/>
    <w:rsid w:val="00FE11FD"/>
    <w:rsid w:val="00FE17D7"/>
    <w:rsid w:val="00FE1AA3"/>
    <w:rsid w:val="00FE2C48"/>
    <w:rsid w:val="00FE63DC"/>
    <w:rsid w:val="00FE7174"/>
    <w:rsid w:val="00FE75A7"/>
    <w:rsid w:val="00FF1B0E"/>
    <w:rsid w:val="00FF2B2D"/>
    <w:rsid w:val="00FF348B"/>
    <w:rsid w:val="00FF36AB"/>
    <w:rsid w:val="00FF3ACE"/>
    <w:rsid w:val="00FF4898"/>
    <w:rsid w:val="00FF6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BC51B"/>
  <w15:chartTrackingRefBased/>
  <w15:docId w15:val="{E56027AC-6D55-4D03-B659-3F3A4469F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4CC"/>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04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04CC"/>
  </w:style>
  <w:style w:type="character" w:styleId="PageNumber">
    <w:name w:val="page number"/>
    <w:basedOn w:val="DefaultParagraphFont"/>
    <w:rsid w:val="005B04CC"/>
  </w:style>
  <w:style w:type="paragraph" w:styleId="ListParagraph">
    <w:name w:val="List Paragraph"/>
    <w:basedOn w:val="Normal"/>
    <w:uiPriority w:val="34"/>
    <w:qFormat/>
    <w:rsid w:val="005B04CC"/>
    <w:pPr>
      <w:ind w:left="720"/>
      <w:contextualSpacing/>
    </w:pPr>
  </w:style>
  <w:style w:type="paragraph" w:styleId="Footer">
    <w:name w:val="footer"/>
    <w:basedOn w:val="Normal"/>
    <w:link w:val="FooterChar"/>
    <w:uiPriority w:val="99"/>
    <w:unhideWhenUsed/>
    <w:rsid w:val="005B04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04CC"/>
  </w:style>
  <w:style w:type="paragraph" w:styleId="BalloonText">
    <w:name w:val="Balloon Text"/>
    <w:basedOn w:val="Normal"/>
    <w:link w:val="BalloonTextChar"/>
    <w:uiPriority w:val="99"/>
    <w:semiHidden/>
    <w:unhideWhenUsed/>
    <w:rsid w:val="002E66C8"/>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2E66C8"/>
    <w:rPr>
      <w:rFonts w:ascii="Segoe UI" w:hAnsi="Segoe UI" w:cs="Segoe UI"/>
      <w:sz w:val="18"/>
      <w:szCs w:val="18"/>
      <w:lang w:eastAsia="en-US"/>
    </w:rPr>
  </w:style>
  <w:style w:type="paragraph" w:styleId="BodyText2">
    <w:name w:val="Body Text 2"/>
    <w:basedOn w:val="Normal"/>
    <w:link w:val="BodyText2Char"/>
    <w:rsid w:val="00EF6541"/>
    <w:pPr>
      <w:spacing w:after="0" w:line="240" w:lineRule="auto"/>
      <w:jc w:val="both"/>
    </w:pPr>
    <w:rPr>
      <w:rFonts w:ascii="Times New Roman" w:eastAsia="Times New Roman" w:hAnsi="Times New Roman"/>
      <w:sz w:val="24"/>
      <w:szCs w:val="24"/>
      <w:lang w:val="x-none" w:eastAsia="x-none"/>
    </w:rPr>
  </w:style>
  <w:style w:type="character" w:customStyle="1" w:styleId="BodyText2Char">
    <w:name w:val="Body Text 2 Char"/>
    <w:link w:val="BodyText2"/>
    <w:rsid w:val="00EF6541"/>
    <w:rPr>
      <w:rFonts w:ascii="Times New Roman" w:eastAsia="Times New Roman" w:hAnsi="Times New Roman"/>
      <w:sz w:val="24"/>
      <w:szCs w:val="24"/>
      <w:lang w:val="x-none" w:eastAsia="x-none"/>
    </w:rPr>
  </w:style>
  <w:style w:type="character" w:styleId="Strong">
    <w:name w:val="Strong"/>
    <w:basedOn w:val="DefaultParagraphFont"/>
    <w:uiPriority w:val="22"/>
    <w:qFormat/>
    <w:rsid w:val="00A30724"/>
    <w:rPr>
      <w:b/>
      <w:bCs/>
    </w:rPr>
  </w:style>
  <w:style w:type="paragraph" w:styleId="BodyText">
    <w:name w:val="Body Text"/>
    <w:basedOn w:val="Normal"/>
    <w:link w:val="BodyTextChar"/>
    <w:uiPriority w:val="99"/>
    <w:semiHidden/>
    <w:unhideWhenUsed/>
    <w:rsid w:val="00370AB2"/>
    <w:pPr>
      <w:spacing w:after="120"/>
    </w:pPr>
  </w:style>
  <w:style w:type="character" w:customStyle="1" w:styleId="BodyTextChar">
    <w:name w:val="Body Text Char"/>
    <w:basedOn w:val="DefaultParagraphFont"/>
    <w:link w:val="BodyText"/>
    <w:uiPriority w:val="99"/>
    <w:semiHidden/>
    <w:rsid w:val="00370AB2"/>
    <w:rPr>
      <w:sz w:val="22"/>
      <w:szCs w:val="22"/>
      <w:lang w:eastAsia="en-US"/>
    </w:rPr>
  </w:style>
  <w:style w:type="paragraph" w:customStyle="1" w:styleId="Default">
    <w:name w:val="Default"/>
    <w:rsid w:val="00B752D8"/>
    <w:pPr>
      <w:autoSpaceDE w:val="0"/>
      <w:autoSpaceDN w:val="0"/>
      <w:adjustRightInd w:val="0"/>
    </w:pPr>
    <w:rPr>
      <w:rFonts w:ascii="Arial" w:eastAsia="Times New Roman" w:hAnsi="Arial" w:cs="Arial"/>
      <w:color w:val="000000"/>
      <w:sz w:val="24"/>
      <w:szCs w:val="24"/>
      <w:lang w:val="en-MU" w:eastAsia="en-MU"/>
    </w:rPr>
  </w:style>
  <w:style w:type="paragraph" w:styleId="Subtitle">
    <w:name w:val="Subtitle"/>
    <w:basedOn w:val="Normal"/>
    <w:link w:val="SubtitleChar"/>
    <w:qFormat/>
    <w:rsid w:val="00A90326"/>
    <w:pPr>
      <w:overflowPunct w:val="0"/>
      <w:autoSpaceDE w:val="0"/>
      <w:autoSpaceDN w:val="0"/>
      <w:adjustRightInd w:val="0"/>
      <w:spacing w:before="120" w:after="0" w:line="240" w:lineRule="auto"/>
      <w:ind w:left="634" w:right="-302" w:hanging="634"/>
      <w:jc w:val="both"/>
    </w:pPr>
    <w:rPr>
      <w:rFonts w:ascii="Arial" w:eastAsia="Times New Roman" w:hAnsi="Arial" w:cs="Arial"/>
      <w:b/>
      <w:szCs w:val="24"/>
      <w:lang w:val="en-US"/>
    </w:rPr>
  </w:style>
  <w:style w:type="character" w:customStyle="1" w:styleId="SubtitleChar">
    <w:name w:val="Subtitle Char"/>
    <w:basedOn w:val="DefaultParagraphFont"/>
    <w:link w:val="Subtitle"/>
    <w:rsid w:val="00A90326"/>
    <w:rPr>
      <w:rFonts w:ascii="Arial" w:eastAsia="Times New Roman" w:hAnsi="Arial" w:cs="Arial"/>
      <w:b/>
      <w:sz w:val="22"/>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1277">
      <w:bodyDiv w:val="1"/>
      <w:marLeft w:val="0"/>
      <w:marRight w:val="0"/>
      <w:marTop w:val="0"/>
      <w:marBottom w:val="0"/>
      <w:divBdr>
        <w:top w:val="none" w:sz="0" w:space="0" w:color="auto"/>
        <w:left w:val="none" w:sz="0" w:space="0" w:color="auto"/>
        <w:bottom w:val="none" w:sz="0" w:space="0" w:color="auto"/>
        <w:right w:val="none" w:sz="0" w:space="0" w:color="auto"/>
      </w:divBdr>
    </w:div>
    <w:div w:id="55713349">
      <w:bodyDiv w:val="1"/>
      <w:marLeft w:val="0"/>
      <w:marRight w:val="0"/>
      <w:marTop w:val="0"/>
      <w:marBottom w:val="0"/>
      <w:divBdr>
        <w:top w:val="none" w:sz="0" w:space="0" w:color="auto"/>
        <w:left w:val="none" w:sz="0" w:space="0" w:color="auto"/>
        <w:bottom w:val="none" w:sz="0" w:space="0" w:color="auto"/>
        <w:right w:val="none" w:sz="0" w:space="0" w:color="auto"/>
      </w:divBdr>
    </w:div>
    <w:div w:id="198203686">
      <w:bodyDiv w:val="1"/>
      <w:marLeft w:val="0"/>
      <w:marRight w:val="0"/>
      <w:marTop w:val="0"/>
      <w:marBottom w:val="0"/>
      <w:divBdr>
        <w:top w:val="none" w:sz="0" w:space="0" w:color="auto"/>
        <w:left w:val="none" w:sz="0" w:space="0" w:color="auto"/>
        <w:bottom w:val="none" w:sz="0" w:space="0" w:color="auto"/>
        <w:right w:val="none" w:sz="0" w:space="0" w:color="auto"/>
      </w:divBdr>
    </w:div>
    <w:div w:id="505176607">
      <w:bodyDiv w:val="1"/>
      <w:marLeft w:val="0"/>
      <w:marRight w:val="0"/>
      <w:marTop w:val="0"/>
      <w:marBottom w:val="0"/>
      <w:divBdr>
        <w:top w:val="none" w:sz="0" w:space="0" w:color="auto"/>
        <w:left w:val="none" w:sz="0" w:space="0" w:color="auto"/>
        <w:bottom w:val="none" w:sz="0" w:space="0" w:color="auto"/>
        <w:right w:val="none" w:sz="0" w:space="0" w:color="auto"/>
      </w:divBdr>
    </w:div>
    <w:div w:id="540753039">
      <w:bodyDiv w:val="1"/>
      <w:marLeft w:val="0"/>
      <w:marRight w:val="0"/>
      <w:marTop w:val="0"/>
      <w:marBottom w:val="0"/>
      <w:divBdr>
        <w:top w:val="none" w:sz="0" w:space="0" w:color="auto"/>
        <w:left w:val="none" w:sz="0" w:space="0" w:color="auto"/>
        <w:bottom w:val="none" w:sz="0" w:space="0" w:color="auto"/>
        <w:right w:val="none" w:sz="0" w:space="0" w:color="auto"/>
      </w:divBdr>
    </w:div>
    <w:div w:id="1489706079">
      <w:bodyDiv w:val="1"/>
      <w:marLeft w:val="0"/>
      <w:marRight w:val="0"/>
      <w:marTop w:val="0"/>
      <w:marBottom w:val="0"/>
      <w:divBdr>
        <w:top w:val="none" w:sz="0" w:space="0" w:color="auto"/>
        <w:left w:val="none" w:sz="0" w:space="0" w:color="auto"/>
        <w:bottom w:val="none" w:sz="0" w:space="0" w:color="auto"/>
        <w:right w:val="none" w:sz="0" w:space="0" w:color="auto"/>
      </w:divBdr>
    </w:div>
    <w:div w:id="2015456988">
      <w:bodyDiv w:val="1"/>
      <w:marLeft w:val="0"/>
      <w:marRight w:val="0"/>
      <w:marTop w:val="0"/>
      <w:marBottom w:val="0"/>
      <w:divBdr>
        <w:top w:val="none" w:sz="0" w:space="0" w:color="auto"/>
        <w:left w:val="none" w:sz="0" w:space="0" w:color="auto"/>
        <w:bottom w:val="none" w:sz="0" w:space="0" w:color="auto"/>
        <w:right w:val="none" w:sz="0" w:space="0" w:color="auto"/>
      </w:divBdr>
    </w:div>
    <w:div w:id="208459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emf"/><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493FC4C48176D4BA39FB2B3A58FDD54" ma:contentTypeVersion="1" ma:contentTypeDescription="Create a new document." ma:contentTypeScope="" ma:versionID="7350b534a8aa33a7f4abf92fcd5ca326">
  <xsd:schema xmlns:xsd="http://www.w3.org/2001/XMLSchema" xmlns:xs="http://www.w3.org/2001/XMLSchema" xmlns:p="http://schemas.microsoft.com/office/2006/metadata/properties" xmlns:ns1="http://schemas.microsoft.com/sharepoint/v3" targetNamespace="http://schemas.microsoft.com/office/2006/metadata/properties" ma:root="true" ma:fieldsID="ff01fac345008aa34b3a53f2166bf3c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8E860A4-C295-404C-B549-2781B9F4C4CC}">
  <ds:schemaRefs>
    <ds:schemaRef ds:uri="http://schemas.microsoft.com/sharepoint/v3/contenttype/forms"/>
  </ds:schemaRefs>
</ds:datastoreItem>
</file>

<file path=customXml/itemProps2.xml><?xml version="1.0" encoding="utf-8"?>
<ds:datastoreItem xmlns:ds="http://schemas.openxmlformats.org/officeDocument/2006/customXml" ds:itemID="{B1B88C67-7492-478F-803C-65C0517DC857}"/>
</file>

<file path=customXml/itemProps3.xml><?xml version="1.0" encoding="utf-8"?>
<ds:datastoreItem xmlns:ds="http://schemas.openxmlformats.org/officeDocument/2006/customXml" ds:itemID="{7A8DDA58-4C08-4F83-BBC6-5CCF088CC3C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6890</Words>
  <Characters>39275</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Kaviraj Persand</dc:creator>
  <cp:keywords/>
  <dc:description/>
  <cp:lastModifiedBy>Kaleyvani Vencatachellum</cp:lastModifiedBy>
  <cp:revision>3</cp:revision>
  <cp:lastPrinted>2025-12-19T07:03:00Z</cp:lastPrinted>
  <dcterms:created xsi:type="dcterms:W3CDTF">2026-03-30T10:47:00Z</dcterms:created>
  <dcterms:modified xsi:type="dcterms:W3CDTF">2026-03-30T10:55:00Z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0x0101002493FC4C48176D4BA39FB2B3A58FDD54</vt:lpwstr>
  </property>
</Properties>
</file>