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0FDBE" w14:textId="77777777" w:rsidR="00644A8F" w:rsidRDefault="00644A8F" w:rsidP="00C41514">
      <w:pPr>
        <w:pStyle w:val="Heading4"/>
        <w:jc w:val="center"/>
      </w:pPr>
      <w:r w:rsidRPr="00C41514">
        <w:rPr>
          <w:sz w:val="28"/>
        </w:rPr>
        <w:t>External Merchandise Trade Statistics</w:t>
      </w:r>
    </w:p>
    <w:p w14:paraId="04F34B00" w14:textId="77777777" w:rsidR="00644A8F" w:rsidRPr="008E4016" w:rsidRDefault="00644A8F" w:rsidP="00644A8F">
      <w:pPr>
        <w:spacing w:before="240"/>
        <w:jc w:val="center"/>
        <w:rPr>
          <w:b/>
          <w:sz w:val="28"/>
        </w:rPr>
      </w:pPr>
      <w:r>
        <w:rPr>
          <w:b/>
          <w:sz w:val="28"/>
        </w:rPr>
        <w:t>4</w:t>
      </w:r>
      <w:r w:rsidRPr="00997E74">
        <w:rPr>
          <w:b/>
          <w:sz w:val="28"/>
          <w:vertAlign w:val="superscript"/>
        </w:rPr>
        <w:t>th</w:t>
      </w:r>
      <w:r>
        <w:rPr>
          <w:b/>
          <w:sz w:val="28"/>
        </w:rPr>
        <w:t xml:space="preserve"> </w:t>
      </w:r>
      <w:r w:rsidRPr="008E4016">
        <w:rPr>
          <w:b/>
          <w:sz w:val="28"/>
        </w:rPr>
        <w:t xml:space="preserve">Quarter </w:t>
      </w:r>
      <w:r>
        <w:rPr>
          <w:b/>
          <w:sz w:val="28"/>
        </w:rPr>
        <w:t xml:space="preserve">and Year </w:t>
      </w:r>
      <w:r w:rsidR="000A1412">
        <w:rPr>
          <w:b/>
          <w:sz w:val="28"/>
        </w:rPr>
        <w:t>2025</w:t>
      </w:r>
    </w:p>
    <w:p w14:paraId="049104D6" w14:textId="77777777" w:rsidR="00644A8F" w:rsidRPr="00140E0B" w:rsidRDefault="00644A8F" w:rsidP="00644A8F">
      <w:pPr>
        <w:rPr>
          <w:sz w:val="14"/>
        </w:rPr>
      </w:pPr>
    </w:p>
    <w:p w14:paraId="4A73444F" w14:textId="77777777" w:rsidR="00644A8F" w:rsidRPr="008E4016" w:rsidRDefault="00644A8F" w:rsidP="00644A8F">
      <w:pPr>
        <w:pStyle w:val="Heading1"/>
        <w:numPr>
          <w:ilvl w:val="0"/>
          <w:numId w:val="1"/>
        </w:numPr>
        <w:ind w:hanging="720"/>
        <w:jc w:val="both"/>
        <w:rPr>
          <w:b/>
        </w:rPr>
      </w:pPr>
      <w:r w:rsidRPr="008E4016">
        <w:rPr>
          <w:b/>
        </w:rPr>
        <w:t>Introduction</w:t>
      </w:r>
    </w:p>
    <w:p w14:paraId="431057E0" w14:textId="77777777" w:rsidR="00644A8F" w:rsidRPr="00140E0B" w:rsidRDefault="00644A8F" w:rsidP="00644A8F">
      <w:pPr>
        <w:pStyle w:val="BodyTextIndent2"/>
        <w:rPr>
          <w:sz w:val="20"/>
        </w:rPr>
      </w:pPr>
    </w:p>
    <w:p w14:paraId="650809A9" w14:textId="77777777" w:rsidR="00644A8F" w:rsidRPr="008E4016" w:rsidRDefault="00644A8F" w:rsidP="00644A8F">
      <w:pPr>
        <w:pStyle w:val="BodyTextIndent2"/>
        <w:ind w:hanging="90"/>
      </w:pPr>
      <w:r w:rsidRPr="008E4016">
        <w:t xml:space="preserve"> This issue of Economic and Social Indicators presents external merchandise trade statistics </w:t>
      </w:r>
      <w:r>
        <w:t xml:space="preserve">for the years </w:t>
      </w:r>
      <w:r w:rsidR="000A1412">
        <w:t>2024</w:t>
      </w:r>
      <w:r>
        <w:t xml:space="preserve"> and </w:t>
      </w:r>
      <w:r w:rsidR="000A1412">
        <w:t>2025</w:t>
      </w:r>
      <w:r w:rsidRPr="003B62DC">
        <w:t>. These statistics are compiled from declarations lodged at the Customs Department of the Mauritius</w:t>
      </w:r>
      <w:r w:rsidRPr="008E4016">
        <w:t xml:space="preserve"> Revenue Authority (MRA), by importers and exporters. Some of these declarations are usually revised at a later period and corrections are made accordingly on the </w:t>
      </w:r>
      <w:proofErr w:type="spellStart"/>
      <w:r w:rsidRPr="008E4016">
        <w:t>computerised</w:t>
      </w:r>
      <w:proofErr w:type="spellEnd"/>
      <w:r w:rsidRPr="008E4016">
        <w:t xml:space="preserve"> database </w:t>
      </w:r>
      <w:r>
        <w:t>at the Customs Department.</w:t>
      </w:r>
    </w:p>
    <w:p w14:paraId="006777B5" w14:textId="77777777" w:rsidR="00644A8F" w:rsidRPr="00140E0B" w:rsidRDefault="00644A8F" w:rsidP="00644A8F">
      <w:pPr>
        <w:ind w:firstLine="720"/>
        <w:jc w:val="both"/>
      </w:pPr>
    </w:p>
    <w:p w14:paraId="1C681008" w14:textId="77777777" w:rsidR="00644A8F" w:rsidRPr="008E4016" w:rsidRDefault="00644A8F" w:rsidP="00644A8F">
      <w:pPr>
        <w:jc w:val="both"/>
        <w:rPr>
          <w:sz w:val="24"/>
        </w:rPr>
      </w:pPr>
      <w:r w:rsidRPr="008E4016">
        <w:rPr>
          <w:sz w:val="24"/>
        </w:rPr>
        <w:t>Thus, while</w:t>
      </w:r>
      <w:r w:rsidR="00C41D2B">
        <w:rPr>
          <w:sz w:val="24"/>
        </w:rPr>
        <w:t xml:space="preserve"> </w:t>
      </w:r>
      <w:r w:rsidRPr="008E4016">
        <w:rPr>
          <w:sz w:val="24"/>
        </w:rPr>
        <w:t xml:space="preserve">figures for </w:t>
      </w:r>
      <w:r w:rsidR="000A1412">
        <w:rPr>
          <w:sz w:val="24"/>
        </w:rPr>
        <w:t>2024</w:t>
      </w:r>
      <w:r w:rsidRPr="008E4016">
        <w:rPr>
          <w:sz w:val="24"/>
        </w:rPr>
        <w:t xml:space="preserve"> are published in this indicator, those for </w:t>
      </w:r>
      <w:r w:rsidR="000A1412">
        <w:rPr>
          <w:sz w:val="24"/>
        </w:rPr>
        <w:t>2025</w:t>
      </w:r>
      <w:r w:rsidRPr="008E4016">
        <w:rPr>
          <w:sz w:val="24"/>
        </w:rPr>
        <w:t xml:space="preserve"> are still provisional and subject to revision as and when the Customs Department of the MRA submits latest amendments to Statistics Mauritius. </w:t>
      </w:r>
    </w:p>
    <w:p w14:paraId="5F3BBC00" w14:textId="77777777" w:rsidR="00644A8F" w:rsidRPr="00140E0B" w:rsidRDefault="00644A8F" w:rsidP="00644A8F">
      <w:pPr>
        <w:ind w:firstLine="720"/>
        <w:jc w:val="both"/>
      </w:pPr>
    </w:p>
    <w:p w14:paraId="11A843F7" w14:textId="77777777" w:rsidR="00644A8F" w:rsidRPr="008E4016" w:rsidRDefault="00644A8F" w:rsidP="00644A8F">
      <w:pPr>
        <w:jc w:val="both"/>
        <w:rPr>
          <w:sz w:val="24"/>
        </w:rPr>
      </w:pPr>
      <w:r w:rsidRPr="008E4016">
        <w:rPr>
          <w:sz w:val="24"/>
        </w:rPr>
        <w:t xml:space="preserve">Data on external merchandise trade are compiled as per the recommendations of the United Nations General Trade System. According to this system, all goods entering and leaving the national frontier, including trading activities of the Freeport zone should be accounted for. </w:t>
      </w:r>
    </w:p>
    <w:p w14:paraId="7F4406C9" w14:textId="77777777" w:rsidR="00644A8F" w:rsidRPr="00140E0B" w:rsidRDefault="00644A8F" w:rsidP="00644A8F">
      <w:pPr>
        <w:ind w:firstLine="720"/>
        <w:jc w:val="both"/>
      </w:pPr>
    </w:p>
    <w:p w14:paraId="6FC545BA" w14:textId="77777777" w:rsidR="00644A8F" w:rsidRPr="008E4016" w:rsidRDefault="00644A8F" w:rsidP="00644A8F">
      <w:pPr>
        <w:numPr>
          <w:ilvl w:val="0"/>
          <w:numId w:val="1"/>
        </w:numPr>
        <w:ind w:hanging="810"/>
        <w:jc w:val="both"/>
        <w:rPr>
          <w:b/>
          <w:sz w:val="24"/>
        </w:rPr>
      </w:pPr>
      <w:r w:rsidRPr="008E4016">
        <w:rPr>
          <w:b/>
          <w:sz w:val="24"/>
        </w:rPr>
        <w:t xml:space="preserve">Total value of trade and trade balance  </w:t>
      </w:r>
    </w:p>
    <w:p w14:paraId="7E10E262" w14:textId="77777777" w:rsidR="00644A8F" w:rsidRPr="00140E0B" w:rsidRDefault="00644A8F" w:rsidP="00644A8F">
      <w:pPr>
        <w:pStyle w:val="BodyTextIndent"/>
        <w:tabs>
          <w:tab w:val="left" w:pos="0"/>
          <w:tab w:val="left" w:pos="720"/>
          <w:tab w:val="left" w:pos="1080"/>
        </w:tabs>
        <w:jc w:val="both"/>
        <w:rPr>
          <w:sz w:val="20"/>
        </w:rPr>
      </w:pPr>
    </w:p>
    <w:p w14:paraId="68C9C681" w14:textId="77777777" w:rsidR="00644A8F" w:rsidRPr="008E4016" w:rsidRDefault="00644A8F" w:rsidP="00644A8F">
      <w:pPr>
        <w:pStyle w:val="BodyTextIndent"/>
        <w:tabs>
          <w:tab w:val="left" w:pos="0"/>
          <w:tab w:val="left" w:pos="720"/>
          <w:tab w:val="left" w:pos="1080"/>
        </w:tabs>
        <w:ind w:firstLine="0"/>
        <w:jc w:val="both"/>
      </w:pPr>
      <w:r w:rsidRPr="008E4016">
        <w:t xml:space="preserve">Total external merchandise trade for the </w:t>
      </w:r>
      <w:r>
        <w:t>fourth</w:t>
      </w:r>
      <w:r w:rsidRPr="008E4016">
        <w:t xml:space="preserve"> quarter of </w:t>
      </w:r>
      <w:r w:rsidR="000A1412">
        <w:t>2025</w:t>
      </w:r>
      <w:r w:rsidRPr="008E4016">
        <w:t xml:space="preserve"> was valued at Rs </w:t>
      </w:r>
      <w:r w:rsidR="000E2D20">
        <w:t>11</w:t>
      </w:r>
      <w:r w:rsidR="009C4E1A">
        <w:t>4</w:t>
      </w:r>
      <w:r w:rsidRPr="008E4016">
        <w:t>,</w:t>
      </w:r>
      <w:r w:rsidR="009C4E1A">
        <w:t>866</w:t>
      </w:r>
      <w:r w:rsidRPr="008E4016">
        <w:t xml:space="preserve"> million, i.e. </w:t>
      </w:r>
      <w:r w:rsidR="009C4E1A">
        <w:t>12.7</w:t>
      </w:r>
      <w:r w:rsidRPr="008E4016">
        <w:t xml:space="preserve">% </w:t>
      </w:r>
      <w:r>
        <w:t>high</w:t>
      </w:r>
      <w:r w:rsidRPr="008E4016">
        <w:t xml:space="preserve">er than the value of Rs </w:t>
      </w:r>
      <w:r w:rsidR="000E2D20">
        <w:t>1</w:t>
      </w:r>
      <w:r w:rsidR="009C4E1A">
        <w:t>0</w:t>
      </w:r>
      <w:r w:rsidR="000E2D20">
        <w:t>1</w:t>
      </w:r>
      <w:r w:rsidRPr="008E4016">
        <w:t>,</w:t>
      </w:r>
      <w:r w:rsidR="009C4E1A">
        <w:t>890</w:t>
      </w:r>
      <w:r w:rsidRPr="008E4016">
        <w:t xml:space="preserve"> million</w:t>
      </w:r>
      <w:r w:rsidR="00D637B5">
        <w:t xml:space="preserve"> </w:t>
      </w:r>
      <w:r w:rsidRPr="008E4016">
        <w:t>of the previous quarter and</w:t>
      </w:r>
      <w:r>
        <w:t xml:space="preserve"> </w:t>
      </w:r>
      <w:r w:rsidR="000E2D20">
        <w:t>1</w:t>
      </w:r>
      <w:r w:rsidR="009C4E1A">
        <w:t>.5</w:t>
      </w:r>
      <w:r w:rsidRPr="008E4016">
        <w:t xml:space="preserve">% </w:t>
      </w:r>
      <w:r w:rsidR="000E2D20">
        <w:t>high</w:t>
      </w:r>
      <w:r w:rsidR="00FD5EB3">
        <w:t>er</w:t>
      </w:r>
      <w:r w:rsidRPr="008E4016">
        <w:t xml:space="preserve"> than the value of Rs </w:t>
      </w:r>
      <w:r w:rsidR="009C4E1A">
        <w:t>113</w:t>
      </w:r>
      <w:r w:rsidRPr="008E4016">
        <w:t>,</w:t>
      </w:r>
      <w:r w:rsidR="009C4E1A">
        <w:t>167</w:t>
      </w:r>
      <w:r w:rsidR="00FF5741">
        <w:t xml:space="preserve"> </w:t>
      </w:r>
      <w:r w:rsidRPr="008E4016">
        <w:t>million</w:t>
      </w:r>
      <w:r w:rsidR="00D637B5">
        <w:t xml:space="preserve"> </w:t>
      </w:r>
      <w:r w:rsidRPr="008E4016">
        <w:t xml:space="preserve">of the corresponding quarter of </w:t>
      </w:r>
      <w:r w:rsidR="000A1412">
        <w:t>2024</w:t>
      </w:r>
      <w:r w:rsidRPr="008E4016">
        <w:t>.</w:t>
      </w:r>
    </w:p>
    <w:p w14:paraId="1FD13B46" w14:textId="77777777" w:rsidR="00644A8F" w:rsidRPr="00140E0B" w:rsidRDefault="00644A8F" w:rsidP="00644A8F">
      <w:pPr>
        <w:pStyle w:val="BodyTextIndent"/>
        <w:tabs>
          <w:tab w:val="left" w:pos="0"/>
          <w:tab w:val="left" w:pos="720"/>
          <w:tab w:val="left" w:pos="1080"/>
        </w:tabs>
        <w:ind w:firstLine="0"/>
        <w:jc w:val="both"/>
        <w:rPr>
          <w:sz w:val="20"/>
        </w:rPr>
      </w:pPr>
    </w:p>
    <w:p w14:paraId="38DBC24C" w14:textId="77777777" w:rsidR="00644A8F" w:rsidRDefault="00644A8F" w:rsidP="00644A8F">
      <w:pPr>
        <w:pStyle w:val="BodyTextIndent"/>
        <w:tabs>
          <w:tab w:val="left" w:pos="0"/>
          <w:tab w:val="left" w:pos="720"/>
          <w:tab w:val="left" w:pos="1080"/>
        </w:tabs>
        <w:ind w:firstLine="0"/>
        <w:jc w:val="both"/>
      </w:pPr>
      <w:r>
        <w:t xml:space="preserve">For the fourth quarter of </w:t>
      </w:r>
      <w:r w:rsidR="000A1412">
        <w:t>2025</w:t>
      </w:r>
      <w:r>
        <w:t xml:space="preserve">, total exports (including ship’s stores &amp; bunkers) were valued at Rs </w:t>
      </w:r>
      <w:r w:rsidR="00FF5741">
        <w:t>2</w:t>
      </w:r>
      <w:r w:rsidR="001A552D">
        <w:t>6</w:t>
      </w:r>
      <w:r>
        <w:t>,</w:t>
      </w:r>
      <w:r w:rsidR="009C4E1A">
        <w:t>704</w:t>
      </w:r>
      <w:r>
        <w:t xml:space="preserve"> million against imports of Rs </w:t>
      </w:r>
      <w:r w:rsidR="000E2D20">
        <w:t>8</w:t>
      </w:r>
      <w:r w:rsidR="009C4E1A">
        <w:t>8</w:t>
      </w:r>
      <w:r>
        <w:t>,</w:t>
      </w:r>
      <w:r w:rsidR="009C4E1A">
        <w:t>162</w:t>
      </w:r>
      <w:r>
        <w:t xml:space="preserve"> million. This resulted in a trade deficit of </w:t>
      </w:r>
      <w:r>
        <w:br/>
        <w:t xml:space="preserve">Rs </w:t>
      </w:r>
      <w:r w:rsidR="009C4E1A">
        <w:t>61</w:t>
      </w:r>
      <w:r>
        <w:t>,</w:t>
      </w:r>
      <w:r w:rsidR="009C4E1A">
        <w:t>458</w:t>
      </w:r>
      <w:r>
        <w:t xml:space="preserve"> million, </w:t>
      </w:r>
      <w:r w:rsidR="009C4E1A">
        <w:t>28</w:t>
      </w:r>
      <w:r w:rsidR="000E2D20">
        <w:t>.0</w:t>
      </w:r>
      <w:r>
        <w:t xml:space="preserve">% higher than the deficit of Rs </w:t>
      </w:r>
      <w:r w:rsidR="009C4E1A">
        <w:t>48</w:t>
      </w:r>
      <w:r>
        <w:t>,</w:t>
      </w:r>
      <w:r w:rsidR="009C4E1A">
        <w:t>016</w:t>
      </w:r>
      <w:r w:rsidR="00DD62BC">
        <w:t xml:space="preserve"> </w:t>
      </w:r>
      <w:r>
        <w:t xml:space="preserve">million of the previous quarter and </w:t>
      </w:r>
      <w:r w:rsidR="009C4E1A">
        <w:t>3.8</w:t>
      </w:r>
      <w:r>
        <w:t xml:space="preserve">% </w:t>
      </w:r>
      <w:r w:rsidR="000E2D20">
        <w:t>highe</w:t>
      </w:r>
      <w:r w:rsidR="00FF5741">
        <w:t>r</w:t>
      </w:r>
      <w:r>
        <w:t xml:space="preserve"> than the deficit of Rs </w:t>
      </w:r>
      <w:r w:rsidR="009C4E1A">
        <w:t>59</w:t>
      </w:r>
      <w:r>
        <w:t>,</w:t>
      </w:r>
      <w:r w:rsidR="009C4E1A">
        <w:t>207</w:t>
      </w:r>
      <w:r w:rsidR="00DD62BC">
        <w:t xml:space="preserve"> </w:t>
      </w:r>
      <w:r>
        <w:t xml:space="preserve">million of the corresponding quarter of </w:t>
      </w:r>
      <w:r w:rsidR="000A1412">
        <w:t>2024</w:t>
      </w:r>
      <w:r>
        <w:t>.</w:t>
      </w:r>
    </w:p>
    <w:p w14:paraId="61B9BD97" w14:textId="77777777" w:rsidR="00644A8F" w:rsidRPr="00140E0B" w:rsidRDefault="00644A8F" w:rsidP="00644A8F">
      <w:pPr>
        <w:pStyle w:val="BodyTextIndent"/>
        <w:tabs>
          <w:tab w:val="left" w:pos="0"/>
          <w:tab w:val="left" w:pos="720"/>
          <w:tab w:val="left" w:pos="1080"/>
        </w:tabs>
        <w:ind w:firstLine="0"/>
        <w:jc w:val="both"/>
        <w:rPr>
          <w:sz w:val="20"/>
        </w:rPr>
      </w:pPr>
    </w:p>
    <w:p w14:paraId="2DAB3DD9" w14:textId="77777777" w:rsidR="00644A8F" w:rsidRDefault="00644A8F" w:rsidP="00644A8F">
      <w:pPr>
        <w:pStyle w:val="BodyTextIndent"/>
        <w:tabs>
          <w:tab w:val="left" w:pos="0"/>
          <w:tab w:val="left" w:pos="720"/>
          <w:tab w:val="left" w:pos="1080"/>
        </w:tabs>
        <w:ind w:firstLine="0"/>
        <w:jc w:val="both"/>
        <w:rPr>
          <w:szCs w:val="4"/>
        </w:rPr>
      </w:pPr>
      <w:r>
        <w:t xml:space="preserve">Total export proceeds for the year </w:t>
      </w:r>
      <w:r w:rsidR="000A1412">
        <w:t>2025</w:t>
      </w:r>
      <w:r>
        <w:t xml:space="preserve"> stood at Rs </w:t>
      </w:r>
      <w:r w:rsidR="00484723">
        <w:t>1</w:t>
      </w:r>
      <w:r w:rsidR="009C4E1A">
        <w:t>07</w:t>
      </w:r>
      <w:r>
        <w:t>,</w:t>
      </w:r>
      <w:r w:rsidR="009C4E1A">
        <w:t>70</w:t>
      </w:r>
      <w:r w:rsidR="000E2D20">
        <w:t>3</w:t>
      </w:r>
      <w:r>
        <w:t xml:space="preserve"> million, representing a</w:t>
      </w:r>
      <w:r w:rsidR="009C4E1A">
        <w:t xml:space="preserve"> de</w:t>
      </w:r>
      <w:r>
        <w:t>crease of</w:t>
      </w:r>
      <w:r w:rsidR="00FF5741">
        <w:t xml:space="preserve"> </w:t>
      </w:r>
      <w:r w:rsidR="009C4E1A">
        <w:t>2.1</w:t>
      </w:r>
      <w:r>
        <w:t xml:space="preserve">% over the </w:t>
      </w:r>
      <w:r w:rsidR="000A1412">
        <w:t>2024</w:t>
      </w:r>
      <w:r>
        <w:t xml:space="preserve"> figure of Rs </w:t>
      </w:r>
      <w:r w:rsidR="000E2D20">
        <w:t>10</w:t>
      </w:r>
      <w:r w:rsidR="009C4E1A">
        <w:t>9</w:t>
      </w:r>
      <w:r>
        <w:t>,</w:t>
      </w:r>
      <w:r w:rsidR="009C4E1A">
        <w:t>965</w:t>
      </w:r>
      <w:r>
        <w:t xml:space="preserve"> million. Total imports</w:t>
      </w:r>
      <w:r w:rsidR="00DA519A">
        <w:t xml:space="preserve"> </w:t>
      </w:r>
      <w:r>
        <w:t xml:space="preserve">for the year </w:t>
      </w:r>
      <w:r w:rsidR="000A1412">
        <w:t>2025</w:t>
      </w:r>
      <w:r w:rsidR="00FF5741">
        <w:t xml:space="preserve"> </w:t>
      </w:r>
      <w:r>
        <w:t xml:space="preserve">amounted to Rs </w:t>
      </w:r>
      <w:r w:rsidR="000E2D20">
        <w:t>31</w:t>
      </w:r>
      <w:r w:rsidR="009C4E1A">
        <w:t>8</w:t>
      </w:r>
      <w:r w:rsidR="00FF5741">
        <w:t>,</w:t>
      </w:r>
      <w:r w:rsidR="009C4E1A">
        <w:t>962</w:t>
      </w:r>
      <w:r>
        <w:t xml:space="preserve"> million, </w:t>
      </w:r>
      <w:r w:rsidR="00DA519A">
        <w:t xml:space="preserve">representing </w:t>
      </w:r>
      <w:r>
        <w:t>a</w:t>
      </w:r>
      <w:r w:rsidR="000E2D20">
        <w:t>n in</w:t>
      </w:r>
      <w:r>
        <w:t xml:space="preserve">crease of </w:t>
      </w:r>
      <w:r w:rsidR="009C4E1A">
        <w:t>0.4</w:t>
      </w:r>
      <w:r>
        <w:t xml:space="preserve">%, compared to Rs </w:t>
      </w:r>
      <w:r w:rsidR="009C4E1A">
        <w:t>317</w:t>
      </w:r>
      <w:r w:rsidR="00484723">
        <w:t>,</w:t>
      </w:r>
      <w:r w:rsidR="009C4E1A">
        <w:t>802</w:t>
      </w:r>
      <w:r>
        <w:t xml:space="preserve"> million in </w:t>
      </w:r>
      <w:r w:rsidR="000A1412">
        <w:t>2024</w:t>
      </w:r>
      <w:r>
        <w:t xml:space="preserve">. </w:t>
      </w:r>
      <w:r>
        <w:rPr>
          <w:szCs w:val="4"/>
        </w:rPr>
        <w:t xml:space="preserve">The trade deficit for year </w:t>
      </w:r>
      <w:r w:rsidR="000A1412">
        <w:rPr>
          <w:szCs w:val="4"/>
        </w:rPr>
        <w:t>2025</w:t>
      </w:r>
      <w:r>
        <w:rPr>
          <w:szCs w:val="4"/>
        </w:rPr>
        <w:t xml:space="preserve"> worked out to Rs </w:t>
      </w:r>
      <w:r w:rsidR="000E2D20">
        <w:rPr>
          <w:szCs w:val="4"/>
        </w:rPr>
        <w:t>2</w:t>
      </w:r>
      <w:r w:rsidR="009C4E1A">
        <w:rPr>
          <w:szCs w:val="4"/>
        </w:rPr>
        <w:t>11</w:t>
      </w:r>
      <w:r w:rsidR="000E2D20">
        <w:rPr>
          <w:szCs w:val="4"/>
        </w:rPr>
        <w:t>,</w:t>
      </w:r>
      <w:r w:rsidR="009C4E1A">
        <w:rPr>
          <w:szCs w:val="4"/>
        </w:rPr>
        <w:t>259</w:t>
      </w:r>
      <w:r>
        <w:rPr>
          <w:szCs w:val="4"/>
        </w:rPr>
        <w:t xml:space="preserve"> million, around </w:t>
      </w:r>
      <w:r w:rsidR="000E2D20">
        <w:rPr>
          <w:szCs w:val="4"/>
        </w:rPr>
        <w:t>1</w:t>
      </w:r>
      <w:r w:rsidR="009C4E1A">
        <w:rPr>
          <w:szCs w:val="4"/>
        </w:rPr>
        <w:t>.6</w:t>
      </w:r>
      <w:r w:rsidR="00AF22B6">
        <w:rPr>
          <w:szCs w:val="4"/>
        </w:rPr>
        <w:t>%</w:t>
      </w:r>
      <w:r>
        <w:rPr>
          <w:szCs w:val="4"/>
        </w:rPr>
        <w:t xml:space="preserve"> </w:t>
      </w:r>
      <w:r w:rsidR="000E2D20">
        <w:rPr>
          <w:szCs w:val="4"/>
        </w:rPr>
        <w:t>high</w:t>
      </w:r>
      <w:r>
        <w:rPr>
          <w:szCs w:val="4"/>
        </w:rPr>
        <w:t xml:space="preserve">er than the deficit of Rs </w:t>
      </w:r>
      <w:r w:rsidR="009C4E1A">
        <w:rPr>
          <w:szCs w:val="4"/>
        </w:rPr>
        <w:t>207</w:t>
      </w:r>
      <w:r>
        <w:rPr>
          <w:szCs w:val="4"/>
        </w:rPr>
        <w:t>,</w:t>
      </w:r>
      <w:r w:rsidR="009C4E1A">
        <w:rPr>
          <w:szCs w:val="4"/>
        </w:rPr>
        <w:t xml:space="preserve">837 </w:t>
      </w:r>
      <w:r>
        <w:rPr>
          <w:szCs w:val="4"/>
        </w:rPr>
        <w:t xml:space="preserve">million for the year </w:t>
      </w:r>
      <w:r w:rsidR="000A1412">
        <w:rPr>
          <w:szCs w:val="4"/>
        </w:rPr>
        <w:t>2024</w:t>
      </w:r>
      <w:r>
        <w:rPr>
          <w:szCs w:val="4"/>
        </w:rPr>
        <w:t>.</w:t>
      </w:r>
    </w:p>
    <w:p w14:paraId="1D706834" w14:textId="77777777" w:rsidR="00644A8F" w:rsidRPr="00140E0B" w:rsidRDefault="00644A8F" w:rsidP="00644A8F">
      <w:pPr>
        <w:pStyle w:val="BodyTextIndent"/>
        <w:tabs>
          <w:tab w:val="left" w:pos="0"/>
          <w:tab w:val="left" w:pos="720"/>
          <w:tab w:val="left" w:pos="1080"/>
        </w:tabs>
        <w:ind w:firstLine="0"/>
        <w:jc w:val="both"/>
        <w:rPr>
          <w:sz w:val="16"/>
          <w:szCs w:val="4"/>
        </w:rPr>
      </w:pPr>
    </w:p>
    <w:p w14:paraId="7C5A5978" w14:textId="77777777" w:rsidR="00644A8F" w:rsidRDefault="00021149" w:rsidP="00644A8F">
      <w:pPr>
        <w:pStyle w:val="BodyTextIndent"/>
        <w:tabs>
          <w:tab w:val="left" w:pos="0"/>
          <w:tab w:val="left" w:pos="720"/>
          <w:tab w:val="left" w:pos="1080"/>
        </w:tabs>
        <w:ind w:firstLine="0"/>
        <w:jc w:val="center"/>
      </w:pPr>
      <w:r w:rsidRPr="00021149">
        <w:rPr>
          <w:noProof/>
        </w:rPr>
        <w:drawing>
          <wp:inline distT="0" distB="0" distL="0" distR="0" wp14:anchorId="09EE8F5B" wp14:editId="6B7CC978">
            <wp:extent cx="5036168" cy="3116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920" cy="3119520"/>
                    </a:xfrm>
                    <a:prstGeom prst="rect">
                      <a:avLst/>
                    </a:prstGeom>
                    <a:noFill/>
                    <a:ln>
                      <a:noFill/>
                    </a:ln>
                  </pic:spPr>
                </pic:pic>
              </a:graphicData>
            </a:graphic>
          </wp:inline>
        </w:drawing>
      </w:r>
    </w:p>
    <w:p w14:paraId="312754D8" w14:textId="77777777" w:rsidR="00680D4A" w:rsidRDefault="00680D4A" w:rsidP="00644A8F">
      <w:pPr>
        <w:pStyle w:val="BodyTextIndent"/>
        <w:tabs>
          <w:tab w:val="left" w:pos="0"/>
          <w:tab w:val="left" w:pos="720"/>
          <w:tab w:val="left" w:pos="1080"/>
        </w:tabs>
        <w:ind w:firstLine="0"/>
        <w:jc w:val="center"/>
      </w:pPr>
    </w:p>
    <w:p w14:paraId="4CEEACDF" w14:textId="77777777" w:rsidR="00644A8F" w:rsidRPr="008E4016" w:rsidRDefault="00644A8F" w:rsidP="00644A8F">
      <w:pPr>
        <w:numPr>
          <w:ilvl w:val="0"/>
          <w:numId w:val="1"/>
        </w:numPr>
        <w:spacing w:line="360" w:lineRule="auto"/>
        <w:ind w:hanging="720"/>
        <w:jc w:val="both"/>
        <w:rPr>
          <w:b/>
          <w:sz w:val="24"/>
        </w:rPr>
      </w:pPr>
      <w:r w:rsidRPr="008E4016">
        <w:rPr>
          <w:b/>
          <w:sz w:val="24"/>
        </w:rPr>
        <w:t>Exports</w:t>
      </w:r>
    </w:p>
    <w:p w14:paraId="7B6ACF02" w14:textId="77777777" w:rsidR="00644A8F" w:rsidRPr="00D8520E" w:rsidRDefault="00644A8F" w:rsidP="00644A8F">
      <w:pPr>
        <w:jc w:val="both"/>
        <w:rPr>
          <w:b/>
        </w:rPr>
      </w:pPr>
      <w:r w:rsidRPr="008E4016">
        <w:rPr>
          <w:b/>
          <w:sz w:val="24"/>
        </w:rPr>
        <w:t xml:space="preserve">3.1 </w:t>
      </w:r>
      <w:r>
        <w:rPr>
          <w:b/>
          <w:sz w:val="24"/>
        </w:rPr>
        <w:tab/>
      </w:r>
      <w:r w:rsidRPr="008E4016">
        <w:rPr>
          <w:b/>
          <w:sz w:val="24"/>
        </w:rPr>
        <w:t>Total exports (</w:t>
      </w:r>
      <w:r w:rsidRPr="00EA7370">
        <w:rPr>
          <w:b/>
          <w:i/>
          <w:sz w:val="24"/>
        </w:rPr>
        <w:t>Table</w:t>
      </w:r>
      <w:r w:rsidR="00E00630" w:rsidRPr="00EA7370">
        <w:rPr>
          <w:b/>
          <w:i/>
          <w:sz w:val="24"/>
        </w:rPr>
        <w:t xml:space="preserve">s 1 and </w:t>
      </w:r>
      <w:r w:rsidRPr="00EA7370">
        <w:rPr>
          <w:b/>
          <w:i/>
          <w:sz w:val="24"/>
        </w:rPr>
        <w:t>3</w:t>
      </w:r>
      <w:r w:rsidRPr="008E4016">
        <w:rPr>
          <w:b/>
          <w:sz w:val="24"/>
        </w:rPr>
        <w:t>)</w:t>
      </w:r>
      <w:r w:rsidR="007135F0">
        <w:rPr>
          <w:b/>
          <w:sz w:val="24"/>
        </w:rPr>
        <w:t xml:space="preserve"> </w:t>
      </w:r>
      <w:r>
        <w:rPr>
          <w:b/>
          <w:sz w:val="24"/>
        </w:rPr>
        <w:t>-</w:t>
      </w:r>
      <w:r w:rsidR="007135F0">
        <w:rPr>
          <w:b/>
          <w:sz w:val="24"/>
        </w:rPr>
        <w:t xml:space="preserve"> </w:t>
      </w:r>
      <w:r w:rsidRPr="007135F0">
        <w:rPr>
          <w:b/>
          <w:sz w:val="24"/>
        </w:rPr>
        <w:t>4</w:t>
      </w:r>
      <w:r w:rsidRPr="007135F0">
        <w:rPr>
          <w:b/>
          <w:sz w:val="24"/>
          <w:vertAlign w:val="superscript"/>
        </w:rPr>
        <w:t>th</w:t>
      </w:r>
      <w:r w:rsidRPr="007135F0">
        <w:rPr>
          <w:b/>
          <w:sz w:val="24"/>
        </w:rPr>
        <w:t xml:space="preserve"> Quarter </w:t>
      </w:r>
      <w:r w:rsidR="000A1412">
        <w:rPr>
          <w:b/>
          <w:sz w:val="24"/>
        </w:rPr>
        <w:t>2025</w:t>
      </w:r>
    </w:p>
    <w:p w14:paraId="4B94846D" w14:textId="77777777" w:rsidR="00644A8F" w:rsidRDefault="00644A8F" w:rsidP="00644A8F">
      <w:pPr>
        <w:pStyle w:val="BodyText"/>
        <w:spacing w:before="240" w:line="235" w:lineRule="auto"/>
        <w:contextualSpacing/>
      </w:pPr>
      <w:r w:rsidRPr="008E4016">
        <w:t>Total exports</w:t>
      </w:r>
      <w:r>
        <w:t xml:space="preserve"> </w:t>
      </w:r>
      <w:r w:rsidRPr="008E4016">
        <w:t xml:space="preserve">for the </w:t>
      </w:r>
      <w:r>
        <w:t>fourth</w:t>
      </w:r>
      <w:r w:rsidRPr="008E4016">
        <w:t xml:space="preserve"> quarter of </w:t>
      </w:r>
      <w:r w:rsidR="000A1412">
        <w:t>2025</w:t>
      </w:r>
      <w:r w:rsidRPr="008E4016">
        <w:t>, including domestic exports</w:t>
      </w:r>
      <w:r>
        <w:rPr>
          <w:rStyle w:val="FootnoteReference"/>
        </w:rPr>
        <w:footnoteReference w:id="1"/>
      </w:r>
      <w:r w:rsidRPr="008E4016">
        <w:t>,</w:t>
      </w:r>
      <w:r w:rsidRPr="008E4016">
        <w:rPr>
          <w:vertAlign w:val="superscript"/>
        </w:rPr>
        <w:t xml:space="preserve"> </w:t>
      </w:r>
      <w:r w:rsidRPr="008E4016">
        <w:t>re-exports</w:t>
      </w:r>
      <w:r>
        <w:rPr>
          <w:rStyle w:val="FootnoteReference"/>
        </w:rPr>
        <w:footnoteReference w:id="2"/>
      </w:r>
      <w:r w:rsidRPr="008E4016">
        <w:t xml:space="preserve"> and ship’s stores and bunkers</w:t>
      </w:r>
      <w:r>
        <w:t>,</w:t>
      </w:r>
      <w:r w:rsidRPr="008E4016">
        <w:t xml:space="preserve"> amounted to Rs </w:t>
      </w:r>
      <w:r w:rsidR="00E6595F">
        <w:t>2</w:t>
      </w:r>
      <w:r w:rsidR="00724ECB">
        <w:t>6</w:t>
      </w:r>
      <w:r>
        <w:t>,</w:t>
      </w:r>
      <w:r w:rsidR="00724ECB">
        <w:t>704</w:t>
      </w:r>
      <w:r w:rsidRPr="008E4016">
        <w:t xml:space="preserve"> million, showing a</w:t>
      </w:r>
      <w:r w:rsidR="00EB56B7">
        <w:t xml:space="preserve"> de</w:t>
      </w:r>
      <w:r w:rsidRPr="008E4016">
        <w:t xml:space="preserve">crease of </w:t>
      </w:r>
      <w:r w:rsidR="00724ECB">
        <w:t>0.9</w:t>
      </w:r>
      <w:r w:rsidRPr="008E4016">
        <w:t>% compared to the previous quarter. This</w:t>
      </w:r>
      <w:r>
        <w:t xml:space="preserve"> is </w:t>
      </w:r>
      <w:r w:rsidRPr="008E4016">
        <w:t xml:space="preserve">explained by </w:t>
      </w:r>
      <w:r w:rsidR="00DB6C18">
        <w:t>de</w:t>
      </w:r>
      <w:r w:rsidRPr="008E4016">
        <w:t>creases in</w:t>
      </w:r>
      <w:r>
        <w:t xml:space="preserve"> the</w:t>
      </w:r>
      <w:r w:rsidRPr="008E4016">
        <w:t xml:space="preserve"> exports of</w:t>
      </w:r>
      <w:r>
        <w:t xml:space="preserve"> </w:t>
      </w:r>
      <w:r w:rsidR="00BB51EA">
        <w:t>“Ship’s stores and</w:t>
      </w:r>
      <w:r w:rsidR="00BB51EA" w:rsidRPr="003B62DC">
        <w:t xml:space="preserve"> bunkers</w:t>
      </w:r>
      <w:r w:rsidR="00BB51EA">
        <w:t>” (-6.6%) and “</w:t>
      </w:r>
      <w:r w:rsidR="00BB51EA" w:rsidRPr="003B62DC">
        <w:t>Miscellaneous manufactured articles</w:t>
      </w:r>
      <w:r w:rsidR="00BB51EA">
        <w:t xml:space="preserve">” (-4.1%), partly offset by increases in the exports of </w:t>
      </w:r>
      <w:r w:rsidR="00DB6C18">
        <w:t>“Manufactured goods classified chiefly by material” (</w:t>
      </w:r>
      <w:r w:rsidR="00BB51EA">
        <w:t>+13.1</w:t>
      </w:r>
      <w:r w:rsidR="00DB6C18">
        <w:t>%),</w:t>
      </w:r>
      <w:r w:rsidR="00C15C55">
        <w:t xml:space="preserve"> </w:t>
      </w:r>
      <w:r w:rsidR="00BB51EA">
        <w:t>“</w:t>
      </w:r>
      <w:r w:rsidR="00BB51EA" w:rsidRPr="008E4016">
        <w:t xml:space="preserve">Chemicals and related products, </w:t>
      </w:r>
      <w:proofErr w:type="spellStart"/>
      <w:r w:rsidR="00BB51EA" w:rsidRPr="008E4016">
        <w:t>n.e.s</w:t>
      </w:r>
      <w:proofErr w:type="spellEnd"/>
      <w:r w:rsidR="00BB51EA">
        <w:t>” (+10.1%), “Food and live animals” (+5.1%)</w:t>
      </w:r>
      <w:r w:rsidR="006B2BFC">
        <w:t xml:space="preserve"> and</w:t>
      </w:r>
      <w:r w:rsidR="00C15C55">
        <w:t xml:space="preserve"> “</w:t>
      </w:r>
      <w:r w:rsidR="006B2BFC">
        <w:t>Crude materials, inedible, except fuels</w:t>
      </w:r>
      <w:r w:rsidR="00055C3C">
        <w:t>”</w:t>
      </w:r>
      <w:r w:rsidR="002E4E00">
        <w:t xml:space="preserve"> </w:t>
      </w:r>
      <w:r w:rsidR="00055C3C">
        <w:t>(</w:t>
      </w:r>
      <w:r w:rsidR="006B2BFC">
        <w:t>+0.8</w:t>
      </w:r>
      <w:r w:rsidR="00055C3C">
        <w:t>%)</w:t>
      </w:r>
      <w:r>
        <w:t>.</w:t>
      </w:r>
    </w:p>
    <w:p w14:paraId="1BA91773" w14:textId="77777777" w:rsidR="00644A8F" w:rsidRDefault="00644A8F" w:rsidP="00644A8F">
      <w:pPr>
        <w:pStyle w:val="BodyTextIndent"/>
        <w:spacing w:before="240" w:line="235" w:lineRule="auto"/>
        <w:ind w:firstLine="0"/>
        <w:contextualSpacing/>
        <w:jc w:val="both"/>
      </w:pPr>
      <w:r w:rsidRPr="003B62DC">
        <w:t xml:space="preserve">Compared to the corresponding quarter of </w:t>
      </w:r>
      <w:r w:rsidR="000A1412">
        <w:t>2024</w:t>
      </w:r>
      <w:r w:rsidRPr="003B62DC">
        <w:t xml:space="preserve">, total exports for the </w:t>
      </w:r>
      <w:r>
        <w:t>fourth</w:t>
      </w:r>
      <w:r w:rsidRPr="003B62DC">
        <w:t xml:space="preserve"> quarter of </w:t>
      </w:r>
      <w:r w:rsidR="000A1412">
        <w:t>2025</w:t>
      </w:r>
      <w:r w:rsidRPr="003B62DC">
        <w:t xml:space="preserve"> </w:t>
      </w:r>
      <w:r w:rsidR="00B23293">
        <w:t>de</w:t>
      </w:r>
      <w:r w:rsidRPr="003B62DC">
        <w:t xml:space="preserve">creased by </w:t>
      </w:r>
      <w:r w:rsidR="00B23293">
        <w:t>1</w:t>
      </w:r>
      <w:r w:rsidR="000E4418">
        <w:t>.0</w:t>
      </w:r>
      <w:r w:rsidRPr="003B62DC">
        <w:t xml:space="preserve">%. This is mainly explained by </w:t>
      </w:r>
      <w:r w:rsidR="00B23293">
        <w:t>de</w:t>
      </w:r>
      <w:r w:rsidRPr="003B62DC">
        <w:t>creases in</w:t>
      </w:r>
      <w:r w:rsidR="00313E46">
        <w:t xml:space="preserve"> the</w:t>
      </w:r>
      <w:r w:rsidRPr="003B62DC">
        <w:t xml:space="preserve"> exports of</w:t>
      </w:r>
      <w:r>
        <w:t xml:space="preserve"> </w:t>
      </w:r>
      <w:r w:rsidR="00B23293">
        <w:t>“Food and live animals” (-8.6%) and “</w:t>
      </w:r>
      <w:r w:rsidR="00B23293" w:rsidRPr="003B62DC">
        <w:t>Miscellaneous manufactured articles</w:t>
      </w:r>
      <w:r w:rsidR="00B23293">
        <w:t>” (-4.8%), partly offset by increases in the exports of “</w:t>
      </w:r>
      <w:r w:rsidR="00B23293" w:rsidRPr="008E4016">
        <w:t xml:space="preserve">Chemicals and related products, </w:t>
      </w:r>
      <w:proofErr w:type="spellStart"/>
      <w:r w:rsidR="00B23293" w:rsidRPr="008E4016">
        <w:t>n.e.s</w:t>
      </w:r>
      <w:proofErr w:type="spellEnd"/>
      <w:r w:rsidR="00B23293">
        <w:t xml:space="preserve">” (+22.5%), “Crude materials, inedible, except fuels” (+16.2%), </w:t>
      </w:r>
      <w:r w:rsidR="004C1BD6">
        <w:t>“Ship’s stores and</w:t>
      </w:r>
      <w:r w:rsidR="004C1BD6" w:rsidRPr="003B62DC">
        <w:t xml:space="preserve"> bunkers</w:t>
      </w:r>
      <w:r w:rsidR="004C1BD6">
        <w:t>” (+1</w:t>
      </w:r>
      <w:r w:rsidR="00B23293">
        <w:t>4.5</w:t>
      </w:r>
      <w:r w:rsidR="004C1BD6">
        <w:t>%)</w:t>
      </w:r>
      <w:r w:rsidR="00B23293">
        <w:t xml:space="preserve"> and </w:t>
      </w:r>
      <w:r w:rsidR="004C1BD6">
        <w:t>“Manufactured goods classified chiefly by material” (</w:t>
      </w:r>
      <w:r w:rsidR="00B23293">
        <w:t>+5.0</w:t>
      </w:r>
      <w:r w:rsidR="004C1BD6">
        <w:t>%)</w:t>
      </w:r>
      <w:r>
        <w:t>.</w:t>
      </w:r>
    </w:p>
    <w:p w14:paraId="40F5660D" w14:textId="77777777" w:rsidR="00644A8F" w:rsidRPr="00966527" w:rsidRDefault="00644A8F" w:rsidP="00644A8F">
      <w:pPr>
        <w:pStyle w:val="BodyTextIndent"/>
        <w:spacing w:before="240" w:line="235" w:lineRule="auto"/>
        <w:ind w:firstLine="0"/>
        <w:contextualSpacing/>
        <w:jc w:val="both"/>
        <w:rPr>
          <w:sz w:val="18"/>
        </w:rPr>
      </w:pPr>
    </w:p>
    <w:p w14:paraId="2158E14F" w14:textId="77777777" w:rsidR="00644A8F" w:rsidRPr="0006355A" w:rsidRDefault="00644A8F" w:rsidP="00644A8F">
      <w:pPr>
        <w:pStyle w:val="BodyTextIndent"/>
        <w:spacing w:before="240" w:line="235" w:lineRule="auto"/>
        <w:ind w:firstLine="0"/>
        <w:contextualSpacing/>
        <w:jc w:val="both"/>
        <w:rPr>
          <w:b/>
        </w:rPr>
      </w:pPr>
      <w:r w:rsidRPr="0006355A">
        <w:rPr>
          <w:b/>
        </w:rPr>
        <w:t>3.2</w:t>
      </w:r>
      <w:r w:rsidRPr="0006355A">
        <w:rPr>
          <w:b/>
        </w:rPr>
        <w:tab/>
        <w:t>Domestic Exports</w:t>
      </w:r>
    </w:p>
    <w:p w14:paraId="69C84C58" w14:textId="77777777" w:rsidR="00644A8F" w:rsidRPr="00966527" w:rsidRDefault="00644A8F" w:rsidP="00644A8F">
      <w:pPr>
        <w:pStyle w:val="BodyTextIndent"/>
        <w:spacing w:before="240" w:line="235" w:lineRule="auto"/>
        <w:ind w:firstLine="0"/>
        <w:contextualSpacing/>
        <w:jc w:val="both"/>
        <w:rPr>
          <w:sz w:val="18"/>
        </w:rPr>
      </w:pPr>
    </w:p>
    <w:p w14:paraId="4425B219" w14:textId="77777777" w:rsidR="00644A8F" w:rsidRDefault="00644A8F" w:rsidP="00644A8F">
      <w:pPr>
        <w:pStyle w:val="BodyTextIndent"/>
        <w:spacing w:before="240" w:line="235" w:lineRule="auto"/>
        <w:ind w:firstLine="0"/>
        <w:contextualSpacing/>
        <w:jc w:val="both"/>
      </w:pPr>
      <w:r>
        <w:t xml:space="preserve">Domestic exports for the fourth quarter of </w:t>
      </w:r>
      <w:r w:rsidR="000A1412">
        <w:t>2025</w:t>
      </w:r>
      <w:r>
        <w:t xml:space="preserve"> amounting to Rs </w:t>
      </w:r>
      <w:r w:rsidR="0028295A">
        <w:t>1</w:t>
      </w:r>
      <w:r w:rsidR="00190738">
        <w:t>4</w:t>
      </w:r>
      <w:r>
        <w:t>,</w:t>
      </w:r>
      <w:r w:rsidR="00190738">
        <w:t>859</w:t>
      </w:r>
      <w:r>
        <w:t xml:space="preserve"> million accounted for </w:t>
      </w:r>
      <w:r w:rsidR="009E1660">
        <w:t>5</w:t>
      </w:r>
      <w:r w:rsidR="00272952">
        <w:t>5.6</w:t>
      </w:r>
      <w:r>
        <w:t xml:space="preserve">% of total exports. Compared to a value of Rs </w:t>
      </w:r>
      <w:r w:rsidR="00A12D08">
        <w:t>1</w:t>
      </w:r>
      <w:r w:rsidR="00272952">
        <w:t>4</w:t>
      </w:r>
      <w:r>
        <w:t>,</w:t>
      </w:r>
      <w:r w:rsidR="00272952">
        <w:t>245</w:t>
      </w:r>
      <w:r>
        <w:t xml:space="preserve"> million recorded in the </w:t>
      </w:r>
      <w:r w:rsidR="00A12D08">
        <w:t>third</w:t>
      </w:r>
      <w:r>
        <w:t xml:space="preserve"> quarter of </w:t>
      </w:r>
      <w:r w:rsidR="000A1412">
        <w:t>2025</w:t>
      </w:r>
      <w:r w:rsidR="0028295A">
        <w:t>,</w:t>
      </w:r>
      <w:r>
        <w:t xml:space="preserve"> domestic exports </w:t>
      </w:r>
      <w:r w:rsidR="00272952">
        <w:t>in</w:t>
      </w:r>
      <w:r>
        <w:t xml:space="preserve">creased by </w:t>
      </w:r>
      <w:r w:rsidR="00272952">
        <w:t>4.3</w:t>
      </w:r>
      <w:r>
        <w:t xml:space="preserve">%. When compared to the corresponding quarter of </w:t>
      </w:r>
      <w:r w:rsidR="000A1412">
        <w:t>2024</w:t>
      </w:r>
      <w:r w:rsidR="00212743">
        <w:t>,</w:t>
      </w:r>
      <w:r>
        <w:t xml:space="preserve"> a</w:t>
      </w:r>
      <w:r w:rsidR="00272952">
        <w:t xml:space="preserve"> de</w:t>
      </w:r>
      <w:r>
        <w:t xml:space="preserve">crease of </w:t>
      </w:r>
      <w:r w:rsidR="00272952">
        <w:t>2.8</w:t>
      </w:r>
      <w:r>
        <w:t>% was observed</w:t>
      </w:r>
      <w:r w:rsidR="006818E5">
        <w:t xml:space="preserve"> </w:t>
      </w:r>
      <w:r w:rsidR="000978C1">
        <w:t>(</w:t>
      </w:r>
      <w:r w:rsidR="000978C1">
        <w:rPr>
          <w:i/>
        </w:rPr>
        <w:t>Table 4</w:t>
      </w:r>
      <w:r w:rsidR="000978C1">
        <w:t>)</w:t>
      </w:r>
      <w:r>
        <w:t>.</w:t>
      </w:r>
    </w:p>
    <w:p w14:paraId="752E32A9" w14:textId="77777777" w:rsidR="00644A8F" w:rsidRPr="00966527" w:rsidRDefault="00644A8F" w:rsidP="00644A8F">
      <w:pPr>
        <w:pStyle w:val="BodyTextIndent"/>
        <w:spacing w:before="240" w:line="235" w:lineRule="auto"/>
        <w:ind w:firstLine="0"/>
        <w:contextualSpacing/>
        <w:jc w:val="both"/>
        <w:rPr>
          <w:b/>
          <w:sz w:val="18"/>
        </w:rPr>
      </w:pPr>
    </w:p>
    <w:p w14:paraId="085A6579" w14:textId="77777777" w:rsidR="00644A8F" w:rsidRPr="00682AEB" w:rsidRDefault="00644A8F" w:rsidP="00644A8F">
      <w:pPr>
        <w:pStyle w:val="BodyTextIndent"/>
        <w:spacing w:before="240" w:line="235" w:lineRule="auto"/>
        <w:ind w:firstLine="0"/>
        <w:contextualSpacing/>
        <w:jc w:val="both"/>
        <w:rPr>
          <w:b/>
        </w:rPr>
      </w:pPr>
      <w:r w:rsidRPr="00682AEB">
        <w:rPr>
          <w:b/>
        </w:rPr>
        <w:t>3.3</w:t>
      </w:r>
      <w:r w:rsidRPr="00682AEB">
        <w:rPr>
          <w:b/>
        </w:rPr>
        <w:tab/>
        <w:t>Re-exports</w:t>
      </w:r>
    </w:p>
    <w:p w14:paraId="0EF391FA" w14:textId="77777777" w:rsidR="00644A8F" w:rsidRPr="00966527" w:rsidRDefault="00644A8F" w:rsidP="00644A8F">
      <w:pPr>
        <w:pStyle w:val="BodyTextIndent"/>
        <w:spacing w:before="240" w:line="235" w:lineRule="auto"/>
        <w:ind w:firstLine="0"/>
        <w:contextualSpacing/>
        <w:jc w:val="both"/>
        <w:rPr>
          <w:sz w:val="18"/>
        </w:rPr>
      </w:pPr>
    </w:p>
    <w:p w14:paraId="3133CE15" w14:textId="77777777" w:rsidR="00644A8F" w:rsidRDefault="00644A8F" w:rsidP="00644A8F">
      <w:pPr>
        <w:pStyle w:val="BodyTextIndent"/>
        <w:spacing w:before="240" w:line="235" w:lineRule="auto"/>
        <w:ind w:firstLine="0"/>
        <w:contextualSpacing/>
        <w:jc w:val="both"/>
      </w:pPr>
      <w:r>
        <w:t xml:space="preserve">In the fourth quarter of </w:t>
      </w:r>
      <w:r w:rsidR="000A1412">
        <w:t>2025</w:t>
      </w:r>
      <w:r w:rsidR="00801A80">
        <w:t>,</w:t>
      </w:r>
      <w:r>
        <w:t xml:space="preserve"> </w:t>
      </w:r>
      <w:r w:rsidR="00801A80">
        <w:t>r</w:t>
      </w:r>
      <w:r>
        <w:t xml:space="preserve">e-exports stood at Rs </w:t>
      </w:r>
      <w:r w:rsidR="002665C4">
        <w:t>4</w:t>
      </w:r>
      <w:r>
        <w:t>,</w:t>
      </w:r>
      <w:r w:rsidR="002665C4">
        <w:t>295</w:t>
      </w:r>
      <w:r>
        <w:t xml:space="preserve"> million i</w:t>
      </w:r>
      <w:r w:rsidR="00A22323">
        <w:t>.</w:t>
      </w:r>
      <w:r>
        <w:t>e</w:t>
      </w:r>
      <w:r w:rsidR="00A22323">
        <w:t>.</w:t>
      </w:r>
      <w:r>
        <w:t xml:space="preserve"> </w:t>
      </w:r>
      <w:r w:rsidR="00C57DD2">
        <w:t>low</w:t>
      </w:r>
      <w:r>
        <w:t xml:space="preserve">er by </w:t>
      </w:r>
      <w:r w:rsidR="002665C4">
        <w:t>6.8</w:t>
      </w:r>
      <w:r>
        <w:t xml:space="preserve">% compared to previous quarter, and by </w:t>
      </w:r>
      <w:r w:rsidR="002665C4">
        <w:t>15.8</w:t>
      </w:r>
      <w:r>
        <w:t>% compared to th</w:t>
      </w:r>
      <w:r w:rsidR="00966527">
        <w:t xml:space="preserve">e corresponding quarter of </w:t>
      </w:r>
      <w:r w:rsidR="000A1412">
        <w:t>2024</w:t>
      </w:r>
      <w:r w:rsidR="00966527">
        <w:t xml:space="preserve">. </w:t>
      </w:r>
      <w:r w:rsidR="00966527">
        <w:rPr>
          <w:i/>
        </w:rPr>
        <w:t>(Table 5)</w:t>
      </w:r>
    </w:p>
    <w:p w14:paraId="2B75C031" w14:textId="77777777" w:rsidR="00644A8F" w:rsidRPr="004C4F27" w:rsidRDefault="00644A8F" w:rsidP="00644A8F">
      <w:pPr>
        <w:pStyle w:val="BodyTextIndent"/>
        <w:spacing w:before="240" w:line="235" w:lineRule="auto"/>
        <w:ind w:firstLine="0"/>
        <w:contextualSpacing/>
        <w:jc w:val="both"/>
        <w:rPr>
          <w:sz w:val="20"/>
        </w:rPr>
      </w:pPr>
    </w:p>
    <w:p w14:paraId="5F5AD2FE" w14:textId="77777777" w:rsidR="00644A8F" w:rsidRDefault="00644A8F" w:rsidP="00644A8F">
      <w:pPr>
        <w:numPr>
          <w:ilvl w:val="1"/>
          <w:numId w:val="1"/>
        </w:numPr>
        <w:ind w:hanging="720"/>
        <w:rPr>
          <w:b/>
          <w:sz w:val="24"/>
        </w:rPr>
      </w:pPr>
      <w:r w:rsidRPr="00BD749B">
        <w:rPr>
          <w:b/>
          <w:sz w:val="24"/>
        </w:rPr>
        <w:t xml:space="preserve">Exports </w:t>
      </w:r>
      <w:r>
        <w:rPr>
          <w:b/>
          <w:sz w:val="24"/>
        </w:rPr>
        <w:t>by SITC sections (</w:t>
      </w:r>
      <w:r w:rsidRPr="00EA7370">
        <w:rPr>
          <w:b/>
          <w:i/>
          <w:sz w:val="24"/>
        </w:rPr>
        <w:t>Tables 1 and 3</w:t>
      </w:r>
      <w:r>
        <w:rPr>
          <w:b/>
          <w:sz w:val="24"/>
        </w:rPr>
        <w:t>) -</w:t>
      </w:r>
      <w:r w:rsidR="007135F0">
        <w:rPr>
          <w:b/>
          <w:sz w:val="24"/>
        </w:rPr>
        <w:t xml:space="preserve"> </w:t>
      </w:r>
      <w:r>
        <w:rPr>
          <w:b/>
          <w:sz w:val="24"/>
        </w:rPr>
        <w:t xml:space="preserve">Year </w:t>
      </w:r>
      <w:r w:rsidR="000A1412">
        <w:rPr>
          <w:b/>
          <w:sz w:val="24"/>
        </w:rPr>
        <w:t>2025</w:t>
      </w:r>
    </w:p>
    <w:p w14:paraId="3A5D4725" w14:textId="77777777" w:rsidR="00644A8F" w:rsidRPr="004C4F27" w:rsidRDefault="00644A8F" w:rsidP="00644A8F">
      <w:pPr>
        <w:ind w:left="720"/>
        <w:rPr>
          <w:b/>
        </w:rPr>
      </w:pPr>
    </w:p>
    <w:p w14:paraId="277F2D5C" w14:textId="65D1A8EC" w:rsidR="00644A8F" w:rsidRPr="00913F83" w:rsidRDefault="00644A8F" w:rsidP="00644A8F">
      <w:pPr>
        <w:jc w:val="both"/>
        <w:rPr>
          <w:sz w:val="24"/>
          <w:szCs w:val="24"/>
        </w:rPr>
      </w:pPr>
      <w:r w:rsidRPr="00172736">
        <w:rPr>
          <w:sz w:val="24"/>
          <w:szCs w:val="24"/>
        </w:rPr>
        <w:t xml:space="preserve">Total export proceeds for the year </w:t>
      </w:r>
      <w:r w:rsidR="000A1412">
        <w:rPr>
          <w:sz w:val="24"/>
          <w:szCs w:val="24"/>
        </w:rPr>
        <w:t>2025</w:t>
      </w:r>
      <w:r w:rsidRPr="00172736">
        <w:rPr>
          <w:sz w:val="24"/>
          <w:szCs w:val="24"/>
        </w:rPr>
        <w:t xml:space="preserve"> stood at Rs </w:t>
      </w:r>
      <w:r w:rsidR="001B2A13">
        <w:rPr>
          <w:sz w:val="24"/>
          <w:szCs w:val="24"/>
        </w:rPr>
        <w:t>1</w:t>
      </w:r>
      <w:r w:rsidR="00480C67">
        <w:rPr>
          <w:sz w:val="24"/>
          <w:szCs w:val="24"/>
        </w:rPr>
        <w:t>07</w:t>
      </w:r>
      <w:r w:rsidRPr="00172736">
        <w:rPr>
          <w:sz w:val="24"/>
          <w:szCs w:val="24"/>
        </w:rPr>
        <w:t>,</w:t>
      </w:r>
      <w:r w:rsidR="00480C67">
        <w:rPr>
          <w:sz w:val="24"/>
          <w:szCs w:val="24"/>
        </w:rPr>
        <w:t>703</w:t>
      </w:r>
      <w:r w:rsidRPr="00172736">
        <w:rPr>
          <w:sz w:val="24"/>
          <w:szCs w:val="24"/>
        </w:rPr>
        <w:t xml:space="preserve"> million, representing a</w:t>
      </w:r>
      <w:r w:rsidR="00480C67">
        <w:rPr>
          <w:sz w:val="24"/>
          <w:szCs w:val="24"/>
        </w:rPr>
        <w:t xml:space="preserve"> de</w:t>
      </w:r>
      <w:r w:rsidRPr="00172736">
        <w:rPr>
          <w:sz w:val="24"/>
          <w:szCs w:val="24"/>
        </w:rPr>
        <w:t xml:space="preserve">crease of </w:t>
      </w:r>
      <w:r w:rsidR="00480C67">
        <w:rPr>
          <w:sz w:val="24"/>
          <w:szCs w:val="24"/>
        </w:rPr>
        <w:t>2.1</w:t>
      </w:r>
      <w:r w:rsidRPr="00172736">
        <w:rPr>
          <w:sz w:val="24"/>
          <w:szCs w:val="24"/>
        </w:rPr>
        <w:t xml:space="preserve">% over the </w:t>
      </w:r>
      <w:r w:rsidR="000A1412">
        <w:rPr>
          <w:sz w:val="24"/>
          <w:szCs w:val="24"/>
        </w:rPr>
        <w:t>2024</w:t>
      </w:r>
      <w:r w:rsidR="00FA1547">
        <w:rPr>
          <w:sz w:val="24"/>
          <w:szCs w:val="24"/>
        </w:rPr>
        <w:t xml:space="preserve"> </w:t>
      </w:r>
      <w:r w:rsidRPr="00172736">
        <w:rPr>
          <w:sz w:val="24"/>
          <w:szCs w:val="24"/>
        </w:rPr>
        <w:t>figure of Rs</w:t>
      </w:r>
      <w:r w:rsidR="001B2A13">
        <w:rPr>
          <w:sz w:val="24"/>
          <w:szCs w:val="24"/>
        </w:rPr>
        <w:t xml:space="preserve"> </w:t>
      </w:r>
      <w:r w:rsidR="00AC26B1">
        <w:rPr>
          <w:sz w:val="24"/>
          <w:szCs w:val="24"/>
        </w:rPr>
        <w:t>10</w:t>
      </w:r>
      <w:r w:rsidR="00480C67">
        <w:rPr>
          <w:sz w:val="24"/>
          <w:szCs w:val="24"/>
        </w:rPr>
        <w:t>9</w:t>
      </w:r>
      <w:r w:rsidR="00AC26B1">
        <w:rPr>
          <w:sz w:val="24"/>
          <w:szCs w:val="24"/>
        </w:rPr>
        <w:t>,</w:t>
      </w:r>
      <w:r w:rsidR="00480C67">
        <w:rPr>
          <w:sz w:val="24"/>
          <w:szCs w:val="24"/>
        </w:rPr>
        <w:t>965</w:t>
      </w:r>
      <w:r w:rsidRPr="00172736">
        <w:rPr>
          <w:sz w:val="24"/>
          <w:szCs w:val="24"/>
        </w:rPr>
        <w:t xml:space="preserve"> million</w:t>
      </w:r>
      <w:r>
        <w:rPr>
          <w:sz w:val="24"/>
          <w:szCs w:val="24"/>
        </w:rPr>
        <w:t xml:space="preserve">. </w:t>
      </w:r>
      <w:r w:rsidRPr="00913F83">
        <w:rPr>
          <w:sz w:val="24"/>
          <w:szCs w:val="24"/>
        </w:rPr>
        <w:t xml:space="preserve">Around </w:t>
      </w:r>
      <w:r w:rsidR="00AC26B1">
        <w:rPr>
          <w:sz w:val="24"/>
          <w:szCs w:val="24"/>
        </w:rPr>
        <w:t>3</w:t>
      </w:r>
      <w:r w:rsidR="00480C67">
        <w:rPr>
          <w:sz w:val="24"/>
          <w:szCs w:val="24"/>
        </w:rPr>
        <w:t>0.2</w:t>
      </w:r>
      <w:r>
        <w:rPr>
          <w:sz w:val="24"/>
          <w:szCs w:val="24"/>
        </w:rPr>
        <w:t xml:space="preserve">% of total exports consisted of </w:t>
      </w:r>
      <w:r w:rsidR="001B2A13" w:rsidRPr="00913F83">
        <w:rPr>
          <w:sz w:val="24"/>
          <w:szCs w:val="24"/>
        </w:rPr>
        <w:t xml:space="preserve">“Food and live animals” (Rs </w:t>
      </w:r>
      <w:r w:rsidR="00AC26B1">
        <w:rPr>
          <w:sz w:val="24"/>
          <w:szCs w:val="24"/>
        </w:rPr>
        <w:t>3</w:t>
      </w:r>
      <w:r w:rsidR="00480C67">
        <w:rPr>
          <w:sz w:val="24"/>
          <w:szCs w:val="24"/>
        </w:rPr>
        <w:t>2</w:t>
      </w:r>
      <w:r w:rsidR="001B2A13" w:rsidRPr="00913F83">
        <w:rPr>
          <w:sz w:val="24"/>
          <w:szCs w:val="24"/>
        </w:rPr>
        <w:t>,</w:t>
      </w:r>
      <w:r w:rsidR="00480C67">
        <w:rPr>
          <w:sz w:val="24"/>
          <w:szCs w:val="24"/>
        </w:rPr>
        <w:t>557</w:t>
      </w:r>
      <w:r w:rsidR="001B2A13" w:rsidRPr="00913F83">
        <w:rPr>
          <w:sz w:val="24"/>
          <w:szCs w:val="24"/>
        </w:rPr>
        <w:t xml:space="preserve"> million)</w:t>
      </w:r>
      <w:r w:rsidR="001B2A13">
        <w:rPr>
          <w:sz w:val="24"/>
          <w:szCs w:val="24"/>
        </w:rPr>
        <w:t xml:space="preserve">, </w:t>
      </w:r>
      <w:r w:rsidR="00480C67">
        <w:rPr>
          <w:sz w:val="24"/>
          <w:szCs w:val="24"/>
        </w:rPr>
        <w:t>30.0</w:t>
      </w:r>
      <w:r w:rsidR="007B6FA8">
        <w:rPr>
          <w:sz w:val="24"/>
          <w:szCs w:val="24"/>
        </w:rPr>
        <w:t>% of “Ship’s stores and bunkers”</w:t>
      </w:r>
      <w:r w:rsidR="00BE4494">
        <w:rPr>
          <w:sz w:val="24"/>
          <w:szCs w:val="24"/>
        </w:rPr>
        <w:br/>
      </w:r>
      <w:r w:rsidR="007B6FA8">
        <w:rPr>
          <w:sz w:val="24"/>
          <w:szCs w:val="24"/>
        </w:rPr>
        <w:t xml:space="preserve">(Rs </w:t>
      </w:r>
      <w:r w:rsidR="00480C67">
        <w:rPr>
          <w:sz w:val="24"/>
          <w:szCs w:val="24"/>
        </w:rPr>
        <w:t>32</w:t>
      </w:r>
      <w:r w:rsidR="007B6FA8">
        <w:rPr>
          <w:sz w:val="24"/>
          <w:szCs w:val="24"/>
        </w:rPr>
        <w:t>,</w:t>
      </w:r>
      <w:r w:rsidR="00480C67">
        <w:rPr>
          <w:sz w:val="24"/>
          <w:szCs w:val="24"/>
        </w:rPr>
        <w:t>318</w:t>
      </w:r>
      <w:r w:rsidR="007B6FA8">
        <w:rPr>
          <w:sz w:val="24"/>
          <w:szCs w:val="24"/>
        </w:rPr>
        <w:t xml:space="preserve"> million), </w:t>
      </w:r>
      <w:r w:rsidR="00480C67">
        <w:rPr>
          <w:sz w:val="24"/>
          <w:szCs w:val="24"/>
        </w:rPr>
        <w:t>20.5</w:t>
      </w:r>
      <w:r w:rsidR="0029746D">
        <w:rPr>
          <w:sz w:val="24"/>
          <w:szCs w:val="24"/>
        </w:rPr>
        <w:t>%</w:t>
      </w:r>
      <w:r w:rsidR="001B2A13">
        <w:rPr>
          <w:sz w:val="24"/>
          <w:szCs w:val="24"/>
        </w:rPr>
        <w:t xml:space="preserve"> of </w:t>
      </w:r>
      <w:r w:rsidR="00FA1547" w:rsidRPr="00913F83">
        <w:rPr>
          <w:sz w:val="24"/>
          <w:szCs w:val="24"/>
        </w:rPr>
        <w:t xml:space="preserve">“Miscellaneous manufactured </w:t>
      </w:r>
      <w:r w:rsidR="000171BD">
        <w:rPr>
          <w:sz w:val="24"/>
          <w:szCs w:val="24"/>
        </w:rPr>
        <w:t>articles</w:t>
      </w:r>
      <w:r w:rsidR="00FA1547" w:rsidRPr="00913F83">
        <w:rPr>
          <w:sz w:val="24"/>
          <w:szCs w:val="24"/>
        </w:rPr>
        <w:t xml:space="preserve">” (Rs </w:t>
      </w:r>
      <w:r w:rsidR="00FA1547">
        <w:rPr>
          <w:sz w:val="24"/>
          <w:szCs w:val="24"/>
        </w:rPr>
        <w:t>2</w:t>
      </w:r>
      <w:r w:rsidR="00480C67">
        <w:rPr>
          <w:sz w:val="24"/>
          <w:szCs w:val="24"/>
        </w:rPr>
        <w:t>2</w:t>
      </w:r>
      <w:r w:rsidR="009C485B">
        <w:rPr>
          <w:sz w:val="24"/>
          <w:szCs w:val="24"/>
        </w:rPr>
        <w:t>,</w:t>
      </w:r>
      <w:r w:rsidR="00480C67">
        <w:rPr>
          <w:sz w:val="24"/>
          <w:szCs w:val="24"/>
        </w:rPr>
        <w:t>035</w:t>
      </w:r>
      <w:r w:rsidR="00FA1547" w:rsidRPr="00913F83">
        <w:rPr>
          <w:sz w:val="24"/>
          <w:szCs w:val="24"/>
        </w:rPr>
        <w:t xml:space="preserve"> million)</w:t>
      </w:r>
      <w:r w:rsidR="007B6FA8">
        <w:rPr>
          <w:sz w:val="24"/>
          <w:szCs w:val="24"/>
        </w:rPr>
        <w:t xml:space="preserve"> and 8</w:t>
      </w:r>
      <w:r w:rsidR="00AC26B1">
        <w:rPr>
          <w:sz w:val="24"/>
          <w:szCs w:val="24"/>
        </w:rPr>
        <w:t>.</w:t>
      </w:r>
      <w:r w:rsidR="00480C67">
        <w:rPr>
          <w:sz w:val="24"/>
          <w:szCs w:val="24"/>
        </w:rPr>
        <w:t>2</w:t>
      </w:r>
      <w:r w:rsidRPr="00913F83">
        <w:rPr>
          <w:sz w:val="24"/>
          <w:szCs w:val="24"/>
        </w:rPr>
        <w:t xml:space="preserve">% of “Manufactured goods classified chiefly by material” (Rs </w:t>
      </w:r>
      <w:r w:rsidR="00480C67">
        <w:rPr>
          <w:sz w:val="24"/>
          <w:szCs w:val="24"/>
        </w:rPr>
        <w:t>8</w:t>
      </w:r>
      <w:r>
        <w:rPr>
          <w:sz w:val="24"/>
          <w:szCs w:val="24"/>
        </w:rPr>
        <w:t>,</w:t>
      </w:r>
      <w:r w:rsidR="00480C67">
        <w:rPr>
          <w:sz w:val="24"/>
          <w:szCs w:val="24"/>
        </w:rPr>
        <w:t>872</w:t>
      </w:r>
      <w:r w:rsidRPr="00913F83">
        <w:rPr>
          <w:sz w:val="24"/>
          <w:szCs w:val="24"/>
        </w:rPr>
        <w:t xml:space="preserve"> million).</w:t>
      </w:r>
    </w:p>
    <w:p w14:paraId="54FBF0DF" w14:textId="77777777" w:rsidR="00644A8F" w:rsidRPr="004C4F27" w:rsidRDefault="00644A8F" w:rsidP="00644A8F">
      <w:pPr>
        <w:jc w:val="both"/>
        <w:rPr>
          <w:szCs w:val="24"/>
        </w:rPr>
      </w:pPr>
    </w:p>
    <w:p w14:paraId="60547BAB" w14:textId="77777777" w:rsidR="00372B3A" w:rsidRDefault="00644A8F" w:rsidP="00644A8F">
      <w:pPr>
        <w:jc w:val="both"/>
        <w:rPr>
          <w:sz w:val="24"/>
          <w:szCs w:val="24"/>
        </w:rPr>
      </w:pPr>
      <w:r w:rsidRPr="00913F83">
        <w:rPr>
          <w:sz w:val="24"/>
          <w:szCs w:val="24"/>
        </w:rPr>
        <w:t xml:space="preserve">Compared to the year of </w:t>
      </w:r>
      <w:r w:rsidR="000A1412">
        <w:rPr>
          <w:sz w:val="24"/>
          <w:szCs w:val="24"/>
        </w:rPr>
        <w:t>2024</w:t>
      </w:r>
      <w:r w:rsidRPr="00913F83">
        <w:rPr>
          <w:sz w:val="24"/>
          <w:szCs w:val="24"/>
        </w:rPr>
        <w:t xml:space="preserve">, the main changes by section </w:t>
      </w:r>
      <w:r w:rsidR="00873C47">
        <w:rPr>
          <w:sz w:val="24"/>
          <w:szCs w:val="24"/>
        </w:rPr>
        <w:t>were</w:t>
      </w:r>
      <w:r w:rsidRPr="00913F83">
        <w:rPr>
          <w:sz w:val="24"/>
          <w:szCs w:val="24"/>
        </w:rPr>
        <w:t xml:space="preserve"> as follows:</w:t>
      </w:r>
    </w:p>
    <w:p w14:paraId="2419351A" w14:textId="610D780B" w:rsidR="00A46371" w:rsidRDefault="00A96051" w:rsidP="00A46371">
      <w:pPr>
        <w:pStyle w:val="ListParagraph"/>
        <w:numPr>
          <w:ilvl w:val="0"/>
          <w:numId w:val="2"/>
        </w:numPr>
        <w:spacing w:before="240" w:line="235" w:lineRule="auto"/>
        <w:contextualSpacing/>
        <w:jc w:val="both"/>
        <w:rPr>
          <w:sz w:val="24"/>
          <w:szCs w:val="24"/>
          <w:lang w:val="en-US"/>
        </w:rPr>
      </w:pPr>
      <w:r w:rsidRPr="004F396F">
        <w:rPr>
          <w:sz w:val="24"/>
          <w:szCs w:val="24"/>
          <w:lang w:val="en-US"/>
        </w:rPr>
        <w:t xml:space="preserve">“Manufactured goods classified chiefly by material” </w:t>
      </w:r>
      <w:r w:rsidR="00FA3CC6" w:rsidRPr="004F396F">
        <w:rPr>
          <w:sz w:val="24"/>
          <w:szCs w:val="24"/>
          <w:lang w:val="en-US"/>
        </w:rPr>
        <w:t>de</w:t>
      </w:r>
      <w:r w:rsidRPr="004F396F">
        <w:rPr>
          <w:sz w:val="24"/>
          <w:szCs w:val="24"/>
          <w:lang w:val="en-US"/>
        </w:rPr>
        <w:t xml:space="preserve">creased by </w:t>
      </w:r>
      <w:r w:rsidR="00E270CD">
        <w:rPr>
          <w:sz w:val="24"/>
          <w:szCs w:val="24"/>
          <w:lang w:val="en-US"/>
        </w:rPr>
        <w:t>8.5</w:t>
      </w:r>
      <w:r w:rsidRPr="004F396F">
        <w:rPr>
          <w:sz w:val="24"/>
          <w:szCs w:val="24"/>
          <w:lang w:val="en-US"/>
        </w:rPr>
        <w:t xml:space="preserve">% mainly </w:t>
      </w:r>
      <w:r w:rsidR="00DF0711" w:rsidRPr="004F396F">
        <w:rPr>
          <w:sz w:val="24"/>
          <w:szCs w:val="24"/>
          <w:lang w:val="en-US"/>
        </w:rPr>
        <w:t>due to</w:t>
      </w:r>
      <w:r w:rsidRPr="004F396F">
        <w:rPr>
          <w:sz w:val="24"/>
          <w:szCs w:val="24"/>
          <w:lang w:val="en-US"/>
        </w:rPr>
        <w:t xml:space="preserve"> </w:t>
      </w:r>
      <w:r w:rsidR="00F62FEE" w:rsidRPr="004F396F">
        <w:rPr>
          <w:sz w:val="24"/>
          <w:szCs w:val="24"/>
          <w:lang w:val="en-US"/>
        </w:rPr>
        <w:t>“Pearls, precious &amp; semi-precious stones”</w:t>
      </w:r>
      <w:r w:rsidR="00DF0711" w:rsidRPr="004F396F">
        <w:rPr>
          <w:sz w:val="24"/>
          <w:szCs w:val="24"/>
          <w:lang w:val="en-US"/>
        </w:rPr>
        <w:t xml:space="preserve"> </w:t>
      </w:r>
      <w:r w:rsidR="00F62FEE" w:rsidRPr="004F396F">
        <w:rPr>
          <w:sz w:val="24"/>
          <w:szCs w:val="24"/>
          <w:lang w:val="en-US"/>
        </w:rPr>
        <w:t>(-</w:t>
      </w:r>
      <w:r w:rsidR="00E270CD">
        <w:rPr>
          <w:sz w:val="24"/>
          <w:szCs w:val="24"/>
          <w:lang w:val="en-US"/>
        </w:rPr>
        <w:t>42.7</w:t>
      </w:r>
      <w:r w:rsidR="00F62FEE" w:rsidRPr="004F396F">
        <w:rPr>
          <w:sz w:val="24"/>
          <w:szCs w:val="24"/>
          <w:lang w:val="en-US"/>
        </w:rPr>
        <w:t>%)</w:t>
      </w:r>
      <w:r w:rsidR="00E270CD">
        <w:rPr>
          <w:sz w:val="24"/>
          <w:szCs w:val="24"/>
          <w:lang w:val="en-US"/>
        </w:rPr>
        <w:t xml:space="preserve"> and</w:t>
      </w:r>
      <w:r w:rsidR="00F62FEE" w:rsidRPr="004F396F">
        <w:rPr>
          <w:sz w:val="24"/>
          <w:szCs w:val="24"/>
          <w:lang w:val="en-US"/>
        </w:rPr>
        <w:t xml:space="preserve"> </w:t>
      </w:r>
      <w:r w:rsidR="00FA3CC6" w:rsidRPr="004F396F">
        <w:rPr>
          <w:sz w:val="24"/>
          <w:szCs w:val="24"/>
          <w:lang w:val="en-US"/>
        </w:rPr>
        <w:t xml:space="preserve">“Textile yarns, </w:t>
      </w:r>
      <w:r w:rsidR="00BE4494" w:rsidRPr="004F396F">
        <w:rPr>
          <w:sz w:val="24"/>
          <w:szCs w:val="24"/>
          <w:lang w:val="en-US"/>
        </w:rPr>
        <w:t>fabrics,</w:t>
      </w:r>
      <w:r w:rsidR="00BE4494">
        <w:rPr>
          <w:sz w:val="24"/>
          <w:szCs w:val="24"/>
          <w:lang w:val="en-US"/>
        </w:rPr>
        <w:t xml:space="preserve"> </w:t>
      </w:r>
      <w:r w:rsidR="00FA3CC6" w:rsidRPr="004F396F">
        <w:rPr>
          <w:sz w:val="24"/>
          <w:szCs w:val="24"/>
          <w:lang w:val="en-US"/>
        </w:rPr>
        <w:t>made-up articles”</w:t>
      </w:r>
      <w:r w:rsidR="00F62FEE" w:rsidRPr="004F396F">
        <w:rPr>
          <w:sz w:val="24"/>
          <w:szCs w:val="24"/>
          <w:lang w:val="en-US"/>
        </w:rPr>
        <w:t xml:space="preserve"> </w:t>
      </w:r>
      <w:r w:rsidR="00FA3CC6" w:rsidRPr="004F396F">
        <w:rPr>
          <w:sz w:val="24"/>
          <w:szCs w:val="24"/>
          <w:lang w:val="en-US"/>
        </w:rPr>
        <w:t>(</w:t>
      </w:r>
      <w:r w:rsidR="00E270CD">
        <w:rPr>
          <w:sz w:val="24"/>
          <w:szCs w:val="24"/>
          <w:lang w:val="en-US"/>
        </w:rPr>
        <w:t>-3.0</w:t>
      </w:r>
      <w:r w:rsidR="00FA3CC6" w:rsidRPr="004F396F">
        <w:rPr>
          <w:sz w:val="24"/>
          <w:szCs w:val="24"/>
          <w:lang w:val="en-US"/>
        </w:rPr>
        <w:t>%)</w:t>
      </w:r>
      <w:r w:rsidRPr="004F396F">
        <w:rPr>
          <w:sz w:val="24"/>
          <w:szCs w:val="24"/>
          <w:lang w:val="en-US"/>
        </w:rPr>
        <w:t>.</w:t>
      </w:r>
    </w:p>
    <w:p w14:paraId="7616E216" w14:textId="77777777" w:rsidR="00E270CD" w:rsidRPr="00E270CD" w:rsidRDefault="00E270CD" w:rsidP="00E270CD">
      <w:pPr>
        <w:numPr>
          <w:ilvl w:val="0"/>
          <w:numId w:val="2"/>
        </w:numPr>
        <w:jc w:val="both"/>
        <w:rPr>
          <w:sz w:val="24"/>
          <w:szCs w:val="24"/>
        </w:rPr>
      </w:pPr>
      <w:r>
        <w:rPr>
          <w:sz w:val="24"/>
          <w:szCs w:val="24"/>
        </w:rPr>
        <w:t>“</w:t>
      </w:r>
      <w:r w:rsidRPr="00913F83">
        <w:rPr>
          <w:sz w:val="24"/>
          <w:szCs w:val="24"/>
        </w:rPr>
        <w:t>Food and live animals</w:t>
      </w:r>
      <w:r>
        <w:rPr>
          <w:sz w:val="24"/>
          <w:szCs w:val="24"/>
        </w:rPr>
        <w:t>”</w:t>
      </w:r>
      <w:r w:rsidRPr="00913F83">
        <w:rPr>
          <w:sz w:val="24"/>
          <w:szCs w:val="24"/>
        </w:rPr>
        <w:t xml:space="preserve"> </w:t>
      </w:r>
      <w:r>
        <w:rPr>
          <w:sz w:val="24"/>
          <w:szCs w:val="24"/>
        </w:rPr>
        <w:t>de</w:t>
      </w:r>
      <w:r w:rsidRPr="00913F83">
        <w:rPr>
          <w:sz w:val="24"/>
          <w:szCs w:val="24"/>
        </w:rPr>
        <w:t xml:space="preserve">creased by </w:t>
      </w:r>
      <w:r>
        <w:rPr>
          <w:sz w:val="24"/>
          <w:szCs w:val="24"/>
        </w:rPr>
        <w:t>7.4</w:t>
      </w:r>
      <w:r w:rsidRPr="00913F83">
        <w:rPr>
          <w:sz w:val="24"/>
          <w:szCs w:val="24"/>
        </w:rPr>
        <w:t xml:space="preserve">%, </w:t>
      </w:r>
      <w:r>
        <w:rPr>
          <w:sz w:val="24"/>
          <w:szCs w:val="24"/>
        </w:rPr>
        <w:t>mainly due to “Cane sugar” (-13.1%) and “Fish &amp; fish preparations” (-9.8%), partly offset by an increase in</w:t>
      </w:r>
      <w:r w:rsidR="002517A7">
        <w:rPr>
          <w:sz w:val="24"/>
          <w:szCs w:val="24"/>
        </w:rPr>
        <w:t xml:space="preserve"> </w:t>
      </w:r>
      <w:r>
        <w:rPr>
          <w:sz w:val="24"/>
          <w:szCs w:val="24"/>
        </w:rPr>
        <w:t>“Live Primates” (+16.9%)</w:t>
      </w:r>
      <w:r w:rsidRPr="00913F83">
        <w:rPr>
          <w:sz w:val="24"/>
          <w:szCs w:val="24"/>
        </w:rPr>
        <w:t>.</w:t>
      </w:r>
    </w:p>
    <w:p w14:paraId="66EC564F" w14:textId="30BEC60C" w:rsidR="005C4B5E" w:rsidRPr="005C4B5E" w:rsidRDefault="00A46371" w:rsidP="005C4B5E">
      <w:pPr>
        <w:numPr>
          <w:ilvl w:val="0"/>
          <w:numId w:val="2"/>
        </w:numPr>
        <w:jc w:val="both"/>
        <w:rPr>
          <w:sz w:val="24"/>
          <w:szCs w:val="24"/>
        </w:rPr>
      </w:pPr>
      <w:r w:rsidRPr="005C4B5E">
        <w:rPr>
          <w:sz w:val="24"/>
          <w:szCs w:val="24"/>
        </w:rPr>
        <w:t>“Miscellaneous manufactured articles” registered a</w:t>
      </w:r>
      <w:r w:rsidR="005C4B5E">
        <w:rPr>
          <w:sz w:val="24"/>
          <w:szCs w:val="24"/>
        </w:rPr>
        <w:t xml:space="preserve"> de</w:t>
      </w:r>
      <w:r w:rsidRPr="005C4B5E">
        <w:rPr>
          <w:sz w:val="24"/>
          <w:szCs w:val="24"/>
        </w:rPr>
        <w:t xml:space="preserve">crease of </w:t>
      </w:r>
      <w:r w:rsidR="00F62FEE">
        <w:rPr>
          <w:sz w:val="24"/>
          <w:szCs w:val="24"/>
        </w:rPr>
        <w:t>7.</w:t>
      </w:r>
      <w:r w:rsidR="00A567BB">
        <w:rPr>
          <w:sz w:val="24"/>
          <w:szCs w:val="24"/>
        </w:rPr>
        <w:t>1</w:t>
      </w:r>
      <w:r w:rsidRPr="005C4B5E">
        <w:rPr>
          <w:sz w:val="24"/>
          <w:szCs w:val="24"/>
        </w:rPr>
        <w:t>%, mainly</w:t>
      </w:r>
      <w:r w:rsidR="00DF0711">
        <w:rPr>
          <w:sz w:val="24"/>
          <w:szCs w:val="24"/>
        </w:rPr>
        <w:t xml:space="preserve"> due to</w:t>
      </w:r>
      <w:r w:rsidRPr="005C4B5E">
        <w:rPr>
          <w:sz w:val="24"/>
          <w:szCs w:val="24"/>
        </w:rPr>
        <w:t xml:space="preserve"> </w:t>
      </w:r>
      <w:r w:rsidR="00D30519">
        <w:rPr>
          <w:sz w:val="24"/>
          <w:szCs w:val="24"/>
        </w:rPr>
        <w:t xml:space="preserve">“Watches &amp; clocks” (-30.9%) and </w:t>
      </w:r>
      <w:r w:rsidRPr="005C4B5E">
        <w:rPr>
          <w:sz w:val="24"/>
          <w:szCs w:val="24"/>
        </w:rPr>
        <w:t>“Articles of apparel &amp; clothing accessories” (</w:t>
      </w:r>
      <w:r w:rsidR="005C4B5E">
        <w:rPr>
          <w:sz w:val="24"/>
          <w:szCs w:val="24"/>
        </w:rPr>
        <w:t>-</w:t>
      </w:r>
      <w:r w:rsidR="00A567BB">
        <w:rPr>
          <w:sz w:val="24"/>
          <w:szCs w:val="24"/>
        </w:rPr>
        <w:t>8.2</w:t>
      </w:r>
      <w:r w:rsidRPr="005C4B5E">
        <w:rPr>
          <w:sz w:val="24"/>
          <w:szCs w:val="24"/>
        </w:rPr>
        <w:t>%).</w:t>
      </w:r>
    </w:p>
    <w:p w14:paraId="13B7F955" w14:textId="77777777" w:rsidR="003F121D" w:rsidRDefault="00E270CD" w:rsidP="00FA3CC6">
      <w:pPr>
        <w:numPr>
          <w:ilvl w:val="0"/>
          <w:numId w:val="2"/>
        </w:numPr>
        <w:jc w:val="both"/>
        <w:rPr>
          <w:sz w:val="24"/>
          <w:szCs w:val="24"/>
        </w:rPr>
      </w:pPr>
      <w:r w:rsidRPr="004F396F">
        <w:rPr>
          <w:sz w:val="24"/>
          <w:szCs w:val="24"/>
        </w:rPr>
        <w:t xml:space="preserve"> </w:t>
      </w:r>
      <w:r w:rsidR="003F121D" w:rsidRPr="004F396F">
        <w:rPr>
          <w:sz w:val="24"/>
          <w:szCs w:val="24"/>
        </w:rPr>
        <w:t xml:space="preserve">“Ship’s stores and bunkers” increased by </w:t>
      </w:r>
      <w:r w:rsidR="00A567BB">
        <w:rPr>
          <w:sz w:val="24"/>
          <w:szCs w:val="24"/>
        </w:rPr>
        <w:t>10.1</w:t>
      </w:r>
      <w:r w:rsidR="003F121D" w:rsidRPr="004F396F">
        <w:rPr>
          <w:sz w:val="24"/>
          <w:szCs w:val="24"/>
        </w:rPr>
        <w:t>%.</w:t>
      </w:r>
    </w:p>
    <w:p w14:paraId="13E4E32F" w14:textId="77777777" w:rsidR="004F396F" w:rsidRDefault="004F396F" w:rsidP="004F396F">
      <w:pPr>
        <w:ind w:left="720"/>
        <w:jc w:val="both"/>
        <w:rPr>
          <w:sz w:val="24"/>
          <w:szCs w:val="24"/>
        </w:rPr>
      </w:pPr>
    </w:p>
    <w:p w14:paraId="4EEC497B" w14:textId="77777777" w:rsidR="00BA415B" w:rsidRDefault="00BA415B" w:rsidP="00372B3A">
      <w:pPr>
        <w:ind w:left="360"/>
        <w:jc w:val="both"/>
        <w:rPr>
          <w:sz w:val="24"/>
          <w:szCs w:val="24"/>
        </w:rPr>
      </w:pPr>
    </w:p>
    <w:p w14:paraId="59CBD17E" w14:textId="77777777" w:rsidR="00A71979" w:rsidRDefault="00A71979" w:rsidP="00683C2A">
      <w:pPr>
        <w:jc w:val="both"/>
        <w:rPr>
          <w:sz w:val="24"/>
          <w:szCs w:val="24"/>
        </w:rPr>
      </w:pPr>
    </w:p>
    <w:p w14:paraId="7B30B87E" w14:textId="77777777" w:rsidR="00644A8F" w:rsidRDefault="00644A8F" w:rsidP="00644A8F">
      <w:pPr>
        <w:numPr>
          <w:ilvl w:val="1"/>
          <w:numId w:val="1"/>
        </w:numPr>
        <w:ind w:hanging="720"/>
        <w:rPr>
          <w:b/>
          <w:sz w:val="24"/>
        </w:rPr>
      </w:pPr>
      <w:r w:rsidRPr="00BD749B">
        <w:rPr>
          <w:b/>
          <w:sz w:val="24"/>
        </w:rPr>
        <w:t>Exports of Exp</w:t>
      </w:r>
      <w:r>
        <w:rPr>
          <w:b/>
          <w:sz w:val="24"/>
        </w:rPr>
        <w:t xml:space="preserve">ort Oriented Enterprises (EOE) </w:t>
      </w:r>
    </w:p>
    <w:p w14:paraId="1722C54B" w14:textId="77777777" w:rsidR="00644A8F" w:rsidRDefault="00644A8F" w:rsidP="00644A8F">
      <w:pPr>
        <w:rPr>
          <w:b/>
          <w:sz w:val="24"/>
        </w:rPr>
      </w:pPr>
    </w:p>
    <w:p w14:paraId="2BF78A1E" w14:textId="77777777" w:rsidR="00644A8F" w:rsidRPr="00252340" w:rsidRDefault="00644A8F" w:rsidP="00644A8F">
      <w:pPr>
        <w:jc w:val="both"/>
        <w:rPr>
          <w:sz w:val="24"/>
        </w:rPr>
      </w:pPr>
      <w:r w:rsidRPr="00252340">
        <w:rPr>
          <w:sz w:val="24"/>
        </w:rPr>
        <w:t xml:space="preserve">For the year </w:t>
      </w:r>
      <w:r w:rsidR="000A1412">
        <w:rPr>
          <w:sz w:val="24"/>
        </w:rPr>
        <w:t>2025</w:t>
      </w:r>
      <w:r w:rsidRPr="00252340">
        <w:rPr>
          <w:sz w:val="24"/>
        </w:rPr>
        <w:t xml:space="preserve">, exports of EOE amounted to Rs </w:t>
      </w:r>
      <w:r w:rsidR="00B85408">
        <w:rPr>
          <w:sz w:val="24"/>
        </w:rPr>
        <w:t>4</w:t>
      </w:r>
      <w:r w:rsidR="00D47A69">
        <w:rPr>
          <w:sz w:val="24"/>
        </w:rPr>
        <w:t>2</w:t>
      </w:r>
      <w:r w:rsidRPr="00252340">
        <w:rPr>
          <w:sz w:val="24"/>
        </w:rPr>
        <w:t>,</w:t>
      </w:r>
      <w:r w:rsidR="00D47A69">
        <w:rPr>
          <w:sz w:val="24"/>
        </w:rPr>
        <w:t>244</w:t>
      </w:r>
      <w:r w:rsidRPr="00252340">
        <w:rPr>
          <w:sz w:val="24"/>
        </w:rPr>
        <w:t xml:space="preserve"> million, compared to </w:t>
      </w:r>
      <w:r w:rsidR="00667E98">
        <w:rPr>
          <w:sz w:val="24"/>
        </w:rPr>
        <w:br/>
      </w:r>
      <w:r w:rsidRPr="00252340">
        <w:rPr>
          <w:sz w:val="24"/>
        </w:rPr>
        <w:t xml:space="preserve">Rs </w:t>
      </w:r>
      <w:r w:rsidR="00C05B6D">
        <w:rPr>
          <w:sz w:val="24"/>
        </w:rPr>
        <w:t>4</w:t>
      </w:r>
      <w:r w:rsidR="00D47A69">
        <w:rPr>
          <w:sz w:val="24"/>
        </w:rPr>
        <w:t>3</w:t>
      </w:r>
      <w:r w:rsidRPr="00252340">
        <w:rPr>
          <w:sz w:val="24"/>
        </w:rPr>
        <w:t>,</w:t>
      </w:r>
      <w:r w:rsidR="00D47A69">
        <w:rPr>
          <w:sz w:val="24"/>
        </w:rPr>
        <w:t>865</w:t>
      </w:r>
      <w:r w:rsidRPr="00252340">
        <w:rPr>
          <w:sz w:val="24"/>
        </w:rPr>
        <w:t xml:space="preserve"> million in </w:t>
      </w:r>
      <w:r w:rsidR="000A1412">
        <w:rPr>
          <w:sz w:val="24"/>
        </w:rPr>
        <w:t>2024</w:t>
      </w:r>
      <w:r w:rsidRPr="00252340">
        <w:rPr>
          <w:sz w:val="24"/>
        </w:rPr>
        <w:t>, representing a</w:t>
      </w:r>
      <w:r w:rsidR="00B85408">
        <w:rPr>
          <w:sz w:val="24"/>
        </w:rPr>
        <w:t xml:space="preserve"> de</w:t>
      </w:r>
      <w:r w:rsidRPr="00252340">
        <w:rPr>
          <w:sz w:val="24"/>
        </w:rPr>
        <w:t xml:space="preserve">crease of </w:t>
      </w:r>
      <w:r w:rsidR="00D47A69">
        <w:rPr>
          <w:sz w:val="24"/>
        </w:rPr>
        <w:t>3.7</w:t>
      </w:r>
      <w:r w:rsidRPr="00252340">
        <w:rPr>
          <w:sz w:val="24"/>
        </w:rPr>
        <w:t>%.</w:t>
      </w:r>
    </w:p>
    <w:p w14:paraId="527A5965" w14:textId="77777777" w:rsidR="00644A8F" w:rsidRPr="0022727A" w:rsidRDefault="00644A8F" w:rsidP="00644A8F">
      <w:pPr>
        <w:jc w:val="both"/>
        <w:rPr>
          <w:color w:val="FF0000"/>
          <w:sz w:val="24"/>
        </w:rPr>
      </w:pPr>
    </w:p>
    <w:p w14:paraId="3AC44FE2" w14:textId="77777777" w:rsidR="00644A8F" w:rsidRPr="00151ACB" w:rsidRDefault="00644A8F" w:rsidP="00644A8F">
      <w:pPr>
        <w:jc w:val="both"/>
        <w:rPr>
          <w:i/>
          <w:sz w:val="24"/>
        </w:rPr>
      </w:pPr>
      <w:r w:rsidRPr="00151ACB">
        <w:rPr>
          <w:i/>
          <w:sz w:val="24"/>
        </w:rPr>
        <w:t xml:space="preserve">Further details on these transactions will be presented in the issue of the Economic and Social Indicator on Export Oriented Enterprises, to be released on </w:t>
      </w:r>
      <w:r w:rsidR="00A23DC2">
        <w:rPr>
          <w:i/>
          <w:sz w:val="24"/>
        </w:rPr>
        <w:t>31</w:t>
      </w:r>
      <w:r w:rsidRPr="00715650">
        <w:rPr>
          <w:i/>
          <w:sz w:val="24"/>
          <w:szCs w:val="24"/>
        </w:rPr>
        <w:t xml:space="preserve"> March 20</w:t>
      </w:r>
      <w:r w:rsidR="00F456B4">
        <w:rPr>
          <w:i/>
          <w:sz w:val="24"/>
          <w:szCs w:val="24"/>
        </w:rPr>
        <w:t>2</w:t>
      </w:r>
      <w:r w:rsidR="00A23DC2">
        <w:rPr>
          <w:i/>
          <w:sz w:val="24"/>
          <w:szCs w:val="24"/>
        </w:rPr>
        <w:t>6</w:t>
      </w:r>
      <w:r w:rsidRPr="00715650">
        <w:rPr>
          <w:i/>
          <w:sz w:val="24"/>
        </w:rPr>
        <w:t>.</w:t>
      </w:r>
    </w:p>
    <w:p w14:paraId="183962ED" w14:textId="77777777" w:rsidR="00644A8F" w:rsidRPr="0022727A" w:rsidRDefault="00644A8F" w:rsidP="00644A8F">
      <w:pPr>
        <w:jc w:val="both"/>
        <w:rPr>
          <w:color w:val="FF0000"/>
          <w:sz w:val="24"/>
          <w:szCs w:val="24"/>
        </w:rPr>
      </w:pPr>
      <w:r w:rsidRPr="0022727A">
        <w:rPr>
          <w:color w:val="FF0000"/>
          <w:sz w:val="24"/>
        </w:rPr>
        <w:t xml:space="preserve"> </w:t>
      </w:r>
    </w:p>
    <w:p w14:paraId="6C94DF0F" w14:textId="77777777" w:rsidR="00644A8F" w:rsidRDefault="00644A8F" w:rsidP="00644A8F">
      <w:pPr>
        <w:numPr>
          <w:ilvl w:val="1"/>
          <w:numId w:val="1"/>
        </w:numPr>
        <w:ind w:hanging="720"/>
        <w:jc w:val="both"/>
        <w:rPr>
          <w:b/>
          <w:sz w:val="24"/>
        </w:rPr>
      </w:pPr>
      <w:r w:rsidRPr="007B1A80">
        <w:rPr>
          <w:b/>
          <w:sz w:val="24"/>
        </w:rPr>
        <w:t>Exports by country of destination</w:t>
      </w:r>
      <w:r>
        <w:rPr>
          <w:b/>
          <w:sz w:val="24"/>
        </w:rPr>
        <w:t xml:space="preserve"> (</w:t>
      </w:r>
      <w:r w:rsidRPr="002517A7">
        <w:rPr>
          <w:b/>
          <w:i/>
          <w:sz w:val="24"/>
        </w:rPr>
        <w:t>Table</w:t>
      </w:r>
      <w:r w:rsidR="003758DA" w:rsidRPr="002517A7">
        <w:rPr>
          <w:b/>
          <w:i/>
          <w:sz w:val="24"/>
        </w:rPr>
        <w:t xml:space="preserve"> </w:t>
      </w:r>
      <w:r w:rsidRPr="002517A7">
        <w:rPr>
          <w:b/>
          <w:i/>
          <w:sz w:val="24"/>
        </w:rPr>
        <w:t>7</w:t>
      </w:r>
      <w:r w:rsidR="003758DA">
        <w:rPr>
          <w:b/>
          <w:sz w:val="24"/>
        </w:rPr>
        <w:t>)</w:t>
      </w:r>
      <w:r>
        <w:rPr>
          <w:b/>
          <w:sz w:val="24"/>
        </w:rPr>
        <w:t xml:space="preserve"> –Year </w:t>
      </w:r>
      <w:r w:rsidR="000A1412">
        <w:rPr>
          <w:b/>
          <w:sz w:val="24"/>
        </w:rPr>
        <w:t>2025</w:t>
      </w:r>
    </w:p>
    <w:p w14:paraId="263E2ECC" w14:textId="77777777" w:rsidR="00644A8F" w:rsidRPr="007B1A80" w:rsidRDefault="00644A8F" w:rsidP="00644A8F">
      <w:pPr>
        <w:jc w:val="both"/>
        <w:rPr>
          <w:sz w:val="24"/>
        </w:rPr>
      </w:pPr>
    </w:p>
    <w:p w14:paraId="3A9614C3" w14:textId="77777777" w:rsidR="00A91FCE" w:rsidRDefault="00644A8F" w:rsidP="00644A8F">
      <w:pPr>
        <w:jc w:val="both"/>
        <w:rPr>
          <w:sz w:val="24"/>
        </w:rPr>
      </w:pPr>
      <w:r>
        <w:rPr>
          <w:sz w:val="24"/>
        </w:rPr>
        <w:t xml:space="preserve">Analysis of exports figures by country of destination for the year </w:t>
      </w:r>
      <w:r w:rsidR="000A1412">
        <w:rPr>
          <w:sz w:val="24"/>
        </w:rPr>
        <w:t>2025</w:t>
      </w:r>
      <w:r>
        <w:rPr>
          <w:sz w:val="24"/>
        </w:rPr>
        <w:t xml:space="preserve"> shows that the European countries were our main buyers, purchasing around </w:t>
      </w:r>
      <w:r w:rsidR="00B46BDE">
        <w:rPr>
          <w:sz w:val="24"/>
        </w:rPr>
        <w:t>42.7</w:t>
      </w:r>
      <w:r>
        <w:rPr>
          <w:sz w:val="24"/>
        </w:rPr>
        <w:t xml:space="preserve">% of our exports excluding </w:t>
      </w:r>
      <w:r w:rsidR="00B11F05">
        <w:rPr>
          <w:sz w:val="24"/>
        </w:rPr>
        <w:t>S</w:t>
      </w:r>
      <w:r>
        <w:rPr>
          <w:sz w:val="24"/>
        </w:rPr>
        <w:t>hip</w:t>
      </w:r>
      <w:r w:rsidR="00B11F05">
        <w:rPr>
          <w:sz w:val="24"/>
        </w:rPr>
        <w:t>’</w:t>
      </w:r>
      <w:r>
        <w:rPr>
          <w:sz w:val="24"/>
        </w:rPr>
        <w:t>s</w:t>
      </w:r>
      <w:r w:rsidR="00B11F05">
        <w:rPr>
          <w:sz w:val="24"/>
        </w:rPr>
        <w:t xml:space="preserve"> </w:t>
      </w:r>
      <w:r>
        <w:rPr>
          <w:sz w:val="24"/>
        </w:rPr>
        <w:t xml:space="preserve">stores and Bunkers, for a value of Rs </w:t>
      </w:r>
      <w:r w:rsidR="00153794">
        <w:rPr>
          <w:sz w:val="24"/>
        </w:rPr>
        <w:t>3</w:t>
      </w:r>
      <w:r w:rsidR="00B46BDE">
        <w:rPr>
          <w:sz w:val="24"/>
        </w:rPr>
        <w:t>2</w:t>
      </w:r>
      <w:r>
        <w:rPr>
          <w:sz w:val="24"/>
        </w:rPr>
        <w:t>,</w:t>
      </w:r>
      <w:r w:rsidR="00B46BDE">
        <w:rPr>
          <w:sz w:val="24"/>
        </w:rPr>
        <w:t>203</w:t>
      </w:r>
      <w:r>
        <w:rPr>
          <w:sz w:val="24"/>
        </w:rPr>
        <w:t xml:space="preserve"> million. Among countries, the major destinations for our exports were South Africa (</w:t>
      </w:r>
      <w:r w:rsidR="00153794">
        <w:rPr>
          <w:sz w:val="24"/>
        </w:rPr>
        <w:t>1</w:t>
      </w:r>
      <w:r w:rsidR="00B46BDE">
        <w:rPr>
          <w:sz w:val="24"/>
        </w:rPr>
        <w:t>2</w:t>
      </w:r>
      <w:r w:rsidR="00977C08">
        <w:rPr>
          <w:sz w:val="24"/>
        </w:rPr>
        <w:t>.6</w:t>
      </w:r>
      <w:r>
        <w:rPr>
          <w:sz w:val="24"/>
        </w:rPr>
        <w:t>%),</w:t>
      </w:r>
      <w:r w:rsidR="002B32F8">
        <w:rPr>
          <w:sz w:val="24"/>
        </w:rPr>
        <w:t xml:space="preserve"> </w:t>
      </w:r>
      <w:r w:rsidR="00977C08">
        <w:rPr>
          <w:sz w:val="24"/>
        </w:rPr>
        <w:t>U.S.A. (10.</w:t>
      </w:r>
      <w:r w:rsidR="00546CC7">
        <w:rPr>
          <w:sz w:val="24"/>
        </w:rPr>
        <w:t>5</w:t>
      </w:r>
      <w:r w:rsidR="00977C08">
        <w:rPr>
          <w:sz w:val="24"/>
        </w:rPr>
        <w:t xml:space="preserve">%), </w:t>
      </w:r>
      <w:r>
        <w:rPr>
          <w:sz w:val="24"/>
        </w:rPr>
        <w:t>U</w:t>
      </w:r>
      <w:r w:rsidR="00153794">
        <w:rPr>
          <w:sz w:val="24"/>
        </w:rPr>
        <w:t xml:space="preserve">nited Kingdom </w:t>
      </w:r>
      <w:r>
        <w:rPr>
          <w:sz w:val="24"/>
        </w:rPr>
        <w:t>(</w:t>
      </w:r>
      <w:r w:rsidR="002B32F8">
        <w:rPr>
          <w:sz w:val="24"/>
        </w:rPr>
        <w:t>9</w:t>
      </w:r>
      <w:r w:rsidR="00977C08">
        <w:rPr>
          <w:sz w:val="24"/>
        </w:rPr>
        <w:t>.</w:t>
      </w:r>
      <w:r w:rsidR="00546CC7">
        <w:rPr>
          <w:sz w:val="24"/>
        </w:rPr>
        <w:t>7</w:t>
      </w:r>
      <w:r>
        <w:rPr>
          <w:sz w:val="24"/>
        </w:rPr>
        <w:t>%)</w:t>
      </w:r>
      <w:r w:rsidR="00546CC7">
        <w:rPr>
          <w:sz w:val="24"/>
        </w:rPr>
        <w:t xml:space="preserve">, Madagascar (9.4%), France (8.2%), </w:t>
      </w:r>
      <w:r w:rsidR="002B32F8">
        <w:rPr>
          <w:sz w:val="24"/>
        </w:rPr>
        <w:t>Spain</w:t>
      </w:r>
      <w:r w:rsidR="00BE3D84">
        <w:rPr>
          <w:sz w:val="24"/>
        </w:rPr>
        <w:t xml:space="preserve"> (</w:t>
      </w:r>
      <w:r w:rsidR="00546CC7">
        <w:rPr>
          <w:sz w:val="24"/>
        </w:rPr>
        <w:t>7.1</w:t>
      </w:r>
      <w:r w:rsidR="00BE3D84">
        <w:rPr>
          <w:sz w:val="24"/>
        </w:rPr>
        <w:t>%)</w:t>
      </w:r>
      <w:r w:rsidR="00546CC7">
        <w:rPr>
          <w:sz w:val="24"/>
        </w:rPr>
        <w:t xml:space="preserve"> and Reunion (4.2%)</w:t>
      </w:r>
      <w:r>
        <w:rPr>
          <w:sz w:val="24"/>
        </w:rPr>
        <w:t>.</w:t>
      </w:r>
    </w:p>
    <w:p w14:paraId="2AA74FB6" w14:textId="77777777" w:rsidR="00A91FCE" w:rsidRDefault="00A91FCE" w:rsidP="00644A8F">
      <w:pPr>
        <w:jc w:val="both"/>
        <w:rPr>
          <w:sz w:val="24"/>
        </w:rPr>
      </w:pPr>
    </w:p>
    <w:p w14:paraId="6FA9CEE8" w14:textId="77777777" w:rsidR="00CC4BB6" w:rsidRDefault="00E66B05" w:rsidP="003D16AA">
      <w:pPr>
        <w:rPr>
          <w:sz w:val="24"/>
        </w:rPr>
      </w:pPr>
      <w:r w:rsidRPr="00E66B05">
        <w:rPr>
          <w:noProof/>
        </w:rPr>
        <w:drawing>
          <wp:inline distT="0" distB="0" distL="0" distR="0" wp14:anchorId="791018AA" wp14:editId="64973EDA">
            <wp:extent cx="6101930" cy="2613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3175" cy="2614193"/>
                    </a:xfrm>
                    <a:prstGeom prst="rect">
                      <a:avLst/>
                    </a:prstGeom>
                    <a:noFill/>
                    <a:ln>
                      <a:noFill/>
                    </a:ln>
                  </pic:spPr>
                </pic:pic>
              </a:graphicData>
            </a:graphic>
          </wp:inline>
        </w:drawing>
      </w:r>
    </w:p>
    <w:p w14:paraId="607399A8" w14:textId="77777777" w:rsidR="00CC4BB6" w:rsidRDefault="00CC4BB6" w:rsidP="00644A8F">
      <w:pPr>
        <w:jc w:val="both"/>
        <w:rPr>
          <w:sz w:val="24"/>
        </w:rPr>
      </w:pPr>
    </w:p>
    <w:p w14:paraId="4DDABA24" w14:textId="374A60EB" w:rsidR="00644A8F" w:rsidRDefault="00644A8F" w:rsidP="00644A8F">
      <w:pPr>
        <w:jc w:val="both"/>
        <w:rPr>
          <w:sz w:val="24"/>
        </w:rPr>
      </w:pPr>
      <w:r>
        <w:rPr>
          <w:sz w:val="24"/>
        </w:rPr>
        <w:t xml:space="preserve">Compared to the year </w:t>
      </w:r>
      <w:r w:rsidR="000A1412">
        <w:rPr>
          <w:sz w:val="24"/>
        </w:rPr>
        <w:t>2024</w:t>
      </w:r>
      <w:r>
        <w:rPr>
          <w:sz w:val="24"/>
        </w:rPr>
        <w:t xml:space="preserve">, exports to </w:t>
      </w:r>
      <w:r w:rsidR="00CC4BB6">
        <w:rPr>
          <w:sz w:val="24"/>
        </w:rPr>
        <w:t xml:space="preserve">France, </w:t>
      </w:r>
      <w:r w:rsidR="00D936B0">
        <w:rPr>
          <w:sz w:val="24"/>
        </w:rPr>
        <w:t xml:space="preserve">Madagascar, Spain, U.S.A. and </w:t>
      </w:r>
      <w:r w:rsidR="00CC4BB6">
        <w:rPr>
          <w:sz w:val="24"/>
        </w:rPr>
        <w:t>United Kingdom</w:t>
      </w:r>
      <w:r w:rsidR="00752533">
        <w:rPr>
          <w:sz w:val="24"/>
        </w:rPr>
        <w:t xml:space="preserve"> decreased by </w:t>
      </w:r>
      <w:r w:rsidR="00D936B0">
        <w:rPr>
          <w:sz w:val="24"/>
        </w:rPr>
        <w:t>16.5</w:t>
      </w:r>
      <w:r w:rsidR="00752533">
        <w:rPr>
          <w:sz w:val="24"/>
        </w:rPr>
        <w:t>%</w:t>
      </w:r>
      <w:r w:rsidR="00CC4BB6">
        <w:rPr>
          <w:sz w:val="24"/>
        </w:rPr>
        <w:t xml:space="preserve">, </w:t>
      </w:r>
      <w:r w:rsidR="00D936B0">
        <w:rPr>
          <w:sz w:val="24"/>
        </w:rPr>
        <w:t>14.5</w:t>
      </w:r>
      <w:r w:rsidR="00CC4BB6">
        <w:rPr>
          <w:sz w:val="24"/>
        </w:rPr>
        <w:t>%</w:t>
      </w:r>
      <w:r w:rsidR="00D936B0">
        <w:rPr>
          <w:sz w:val="24"/>
        </w:rPr>
        <w:t>, 5.7%, 3.1%</w:t>
      </w:r>
      <w:r w:rsidR="00752533">
        <w:rPr>
          <w:sz w:val="24"/>
        </w:rPr>
        <w:t xml:space="preserve"> and </w:t>
      </w:r>
      <w:r w:rsidR="00CC4BB6">
        <w:rPr>
          <w:sz w:val="24"/>
        </w:rPr>
        <w:t>0.</w:t>
      </w:r>
      <w:r w:rsidR="00D936B0">
        <w:rPr>
          <w:sz w:val="24"/>
        </w:rPr>
        <w:t>4</w:t>
      </w:r>
      <w:r w:rsidR="00752533">
        <w:rPr>
          <w:sz w:val="24"/>
        </w:rPr>
        <w:t>%</w:t>
      </w:r>
      <w:r w:rsidR="00BE4494">
        <w:rPr>
          <w:sz w:val="24"/>
        </w:rPr>
        <w:t>,</w:t>
      </w:r>
      <w:r w:rsidR="00752533">
        <w:rPr>
          <w:sz w:val="24"/>
        </w:rPr>
        <w:t xml:space="preserve"> respectively</w:t>
      </w:r>
      <w:r w:rsidR="00773A3C">
        <w:rPr>
          <w:sz w:val="24"/>
        </w:rPr>
        <w:t>.</w:t>
      </w:r>
      <w:r>
        <w:rPr>
          <w:sz w:val="24"/>
        </w:rPr>
        <w:t xml:space="preserve"> On the other hand</w:t>
      </w:r>
      <w:r w:rsidR="00773A3C">
        <w:rPr>
          <w:sz w:val="24"/>
        </w:rPr>
        <w:t>,</w:t>
      </w:r>
      <w:r>
        <w:rPr>
          <w:sz w:val="24"/>
        </w:rPr>
        <w:t xml:space="preserve"> exports to</w:t>
      </w:r>
      <w:r w:rsidR="00752533">
        <w:rPr>
          <w:sz w:val="24"/>
        </w:rPr>
        <w:t xml:space="preserve"> </w:t>
      </w:r>
      <w:r w:rsidR="00CC4BB6">
        <w:rPr>
          <w:sz w:val="24"/>
        </w:rPr>
        <w:t xml:space="preserve">South Africa and </w:t>
      </w:r>
      <w:r w:rsidR="0051726E">
        <w:rPr>
          <w:sz w:val="24"/>
        </w:rPr>
        <w:t>Reunion</w:t>
      </w:r>
      <w:r w:rsidR="00CC4BB6">
        <w:rPr>
          <w:sz w:val="24"/>
        </w:rPr>
        <w:t xml:space="preserve"> </w:t>
      </w:r>
      <w:r w:rsidR="00752533">
        <w:rPr>
          <w:sz w:val="24"/>
        </w:rPr>
        <w:t>in</w:t>
      </w:r>
      <w:r>
        <w:rPr>
          <w:sz w:val="24"/>
        </w:rPr>
        <w:t xml:space="preserve">creased by </w:t>
      </w:r>
      <w:r w:rsidR="00D936B0">
        <w:rPr>
          <w:sz w:val="24"/>
        </w:rPr>
        <w:t>1.5</w:t>
      </w:r>
      <w:r>
        <w:rPr>
          <w:sz w:val="24"/>
        </w:rPr>
        <w:t>%</w:t>
      </w:r>
      <w:r w:rsidR="00CC4BB6">
        <w:rPr>
          <w:sz w:val="24"/>
        </w:rPr>
        <w:t xml:space="preserve"> </w:t>
      </w:r>
      <w:r w:rsidR="00752533">
        <w:rPr>
          <w:sz w:val="24"/>
        </w:rPr>
        <w:t xml:space="preserve">and </w:t>
      </w:r>
      <w:r w:rsidR="00D936B0">
        <w:rPr>
          <w:sz w:val="24"/>
        </w:rPr>
        <w:t>1.2</w:t>
      </w:r>
      <w:r w:rsidR="00752533">
        <w:rPr>
          <w:sz w:val="24"/>
        </w:rPr>
        <w:t>%</w:t>
      </w:r>
      <w:r w:rsidR="00DA47F8">
        <w:rPr>
          <w:sz w:val="24"/>
        </w:rPr>
        <w:t>,</w:t>
      </w:r>
      <w:r w:rsidR="00752533">
        <w:rPr>
          <w:sz w:val="24"/>
        </w:rPr>
        <w:t xml:space="preserve"> respectively</w:t>
      </w:r>
      <w:r>
        <w:rPr>
          <w:sz w:val="24"/>
        </w:rPr>
        <w:t>.</w:t>
      </w:r>
    </w:p>
    <w:p w14:paraId="5B23D76F" w14:textId="77777777" w:rsidR="00644A8F" w:rsidRDefault="00644A8F" w:rsidP="00644A8F">
      <w:pPr>
        <w:jc w:val="both"/>
        <w:rPr>
          <w:sz w:val="24"/>
        </w:rPr>
      </w:pPr>
    </w:p>
    <w:p w14:paraId="090CADCC" w14:textId="77777777" w:rsidR="00644A8F" w:rsidRDefault="00644A8F" w:rsidP="00644A8F">
      <w:pPr>
        <w:pStyle w:val="BodyTextIndent2"/>
        <w:ind w:firstLine="0"/>
        <w:rPr>
          <w:b/>
        </w:rPr>
      </w:pPr>
      <w:r w:rsidRPr="004D7D52">
        <w:rPr>
          <w:b/>
        </w:rPr>
        <w:t>4.  Total Imports</w:t>
      </w:r>
      <w:r>
        <w:rPr>
          <w:b/>
        </w:rPr>
        <w:t xml:space="preserve"> (</w:t>
      </w:r>
      <w:r w:rsidRPr="00EA7370">
        <w:rPr>
          <w:b/>
          <w:i/>
        </w:rPr>
        <w:t>Table 10</w:t>
      </w:r>
      <w:r>
        <w:rPr>
          <w:b/>
        </w:rPr>
        <w:t>)</w:t>
      </w:r>
      <w:r w:rsidR="00964F0D">
        <w:rPr>
          <w:b/>
        </w:rPr>
        <w:t xml:space="preserve"> </w:t>
      </w:r>
      <w:r>
        <w:rPr>
          <w:b/>
        </w:rPr>
        <w:t>-</w:t>
      </w:r>
      <w:r w:rsidR="00964F0D">
        <w:rPr>
          <w:b/>
        </w:rPr>
        <w:t xml:space="preserve"> </w:t>
      </w:r>
      <w:r>
        <w:rPr>
          <w:b/>
        </w:rPr>
        <w:t>4</w:t>
      </w:r>
      <w:r w:rsidRPr="004D7D52">
        <w:rPr>
          <w:b/>
          <w:vertAlign w:val="superscript"/>
        </w:rPr>
        <w:t>th</w:t>
      </w:r>
      <w:r>
        <w:rPr>
          <w:b/>
        </w:rPr>
        <w:t xml:space="preserve"> Quarter </w:t>
      </w:r>
      <w:r w:rsidR="000A1412">
        <w:rPr>
          <w:b/>
        </w:rPr>
        <w:t>2025</w:t>
      </w:r>
    </w:p>
    <w:p w14:paraId="467410E0" w14:textId="77777777" w:rsidR="00644A8F" w:rsidRPr="00A039DB" w:rsidRDefault="00644A8F" w:rsidP="00644A8F">
      <w:pPr>
        <w:pStyle w:val="BodyTextIndent2"/>
        <w:ind w:firstLine="0"/>
        <w:rPr>
          <w:b/>
          <w:sz w:val="20"/>
        </w:rPr>
      </w:pPr>
    </w:p>
    <w:p w14:paraId="6DB829D4" w14:textId="77777777" w:rsidR="00644A8F" w:rsidRDefault="00644A8F" w:rsidP="00644A8F">
      <w:pPr>
        <w:pStyle w:val="BodyTextIndent2"/>
        <w:ind w:firstLine="0"/>
      </w:pPr>
      <w:r w:rsidRPr="00415D1B">
        <w:t xml:space="preserve">Total imports for the fourth quarter of </w:t>
      </w:r>
      <w:r w:rsidR="000A1412">
        <w:t>2025</w:t>
      </w:r>
      <w:r w:rsidRPr="00415D1B">
        <w:t xml:space="preserve"> amounted to Rs </w:t>
      </w:r>
      <w:r w:rsidR="00835141">
        <w:t>8</w:t>
      </w:r>
      <w:r w:rsidR="00D538E2">
        <w:t>8</w:t>
      </w:r>
      <w:r w:rsidRPr="00415D1B">
        <w:t>,</w:t>
      </w:r>
      <w:r w:rsidR="00D538E2">
        <w:t>162</w:t>
      </w:r>
      <w:r w:rsidRPr="00415D1B">
        <w:t xml:space="preserve"> million, showing an increase of </w:t>
      </w:r>
      <w:r w:rsidR="00D538E2">
        <w:t>17.6</w:t>
      </w:r>
      <w:r w:rsidRPr="00415D1B">
        <w:t>%, compared to the previous quarter</w:t>
      </w:r>
      <w:r w:rsidR="0007516C">
        <w:t xml:space="preserve">. This is </w:t>
      </w:r>
      <w:r>
        <w:t xml:space="preserve">due to increases in </w:t>
      </w:r>
      <w:r w:rsidR="007B4124">
        <w:t>“</w:t>
      </w:r>
      <w:r w:rsidR="007B4124" w:rsidRPr="00415D1B">
        <w:t>Miscellaneous manufactured articles</w:t>
      </w:r>
      <w:r w:rsidR="007B4124">
        <w:t>” (+</w:t>
      </w:r>
      <w:r w:rsidR="00954CE6">
        <w:t>30.8</w:t>
      </w:r>
      <w:r w:rsidR="007B4124">
        <w:t>%),</w:t>
      </w:r>
      <w:r w:rsidR="00835141">
        <w:t xml:space="preserve"> </w:t>
      </w:r>
      <w:r w:rsidR="00954CE6">
        <w:t>“</w:t>
      </w:r>
      <w:r w:rsidR="00954CE6" w:rsidRPr="008724DF">
        <w:t>Food and live animals</w:t>
      </w:r>
      <w:r w:rsidR="00954CE6">
        <w:t xml:space="preserve">” (+23.4%), </w:t>
      </w:r>
      <w:r w:rsidR="00835141">
        <w:t>“</w:t>
      </w:r>
      <w:r w:rsidR="00835141" w:rsidRPr="00415D1B">
        <w:t>Mineral fuels, lubricants, &amp; related products</w:t>
      </w:r>
      <w:r w:rsidR="00835141">
        <w:t>” (+</w:t>
      </w:r>
      <w:r w:rsidR="00954CE6">
        <w:t>22.8</w:t>
      </w:r>
      <w:r w:rsidR="00835141">
        <w:t>%),</w:t>
      </w:r>
      <w:r>
        <w:t xml:space="preserve"> </w:t>
      </w:r>
      <w:r w:rsidR="00954CE6" w:rsidRPr="003B62DC">
        <w:t>“Chemicals and related products</w:t>
      </w:r>
      <w:r w:rsidR="00954CE6">
        <w:t xml:space="preserve">, </w:t>
      </w:r>
      <w:proofErr w:type="spellStart"/>
      <w:r w:rsidR="00954CE6">
        <w:t>n.e.s</w:t>
      </w:r>
      <w:proofErr w:type="spellEnd"/>
      <w:r w:rsidR="00954CE6" w:rsidRPr="003B62DC">
        <w:t>” (</w:t>
      </w:r>
      <w:r w:rsidR="00954CE6">
        <w:t>+14.6</w:t>
      </w:r>
      <w:r w:rsidR="00954CE6" w:rsidRPr="003B62DC">
        <w:t>%)</w:t>
      </w:r>
      <w:r w:rsidR="00954CE6">
        <w:t xml:space="preserve">, </w:t>
      </w:r>
      <w:r w:rsidR="00954CE6" w:rsidRPr="003B62DC">
        <w:t xml:space="preserve">“Manufactured goods </w:t>
      </w:r>
      <w:r w:rsidR="00954CE6">
        <w:t>c</w:t>
      </w:r>
      <w:r w:rsidR="00954CE6" w:rsidRPr="003B62DC">
        <w:t>lassified chiefly by material” (</w:t>
      </w:r>
      <w:r w:rsidR="00954CE6">
        <w:t>+13.5</w:t>
      </w:r>
      <w:r w:rsidR="00954CE6" w:rsidRPr="003B62DC">
        <w:t>%)</w:t>
      </w:r>
      <w:r w:rsidR="00954CE6">
        <w:t xml:space="preserve"> and </w:t>
      </w:r>
      <w:r w:rsidR="00835141">
        <w:t>“</w:t>
      </w:r>
      <w:r w:rsidR="00835141" w:rsidRPr="00415D1B">
        <w:t>Machinery &amp; transport equipment</w:t>
      </w:r>
      <w:r w:rsidR="00835141">
        <w:t>” (+</w:t>
      </w:r>
      <w:r w:rsidR="00954CE6">
        <w:t>9.4</w:t>
      </w:r>
      <w:r w:rsidR="00835141">
        <w:t>%)</w:t>
      </w:r>
      <w:r>
        <w:t xml:space="preserve">. </w:t>
      </w:r>
    </w:p>
    <w:p w14:paraId="4D299CA8" w14:textId="77777777" w:rsidR="00644A8F" w:rsidRPr="00A039DB" w:rsidRDefault="00644A8F" w:rsidP="00644A8F">
      <w:pPr>
        <w:pStyle w:val="BodyTextIndent2"/>
        <w:ind w:firstLine="0"/>
        <w:rPr>
          <w:sz w:val="20"/>
        </w:rPr>
      </w:pPr>
    </w:p>
    <w:p w14:paraId="506BAF93" w14:textId="77777777" w:rsidR="00644A8F" w:rsidRDefault="00644A8F" w:rsidP="00644A8F">
      <w:pPr>
        <w:pStyle w:val="BodyTextIndent2"/>
        <w:ind w:firstLine="0"/>
      </w:pPr>
      <w:r w:rsidRPr="008724DF">
        <w:t xml:space="preserve">Compared to the corresponding quarter of </w:t>
      </w:r>
      <w:r w:rsidR="000A1412">
        <w:t>2024</w:t>
      </w:r>
      <w:r w:rsidRPr="008724DF">
        <w:t xml:space="preserve">, total imports for the fourth quarter of </w:t>
      </w:r>
      <w:r w:rsidR="000A1412">
        <w:t>2025</w:t>
      </w:r>
      <w:r w:rsidRPr="008724DF">
        <w:t xml:space="preserve"> </w:t>
      </w:r>
      <w:r w:rsidR="00866A62">
        <w:t>in</w:t>
      </w:r>
      <w:r w:rsidRPr="008724DF">
        <w:t xml:space="preserve">creased by </w:t>
      </w:r>
      <w:r w:rsidR="004102E3">
        <w:t>2.3</w:t>
      </w:r>
      <w:r w:rsidRPr="008724DF">
        <w:t>%.</w:t>
      </w:r>
      <w:r>
        <w:t xml:space="preserve"> This is due to </w:t>
      </w:r>
      <w:r w:rsidR="00866A62">
        <w:t>in</w:t>
      </w:r>
      <w:r>
        <w:t>creases in</w:t>
      </w:r>
      <w:r w:rsidR="00CA7A47">
        <w:t xml:space="preserve"> “</w:t>
      </w:r>
      <w:r w:rsidR="00CA7A47" w:rsidRPr="008724DF">
        <w:t>Mineral fuels, lubricants, &amp; related products”</w:t>
      </w:r>
      <w:r w:rsidR="00CA7A47">
        <w:t xml:space="preserve"> (+14.1%),</w:t>
      </w:r>
      <w:r w:rsidR="006E63BF">
        <w:t xml:space="preserve"> </w:t>
      </w:r>
      <w:r w:rsidR="004102E3">
        <w:t>“</w:t>
      </w:r>
      <w:r w:rsidR="004102E3" w:rsidRPr="008724DF">
        <w:t>Food and live animals</w:t>
      </w:r>
      <w:r w:rsidR="004102E3">
        <w:t>” (+</w:t>
      </w:r>
      <w:r w:rsidR="00CA7A47">
        <w:t>9.9</w:t>
      </w:r>
      <w:r w:rsidR="004102E3">
        <w:t>%)</w:t>
      </w:r>
      <w:r w:rsidR="00CA7A47">
        <w:t xml:space="preserve"> and</w:t>
      </w:r>
      <w:r w:rsidR="004102E3">
        <w:t xml:space="preserve"> “</w:t>
      </w:r>
      <w:r w:rsidR="004102E3" w:rsidRPr="00F632A9">
        <w:t>Miscellaneous manufactured articles</w:t>
      </w:r>
      <w:r w:rsidR="004102E3">
        <w:t>” (+</w:t>
      </w:r>
      <w:r w:rsidR="00CA7A47">
        <w:t>2.7</w:t>
      </w:r>
      <w:r w:rsidR="004102E3">
        <w:t>%)</w:t>
      </w:r>
      <w:r w:rsidR="00CA7A47">
        <w:t xml:space="preserve">, </w:t>
      </w:r>
      <w:r w:rsidR="004102E3">
        <w:t>partly offset by decreases in “</w:t>
      </w:r>
      <w:r w:rsidR="004102E3" w:rsidRPr="00F632A9">
        <w:t>Manufactured goods classified chiefly by</w:t>
      </w:r>
      <w:r w:rsidR="004102E3">
        <w:t xml:space="preserve"> </w:t>
      </w:r>
      <w:proofErr w:type="gramStart"/>
      <w:r w:rsidR="004102E3">
        <w:t>material</w:t>
      </w:r>
      <w:r w:rsidR="004102E3" w:rsidRPr="00F632A9">
        <w:t>”</w:t>
      </w:r>
      <w:r w:rsidR="004102E3">
        <w:t xml:space="preserve"> </w:t>
      </w:r>
      <w:r w:rsidR="00CA7A47">
        <w:t xml:space="preserve">  </w:t>
      </w:r>
      <w:proofErr w:type="gramEnd"/>
      <w:r w:rsidR="00CA7A47">
        <w:t xml:space="preserve">      </w:t>
      </w:r>
      <w:r w:rsidR="004102E3">
        <w:t>(-</w:t>
      </w:r>
      <w:r w:rsidR="00CA7A47">
        <w:t>8.7</w:t>
      </w:r>
      <w:r w:rsidR="004102E3">
        <w:t xml:space="preserve">%), </w:t>
      </w:r>
      <w:r w:rsidR="00CA7A47">
        <w:t>“</w:t>
      </w:r>
      <w:r w:rsidR="00CA7A47" w:rsidRPr="008724DF">
        <w:t>Machinery &amp; transport equipment”</w:t>
      </w:r>
      <w:r w:rsidR="00CA7A47">
        <w:t xml:space="preserve"> (-6.0%) and</w:t>
      </w:r>
      <w:r w:rsidR="00CA7A47" w:rsidRPr="003B62DC">
        <w:t xml:space="preserve"> </w:t>
      </w:r>
      <w:r w:rsidR="004102E3" w:rsidRPr="003B62DC">
        <w:t xml:space="preserve">“Chemicals and related products” </w:t>
      </w:r>
      <w:r w:rsidR="00CA7A47">
        <w:t xml:space="preserve">   </w:t>
      </w:r>
      <w:r w:rsidR="004102E3" w:rsidRPr="003B62DC">
        <w:t>(</w:t>
      </w:r>
      <w:r w:rsidR="00CA7A47">
        <w:t>-1.0</w:t>
      </w:r>
      <w:r w:rsidR="004102E3" w:rsidRPr="003B62DC">
        <w:t>%)</w:t>
      </w:r>
      <w:r>
        <w:t>.</w:t>
      </w:r>
    </w:p>
    <w:p w14:paraId="4E3B6C60" w14:textId="77777777" w:rsidR="00DD019E" w:rsidRDefault="00DD019E" w:rsidP="00644A8F">
      <w:pPr>
        <w:pStyle w:val="BodyTextIndent2"/>
        <w:ind w:firstLine="0"/>
      </w:pPr>
    </w:p>
    <w:p w14:paraId="58B96DC6" w14:textId="77777777" w:rsidR="00861FAF" w:rsidRDefault="00861FAF" w:rsidP="00644A8F">
      <w:pPr>
        <w:pStyle w:val="BodyTextIndent2"/>
        <w:ind w:firstLine="0"/>
      </w:pPr>
    </w:p>
    <w:p w14:paraId="5CB52908" w14:textId="77777777" w:rsidR="00644A8F" w:rsidRDefault="00644A8F" w:rsidP="00644A8F">
      <w:pPr>
        <w:pStyle w:val="BodyTextIndent2"/>
        <w:ind w:firstLine="0"/>
        <w:rPr>
          <w:b/>
        </w:rPr>
      </w:pPr>
      <w:r w:rsidRPr="00564A75">
        <w:rPr>
          <w:b/>
        </w:rPr>
        <w:t>4</w:t>
      </w:r>
      <w:r>
        <w:rPr>
          <w:b/>
        </w:rPr>
        <w:t>.1</w:t>
      </w:r>
      <w:r w:rsidRPr="00564A75">
        <w:rPr>
          <w:b/>
        </w:rPr>
        <w:t xml:space="preserve"> Imports by SITC section</w:t>
      </w:r>
      <w:r>
        <w:rPr>
          <w:b/>
        </w:rPr>
        <w:t xml:space="preserve"> (</w:t>
      </w:r>
      <w:r w:rsidRPr="00EA7370">
        <w:rPr>
          <w:b/>
          <w:i/>
        </w:rPr>
        <w:t>Table 10</w:t>
      </w:r>
      <w:r>
        <w:rPr>
          <w:b/>
        </w:rPr>
        <w:t xml:space="preserve">) – Year </w:t>
      </w:r>
      <w:r w:rsidR="000A1412">
        <w:rPr>
          <w:b/>
        </w:rPr>
        <w:t>2025</w:t>
      </w:r>
    </w:p>
    <w:p w14:paraId="2CF40B86" w14:textId="77777777" w:rsidR="00644A8F" w:rsidRPr="0022727A" w:rsidRDefault="00644A8F" w:rsidP="00644A8F">
      <w:pPr>
        <w:pStyle w:val="BodyTextIndent2"/>
        <w:ind w:firstLine="0"/>
        <w:rPr>
          <w:color w:val="FF0000"/>
        </w:rPr>
      </w:pPr>
    </w:p>
    <w:p w14:paraId="296AD192" w14:textId="77777777" w:rsidR="00644A8F" w:rsidRDefault="00F17DDE" w:rsidP="00644A8F">
      <w:pPr>
        <w:pStyle w:val="BodyTextIndent2"/>
        <w:ind w:firstLine="0"/>
      </w:pPr>
      <w:r>
        <w:t xml:space="preserve">Total imports for </w:t>
      </w:r>
      <w:r w:rsidR="000A1412">
        <w:t>2025</w:t>
      </w:r>
      <w:r>
        <w:t xml:space="preserve"> amounted to Rs </w:t>
      </w:r>
      <w:r w:rsidR="00D8045D">
        <w:t>31</w:t>
      </w:r>
      <w:r w:rsidR="00E86719">
        <w:t>8</w:t>
      </w:r>
      <w:r>
        <w:t>,</w:t>
      </w:r>
      <w:r w:rsidR="00E86719">
        <w:t>962</w:t>
      </w:r>
      <w:r>
        <w:t xml:space="preserve"> million, representing a</w:t>
      </w:r>
      <w:r w:rsidR="00D8045D">
        <w:t>n in</w:t>
      </w:r>
      <w:r>
        <w:t xml:space="preserve">crease of </w:t>
      </w:r>
      <w:r w:rsidR="00E86719">
        <w:t>0.4</w:t>
      </w:r>
      <w:r>
        <w:t xml:space="preserve">% compared to Rs </w:t>
      </w:r>
      <w:r w:rsidR="00E86719">
        <w:t>317</w:t>
      </w:r>
      <w:r>
        <w:t>,</w:t>
      </w:r>
      <w:r w:rsidR="00E86719">
        <w:t>802</w:t>
      </w:r>
      <w:r>
        <w:t xml:space="preserve"> million in </w:t>
      </w:r>
      <w:r w:rsidR="000A1412">
        <w:t>2024</w:t>
      </w:r>
      <w:r>
        <w:t xml:space="preserve">. </w:t>
      </w:r>
      <w:r w:rsidR="00644A8F">
        <w:t xml:space="preserve">Around </w:t>
      </w:r>
      <w:r w:rsidR="00D71763">
        <w:t>23.5</w:t>
      </w:r>
      <w:r w:rsidR="00142FC0">
        <w:t xml:space="preserve">% of imports in the year </w:t>
      </w:r>
      <w:r w:rsidR="000A1412">
        <w:t>2025</w:t>
      </w:r>
      <w:r w:rsidR="00142FC0">
        <w:t xml:space="preserve"> consisted</w:t>
      </w:r>
      <w:r w:rsidR="005758B7">
        <w:t xml:space="preserve"> </w:t>
      </w:r>
      <w:r w:rsidR="002B314A">
        <w:t xml:space="preserve">of </w:t>
      </w:r>
      <w:r w:rsidR="004B4FF4">
        <w:t>“</w:t>
      </w:r>
      <w:r w:rsidR="004B4FF4" w:rsidRPr="00FA206F">
        <w:t>Machinery &amp; transport equipment</w:t>
      </w:r>
      <w:r w:rsidR="004B4FF4">
        <w:t>” (Rs 75,0</w:t>
      </w:r>
      <w:r w:rsidR="00D71763">
        <w:t>69</w:t>
      </w:r>
      <w:r w:rsidR="004B4FF4">
        <w:t xml:space="preserve"> million), 22.</w:t>
      </w:r>
      <w:r w:rsidR="00D71763">
        <w:t>9</w:t>
      </w:r>
      <w:r w:rsidR="004B4FF4">
        <w:t xml:space="preserve">% of </w:t>
      </w:r>
      <w:r w:rsidR="005758B7">
        <w:t>“</w:t>
      </w:r>
      <w:r w:rsidR="005758B7" w:rsidRPr="002F30BA">
        <w:t>Mineral fuels, lubricants, &amp; related products</w:t>
      </w:r>
      <w:r w:rsidR="005758B7">
        <w:t xml:space="preserve">” (Rs </w:t>
      </w:r>
      <w:r w:rsidR="00D71763">
        <w:t>73</w:t>
      </w:r>
      <w:r w:rsidR="005758B7">
        <w:t>,01</w:t>
      </w:r>
      <w:r w:rsidR="00D71763">
        <w:t>5</w:t>
      </w:r>
      <w:r w:rsidR="005758B7">
        <w:t xml:space="preserve"> million), </w:t>
      </w:r>
      <w:r w:rsidR="004B4FF4">
        <w:t>1</w:t>
      </w:r>
      <w:r w:rsidR="00D71763">
        <w:t>9</w:t>
      </w:r>
      <w:r w:rsidR="004B4FF4">
        <w:t>.3% of “</w:t>
      </w:r>
      <w:r w:rsidR="004B4FF4" w:rsidRPr="00EC2623">
        <w:t>Food and live animals</w:t>
      </w:r>
      <w:r w:rsidR="004B4FF4">
        <w:t xml:space="preserve">”              (Rs </w:t>
      </w:r>
      <w:r w:rsidR="00D71763">
        <w:t>61</w:t>
      </w:r>
      <w:r w:rsidR="004B4FF4">
        <w:t>,5</w:t>
      </w:r>
      <w:r w:rsidR="00D71763">
        <w:t>0</w:t>
      </w:r>
      <w:r w:rsidR="004B4FF4">
        <w:t>4 million)</w:t>
      </w:r>
      <w:r w:rsidR="00127780">
        <w:t>, 1</w:t>
      </w:r>
      <w:r w:rsidR="00D71763">
        <w:t>1</w:t>
      </w:r>
      <w:r w:rsidR="00127780">
        <w:t>.7% of “</w:t>
      </w:r>
      <w:r w:rsidR="00127780" w:rsidRPr="00EC2623">
        <w:t>Manufactured goods classified chiefly by</w:t>
      </w:r>
      <w:r w:rsidR="00127780">
        <w:t xml:space="preserve"> material</w:t>
      </w:r>
      <w:r w:rsidR="00127780" w:rsidRPr="00EC2623">
        <w:t>”</w:t>
      </w:r>
      <w:r w:rsidR="00127780">
        <w:t xml:space="preserve">                      (Rs 3</w:t>
      </w:r>
      <w:r w:rsidR="00D71763">
        <w:t>7</w:t>
      </w:r>
      <w:r w:rsidR="00127780">
        <w:t>,</w:t>
      </w:r>
      <w:r w:rsidR="00D71763">
        <w:t>20</w:t>
      </w:r>
      <w:r w:rsidR="00127780">
        <w:t>1 million)</w:t>
      </w:r>
      <w:r w:rsidR="009C630A">
        <w:t xml:space="preserve">, </w:t>
      </w:r>
      <w:r w:rsidR="004563BC">
        <w:t>9.</w:t>
      </w:r>
      <w:r w:rsidR="00D71763">
        <w:t>2</w:t>
      </w:r>
      <w:r w:rsidR="004563BC">
        <w:t>% of “</w:t>
      </w:r>
      <w:r w:rsidR="004563BC" w:rsidRPr="00945B1D">
        <w:t>Miscellaneous manufactured articles</w:t>
      </w:r>
      <w:r w:rsidR="004563BC">
        <w:t>” (Rs 29,</w:t>
      </w:r>
      <w:r w:rsidR="00D71763">
        <w:t>482</w:t>
      </w:r>
      <w:r w:rsidR="004563BC">
        <w:t xml:space="preserve"> million) and </w:t>
      </w:r>
      <w:r w:rsidR="009C630A">
        <w:t>8.</w:t>
      </w:r>
      <w:r w:rsidR="00D71763">
        <w:t>4</w:t>
      </w:r>
      <w:r w:rsidR="005758B7">
        <w:t>% of “</w:t>
      </w:r>
      <w:r w:rsidR="005758B7" w:rsidRPr="00EF02D0">
        <w:t xml:space="preserve">Chemicals and related products, </w:t>
      </w:r>
      <w:proofErr w:type="spellStart"/>
      <w:r w:rsidR="005758B7" w:rsidRPr="00EF02D0">
        <w:t>n.e.s</w:t>
      </w:r>
      <w:proofErr w:type="spellEnd"/>
      <w:r w:rsidR="005758B7">
        <w:t>” (Rs 2</w:t>
      </w:r>
      <w:r w:rsidR="00D71763">
        <w:t>6</w:t>
      </w:r>
      <w:r w:rsidR="005758B7">
        <w:t>,</w:t>
      </w:r>
      <w:r w:rsidR="00D71763">
        <w:t>851</w:t>
      </w:r>
      <w:r w:rsidR="005758B7">
        <w:t xml:space="preserve"> million)</w:t>
      </w:r>
      <w:r w:rsidR="004563BC">
        <w:t>.</w:t>
      </w:r>
    </w:p>
    <w:p w14:paraId="01F6A93B" w14:textId="77777777" w:rsidR="00644A8F" w:rsidRPr="00CA36BC" w:rsidRDefault="00644A8F" w:rsidP="00644A8F">
      <w:pPr>
        <w:pStyle w:val="BodyTextIndent2"/>
        <w:ind w:firstLine="0"/>
        <w:rPr>
          <w:i/>
        </w:rPr>
      </w:pPr>
    </w:p>
    <w:p w14:paraId="6EC6F214" w14:textId="77777777" w:rsidR="00644A8F" w:rsidRDefault="00644A8F" w:rsidP="00644A8F">
      <w:pPr>
        <w:pStyle w:val="BodyTextIndent2"/>
        <w:ind w:firstLine="0"/>
      </w:pPr>
      <w:r>
        <w:t xml:space="preserve">Compared to the year </w:t>
      </w:r>
      <w:r w:rsidR="000A1412">
        <w:t>2024</w:t>
      </w:r>
      <w:r>
        <w:t xml:space="preserve">, </w:t>
      </w:r>
      <w:r w:rsidR="00F17DDE">
        <w:t>m</w:t>
      </w:r>
      <w:r>
        <w:t>ain changes by section were as follows:</w:t>
      </w:r>
    </w:p>
    <w:p w14:paraId="6141EB91" w14:textId="77777777" w:rsidR="0071389F" w:rsidRDefault="0071389F" w:rsidP="00644A8F">
      <w:pPr>
        <w:pStyle w:val="BodyTextIndent2"/>
        <w:ind w:firstLine="0"/>
      </w:pPr>
    </w:p>
    <w:p w14:paraId="38F705A6" w14:textId="77777777" w:rsidR="0071389F" w:rsidRDefault="0071389F" w:rsidP="0071389F">
      <w:pPr>
        <w:pStyle w:val="BodyTextIndent2"/>
        <w:numPr>
          <w:ilvl w:val="0"/>
          <w:numId w:val="7"/>
        </w:numPr>
      </w:pPr>
      <w:r>
        <w:t xml:space="preserve">“Food and live animals” increased by 6.2%, due to imports of “Dairy products and bird’s eggs” (+12.4%), </w:t>
      </w:r>
      <w:r w:rsidR="00893A50">
        <w:t xml:space="preserve">“Wheat” (+11.8%), </w:t>
      </w:r>
      <w:r>
        <w:t>“Fish and fish preparations” (+9.8%), “Meat and meat preparations” (+6.9%), “Cereal preparations” (</w:t>
      </w:r>
      <w:r w:rsidR="00893A50">
        <w:t>+</w:t>
      </w:r>
      <w:r>
        <w:t>5.3%)</w:t>
      </w:r>
      <w:r w:rsidR="00893A50">
        <w:t>,</w:t>
      </w:r>
      <w:r>
        <w:t xml:space="preserve"> “Rice” (+</w:t>
      </w:r>
      <w:r w:rsidR="00893A50">
        <w:t>5.2</w:t>
      </w:r>
      <w:r>
        <w:t>%)</w:t>
      </w:r>
      <w:r w:rsidR="00893A50">
        <w:t xml:space="preserve"> and “Vegetables and fruits” (+4.7%)</w:t>
      </w:r>
      <w:r>
        <w:t>.</w:t>
      </w:r>
    </w:p>
    <w:p w14:paraId="77A08153" w14:textId="77777777" w:rsidR="00AF6907" w:rsidRDefault="00AF6907" w:rsidP="00AF6907">
      <w:pPr>
        <w:pStyle w:val="BodyTextIndent2"/>
        <w:ind w:left="720" w:firstLine="0"/>
      </w:pPr>
    </w:p>
    <w:p w14:paraId="638E4D0E" w14:textId="77777777" w:rsidR="00AF6907" w:rsidRDefault="00AF6907" w:rsidP="00AF6907">
      <w:pPr>
        <w:pStyle w:val="BodyTextIndent2"/>
        <w:numPr>
          <w:ilvl w:val="0"/>
          <w:numId w:val="7"/>
        </w:numPr>
      </w:pPr>
      <w:r>
        <w:t>“</w:t>
      </w:r>
      <w:r w:rsidRPr="00FA206F">
        <w:t>Miscellaneous manufactured articles</w:t>
      </w:r>
      <w:r>
        <w:t xml:space="preserve">” increased by 1.2%, mainly due to imports </w:t>
      </w:r>
      <w:proofErr w:type="gramStart"/>
      <w:r>
        <w:t>of  “</w:t>
      </w:r>
      <w:proofErr w:type="gramEnd"/>
      <w:r>
        <w:t xml:space="preserve">Articles of apparel and clothing” (+11.6%) and “Articles </w:t>
      </w:r>
      <w:proofErr w:type="spellStart"/>
      <w:r>
        <w:t>n.e.s</w:t>
      </w:r>
      <w:proofErr w:type="spellEnd"/>
      <w:r>
        <w:t xml:space="preserve">, of plastic” (+6.3%), partly offset by decreases in “Professional, scientific &amp; controlling instruments &amp; apparatus, </w:t>
      </w:r>
      <w:proofErr w:type="spellStart"/>
      <w:r>
        <w:t>n.e.s</w:t>
      </w:r>
      <w:proofErr w:type="spellEnd"/>
      <w:r>
        <w:t>” (-7.6%) and “Footwear” (-1.9%).</w:t>
      </w:r>
    </w:p>
    <w:p w14:paraId="652EEE52" w14:textId="77777777" w:rsidR="00464D26" w:rsidRDefault="00464D26" w:rsidP="00644A8F">
      <w:pPr>
        <w:pStyle w:val="BodyTextIndent2"/>
        <w:ind w:firstLine="0"/>
      </w:pPr>
    </w:p>
    <w:p w14:paraId="5479B0A1" w14:textId="77777777" w:rsidR="005C6F5E" w:rsidRDefault="005C6F5E" w:rsidP="005C6F5E">
      <w:pPr>
        <w:pStyle w:val="BodyTextIndent2"/>
        <w:numPr>
          <w:ilvl w:val="0"/>
          <w:numId w:val="3"/>
        </w:numPr>
      </w:pPr>
      <w:r>
        <w:t>“</w:t>
      </w:r>
      <w:r w:rsidRPr="00FA206F">
        <w:t>Mineral fuels, lubricants, &amp; related products”</w:t>
      </w:r>
      <w:r>
        <w:t xml:space="preserve"> increased by </w:t>
      </w:r>
      <w:r w:rsidR="005F7529">
        <w:t>0.9</w:t>
      </w:r>
      <w:r>
        <w:t>%, mainly due to</w:t>
      </w:r>
      <w:r w:rsidR="00CD602C">
        <w:t xml:space="preserve"> </w:t>
      </w:r>
      <w:r>
        <w:t xml:space="preserve">imports of </w:t>
      </w:r>
      <w:r w:rsidR="00AF6907">
        <w:t>“Refined petroleum products” (+3.2%), partly offset by</w:t>
      </w:r>
      <w:r w:rsidR="00F27BAD">
        <w:t xml:space="preserve"> a decrease in</w:t>
      </w:r>
      <w:r w:rsidR="00AF6907">
        <w:t xml:space="preserve"> “Gas, natural and manufactured” (-</w:t>
      </w:r>
      <w:r w:rsidR="00CD316A">
        <w:t>10.3</w:t>
      </w:r>
      <w:r w:rsidR="00AF6907">
        <w:t>%)</w:t>
      </w:r>
      <w:r>
        <w:t>.</w:t>
      </w:r>
    </w:p>
    <w:p w14:paraId="5B79FF75" w14:textId="77777777" w:rsidR="00F27BAD" w:rsidRDefault="00F27BAD" w:rsidP="00F27BAD">
      <w:pPr>
        <w:pStyle w:val="BodyTextIndent2"/>
        <w:ind w:left="787" w:firstLine="0"/>
      </w:pPr>
    </w:p>
    <w:p w14:paraId="724A05B7" w14:textId="77777777" w:rsidR="00F27BAD" w:rsidRDefault="00F27BAD" w:rsidP="00F27BAD">
      <w:pPr>
        <w:pStyle w:val="BodyTextIndent2"/>
        <w:numPr>
          <w:ilvl w:val="0"/>
          <w:numId w:val="3"/>
        </w:numPr>
      </w:pPr>
      <w:r>
        <w:t>“Manufactured goods classified chiefly by material” decreased by 6.8%, mainly due to imports of “Textile yarn” (-23.1%),</w:t>
      </w:r>
      <w:r w:rsidR="003A3818">
        <w:t xml:space="preserve"> “Cement” (-19.6%),</w:t>
      </w:r>
      <w:r>
        <w:t xml:space="preserve"> “Paper, paperboard &amp; articles thereof” (-10.2%), “Iron and steel” (-9.6%), “Other textile fabrics” (-2.0%)</w:t>
      </w:r>
      <w:r w:rsidR="003A3818">
        <w:t xml:space="preserve"> and</w:t>
      </w:r>
      <w:r>
        <w:t xml:space="preserve"> “Manufactures of metal, </w:t>
      </w:r>
      <w:proofErr w:type="spellStart"/>
      <w:r>
        <w:t>n.e.s.</w:t>
      </w:r>
      <w:proofErr w:type="spellEnd"/>
      <w:r>
        <w:t>” (</w:t>
      </w:r>
      <w:r w:rsidR="003A3818">
        <w:t>-1.8</w:t>
      </w:r>
      <w:r>
        <w:t>%).</w:t>
      </w:r>
    </w:p>
    <w:p w14:paraId="1CCA31FF" w14:textId="77777777" w:rsidR="00564F4E" w:rsidRDefault="00564F4E" w:rsidP="005C6F5E">
      <w:pPr>
        <w:pStyle w:val="BodyTextIndent2"/>
        <w:ind w:left="787" w:firstLine="0"/>
      </w:pPr>
    </w:p>
    <w:p w14:paraId="13ECC880" w14:textId="77777777" w:rsidR="00564F4E" w:rsidRDefault="00564F4E" w:rsidP="00564F4E">
      <w:pPr>
        <w:pStyle w:val="BodyTextIndent2"/>
        <w:numPr>
          <w:ilvl w:val="0"/>
          <w:numId w:val="3"/>
        </w:numPr>
      </w:pPr>
      <w:r>
        <w:t>“</w:t>
      </w:r>
      <w:r w:rsidRPr="00AD075E">
        <w:t>Chemicals and related products</w:t>
      </w:r>
      <w:r>
        <w:t xml:space="preserve">, </w:t>
      </w:r>
      <w:proofErr w:type="spellStart"/>
      <w:r>
        <w:t>n.e.s.</w:t>
      </w:r>
      <w:proofErr w:type="spellEnd"/>
      <w:r>
        <w:t>”</w:t>
      </w:r>
      <w:r w:rsidR="000F295C">
        <w:t xml:space="preserve"> de</w:t>
      </w:r>
      <w:r>
        <w:t xml:space="preserve">creased by </w:t>
      </w:r>
      <w:r w:rsidR="000F295C">
        <w:t>2.9</w:t>
      </w:r>
      <w:r>
        <w:t xml:space="preserve">%, </w:t>
      </w:r>
      <w:r w:rsidR="00CD602C">
        <w:t>explained by</w:t>
      </w:r>
      <w:r>
        <w:t xml:space="preserve"> imports of “Plastics in primary forms” (</w:t>
      </w:r>
      <w:r w:rsidR="000F295C">
        <w:t>-23.4</w:t>
      </w:r>
      <w:r>
        <w:t>%), “Plastics in non-primary forms” (</w:t>
      </w:r>
      <w:r w:rsidR="000F295C">
        <w:t>-11.9</w:t>
      </w:r>
      <w:r>
        <w:t>%) and “Medicinal &amp; pharmaceutical products” (</w:t>
      </w:r>
      <w:r w:rsidR="000F295C">
        <w:t>-0.8</w:t>
      </w:r>
      <w:r>
        <w:t>%).</w:t>
      </w:r>
    </w:p>
    <w:p w14:paraId="7DD48733" w14:textId="77777777" w:rsidR="003D16C0" w:rsidRDefault="003D16C0" w:rsidP="003D16C0">
      <w:pPr>
        <w:pStyle w:val="ListParagraph"/>
      </w:pPr>
    </w:p>
    <w:p w14:paraId="5D53B247" w14:textId="77777777" w:rsidR="003D16C0" w:rsidRDefault="003D16C0" w:rsidP="003D16C0">
      <w:pPr>
        <w:pStyle w:val="BodyTextIndent2"/>
        <w:numPr>
          <w:ilvl w:val="0"/>
          <w:numId w:val="3"/>
        </w:numPr>
      </w:pPr>
      <w:r>
        <w:t>“</w:t>
      </w:r>
      <w:r w:rsidRPr="00FA206F">
        <w:t>Machinery &amp; transport equipment</w:t>
      </w:r>
      <w:r>
        <w:t xml:space="preserve">” </w:t>
      </w:r>
      <w:r w:rsidR="00F041D2">
        <w:t>de</w:t>
      </w:r>
      <w:r>
        <w:t xml:space="preserve">creased by </w:t>
      </w:r>
      <w:r w:rsidR="00F041D2">
        <w:t>0.1</w:t>
      </w:r>
      <w:r>
        <w:t>%, mainly due to imports of</w:t>
      </w:r>
      <w:r w:rsidR="00F041D2">
        <w:t xml:space="preserve"> “</w:t>
      </w:r>
      <w:r w:rsidR="00F041D2" w:rsidRPr="00447042">
        <w:t xml:space="preserve">Telecommunications &amp; sound recording &amp; reproducing apparatus &amp; </w:t>
      </w:r>
      <w:proofErr w:type="gramStart"/>
      <w:r w:rsidR="00F041D2" w:rsidRPr="00447042">
        <w:t>equipment</w:t>
      </w:r>
      <w:r w:rsidR="00F041D2">
        <w:t xml:space="preserve">”   </w:t>
      </w:r>
      <w:proofErr w:type="gramEnd"/>
      <w:r w:rsidR="00F041D2">
        <w:t xml:space="preserve">        (-5.2%) and “</w:t>
      </w:r>
      <w:r w:rsidR="00F041D2" w:rsidRPr="008C59CE">
        <w:t xml:space="preserve">Electrical machinery, apparatus &amp; appliances, </w:t>
      </w:r>
      <w:proofErr w:type="spellStart"/>
      <w:r w:rsidR="00F041D2" w:rsidRPr="008C59CE">
        <w:t>n.e.s.</w:t>
      </w:r>
      <w:proofErr w:type="spellEnd"/>
      <w:r w:rsidR="00F041D2" w:rsidRPr="008C59CE">
        <w:t>, &amp; electrical parts of household type</w:t>
      </w:r>
      <w:r w:rsidR="00F041D2">
        <w:t xml:space="preserve">” (-3.9%), partly offset by increases in “General industrial machinery &amp; equipment, </w:t>
      </w:r>
      <w:proofErr w:type="spellStart"/>
      <w:r w:rsidR="00F041D2">
        <w:t>n.e.s.</w:t>
      </w:r>
      <w:proofErr w:type="spellEnd"/>
      <w:r w:rsidR="00F041D2">
        <w:t xml:space="preserve">, &amp; machine parts, </w:t>
      </w:r>
      <w:proofErr w:type="spellStart"/>
      <w:r w:rsidR="00F041D2">
        <w:t>n.e.s.</w:t>
      </w:r>
      <w:proofErr w:type="spellEnd"/>
      <w:r w:rsidR="00F041D2">
        <w:t>” (+6.2%) and</w:t>
      </w:r>
      <w:r>
        <w:t xml:space="preserve"> “Road vehicles” (+</w:t>
      </w:r>
      <w:r w:rsidR="00F041D2">
        <w:t>4.1</w:t>
      </w:r>
      <w:r>
        <w:t>%)</w:t>
      </w:r>
      <w:r w:rsidR="00447042">
        <w:t>.</w:t>
      </w:r>
    </w:p>
    <w:p w14:paraId="6EEB2648" w14:textId="77777777" w:rsidR="00E15E5D" w:rsidRDefault="00E15E5D" w:rsidP="00E15E5D">
      <w:pPr>
        <w:pStyle w:val="ListParagraph"/>
      </w:pPr>
    </w:p>
    <w:p w14:paraId="4E2885DA" w14:textId="77777777" w:rsidR="00800DEA" w:rsidRDefault="00800DEA" w:rsidP="00800DEA">
      <w:pPr>
        <w:pStyle w:val="ListParagraph"/>
      </w:pPr>
    </w:p>
    <w:p w14:paraId="03A3D30B" w14:textId="77777777" w:rsidR="00644A8F" w:rsidRDefault="00644A8F" w:rsidP="00644A8F">
      <w:pPr>
        <w:pStyle w:val="BodyTextIndent2"/>
        <w:ind w:left="787" w:firstLine="0"/>
      </w:pPr>
    </w:p>
    <w:p w14:paraId="3EE3EE1D" w14:textId="77777777" w:rsidR="00644A8F" w:rsidRPr="005C19C3" w:rsidRDefault="00644A8F" w:rsidP="00644A8F">
      <w:pPr>
        <w:numPr>
          <w:ilvl w:val="1"/>
          <w:numId w:val="4"/>
        </w:numPr>
        <w:jc w:val="both"/>
        <w:rPr>
          <w:b/>
          <w:sz w:val="24"/>
        </w:rPr>
      </w:pPr>
      <w:r w:rsidRPr="005C19C3">
        <w:rPr>
          <w:b/>
          <w:sz w:val="24"/>
        </w:rPr>
        <w:t>Imports by country of origin</w:t>
      </w:r>
      <w:r>
        <w:rPr>
          <w:b/>
          <w:sz w:val="24"/>
        </w:rPr>
        <w:t xml:space="preserve"> – Year </w:t>
      </w:r>
      <w:r w:rsidR="000A1412">
        <w:rPr>
          <w:b/>
          <w:sz w:val="24"/>
        </w:rPr>
        <w:t>2025</w:t>
      </w:r>
    </w:p>
    <w:p w14:paraId="4932B350" w14:textId="77777777" w:rsidR="00644A8F" w:rsidRPr="005513D0" w:rsidRDefault="00644A8F" w:rsidP="00644A8F">
      <w:pPr>
        <w:ind w:left="360"/>
        <w:jc w:val="both"/>
        <w:rPr>
          <w:color w:val="FF0000"/>
          <w:sz w:val="24"/>
        </w:rPr>
      </w:pPr>
    </w:p>
    <w:p w14:paraId="3915E9AA" w14:textId="3B74E286" w:rsidR="00644A8F" w:rsidRDefault="00644A8F" w:rsidP="00644A8F">
      <w:pPr>
        <w:tabs>
          <w:tab w:val="num" w:pos="1140"/>
        </w:tabs>
        <w:jc w:val="both"/>
        <w:rPr>
          <w:i/>
          <w:sz w:val="24"/>
        </w:rPr>
      </w:pPr>
      <w:r>
        <w:rPr>
          <w:sz w:val="24"/>
        </w:rPr>
        <w:t>For</w:t>
      </w:r>
      <w:r w:rsidRPr="0052403D">
        <w:rPr>
          <w:sz w:val="24"/>
        </w:rPr>
        <w:t xml:space="preserve"> the year </w:t>
      </w:r>
      <w:r w:rsidR="000A1412">
        <w:rPr>
          <w:sz w:val="24"/>
        </w:rPr>
        <w:t>2025</w:t>
      </w:r>
      <w:r w:rsidRPr="0052403D">
        <w:rPr>
          <w:sz w:val="24"/>
        </w:rPr>
        <w:t xml:space="preserve">, our imports originated from </w:t>
      </w:r>
      <w:r w:rsidR="00CF2EF1">
        <w:rPr>
          <w:sz w:val="24"/>
        </w:rPr>
        <w:t>six</w:t>
      </w:r>
      <w:r w:rsidRPr="0052403D">
        <w:rPr>
          <w:sz w:val="24"/>
        </w:rPr>
        <w:t xml:space="preserve"> main countries, namely: China (</w:t>
      </w:r>
      <w:r w:rsidR="00A265E1">
        <w:rPr>
          <w:sz w:val="24"/>
        </w:rPr>
        <w:t>1</w:t>
      </w:r>
      <w:r w:rsidR="00D100B9">
        <w:rPr>
          <w:sz w:val="24"/>
        </w:rPr>
        <w:t>7.</w:t>
      </w:r>
      <w:r w:rsidR="00CF2EF1">
        <w:rPr>
          <w:sz w:val="24"/>
        </w:rPr>
        <w:t>4</w:t>
      </w:r>
      <w:r w:rsidRPr="0052403D">
        <w:rPr>
          <w:sz w:val="24"/>
        </w:rPr>
        <w:t xml:space="preserve">%), </w:t>
      </w:r>
      <w:r w:rsidR="00A265E1">
        <w:rPr>
          <w:sz w:val="24"/>
        </w:rPr>
        <w:t>U</w:t>
      </w:r>
      <w:r w:rsidR="00C41D2B">
        <w:rPr>
          <w:sz w:val="24"/>
        </w:rPr>
        <w:t>nited Arab Emirates</w:t>
      </w:r>
      <w:r w:rsidR="0006102E" w:rsidRPr="0052403D">
        <w:rPr>
          <w:sz w:val="24"/>
        </w:rPr>
        <w:t xml:space="preserve"> (</w:t>
      </w:r>
      <w:r w:rsidR="00A265E1">
        <w:rPr>
          <w:sz w:val="24"/>
        </w:rPr>
        <w:t>1</w:t>
      </w:r>
      <w:r w:rsidR="00CF2EF1">
        <w:rPr>
          <w:sz w:val="24"/>
        </w:rPr>
        <w:t>0.9</w:t>
      </w:r>
      <w:r w:rsidR="0006102E" w:rsidRPr="0052403D">
        <w:rPr>
          <w:sz w:val="24"/>
        </w:rPr>
        <w:t>%),</w:t>
      </w:r>
      <w:r w:rsidR="0006102E">
        <w:rPr>
          <w:sz w:val="24"/>
        </w:rPr>
        <w:t xml:space="preserve"> </w:t>
      </w:r>
      <w:r w:rsidR="00A265E1">
        <w:rPr>
          <w:sz w:val="24"/>
        </w:rPr>
        <w:t>India</w:t>
      </w:r>
      <w:r w:rsidR="00E216EC" w:rsidRPr="0052403D">
        <w:rPr>
          <w:sz w:val="24"/>
        </w:rPr>
        <w:t xml:space="preserve"> (</w:t>
      </w:r>
      <w:r w:rsidR="00CF2EF1">
        <w:rPr>
          <w:sz w:val="24"/>
        </w:rPr>
        <w:t>8.2</w:t>
      </w:r>
      <w:r w:rsidR="00E216EC" w:rsidRPr="0052403D">
        <w:rPr>
          <w:sz w:val="24"/>
        </w:rPr>
        <w:t>%)</w:t>
      </w:r>
      <w:r w:rsidR="00C766A2">
        <w:rPr>
          <w:sz w:val="24"/>
        </w:rPr>
        <w:t xml:space="preserve">, </w:t>
      </w:r>
      <w:r w:rsidR="00A265E1">
        <w:rPr>
          <w:sz w:val="24"/>
        </w:rPr>
        <w:t>South Africa</w:t>
      </w:r>
      <w:r w:rsidRPr="0052403D">
        <w:rPr>
          <w:sz w:val="24"/>
        </w:rPr>
        <w:t xml:space="preserve"> </w:t>
      </w:r>
      <w:r w:rsidR="00CF2EF1">
        <w:rPr>
          <w:sz w:val="24"/>
        </w:rPr>
        <w:t>(6.5</w:t>
      </w:r>
      <w:r w:rsidRPr="0052403D">
        <w:rPr>
          <w:sz w:val="24"/>
        </w:rPr>
        <w:t>%)</w:t>
      </w:r>
      <w:r w:rsidR="00CF2EF1">
        <w:rPr>
          <w:sz w:val="24"/>
        </w:rPr>
        <w:t>, France (5.9</w:t>
      </w:r>
      <w:r w:rsidR="00BE4494">
        <w:rPr>
          <w:sz w:val="24"/>
        </w:rPr>
        <w:t>%</w:t>
      </w:r>
      <w:r w:rsidR="00CF2EF1">
        <w:rPr>
          <w:sz w:val="24"/>
        </w:rPr>
        <w:t>) and Germany</w:t>
      </w:r>
      <w:r w:rsidRPr="0052403D">
        <w:rPr>
          <w:sz w:val="24"/>
        </w:rPr>
        <w:t xml:space="preserve"> (</w:t>
      </w:r>
      <w:r w:rsidR="00CF2EF1">
        <w:rPr>
          <w:sz w:val="24"/>
        </w:rPr>
        <w:t>3.3</w:t>
      </w:r>
      <w:r w:rsidRPr="0052403D">
        <w:rPr>
          <w:sz w:val="24"/>
        </w:rPr>
        <w:t xml:space="preserve">%).  Among continents, Asia was our main supplier with a share of Rs </w:t>
      </w:r>
      <w:r w:rsidR="0006102E">
        <w:rPr>
          <w:sz w:val="24"/>
        </w:rPr>
        <w:t>1</w:t>
      </w:r>
      <w:r w:rsidR="000D7CE0">
        <w:rPr>
          <w:sz w:val="24"/>
        </w:rPr>
        <w:t>7</w:t>
      </w:r>
      <w:r w:rsidR="00CF2EF1">
        <w:rPr>
          <w:sz w:val="24"/>
        </w:rPr>
        <w:t>8</w:t>
      </w:r>
      <w:r w:rsidR="002569D0">
        <w:rPr>
          <w:sz w:val="24"/>
        </w:rPr>
        <w:t>,</w:t>
      </w:r>
      <w:r w:rsidR="00CF2EF1">
        <w:rPr>
          <w:sz w:val="24"/>
        </w:rPr>
        <w:t>832</w:t>
      </w:r>
      <w:r w:rsidRPr="0052403D">
        <w:rPr>
          <w:sz w:val="24"/>
        </w:rPr>
        <w:t xml:space="preserve"> million, representing </w:t>
      </w:r>
      <w:r w:rsidR="00C766A2">
        <w:rPr>
          <w:sz w:val="24"/>
        </w:rPr>
        <w:t>5</w:t>
      </w:r>
      <w:r w:rsidR="000D7CE0">
        <w:rPr>
          <w:sz w:val="24"/>
        </w:rPr>
        <w:t>6.</w:t>
      </w:r>
      <w:r w:rsidR="00CF2EF1">
        <w:rPr>
          <w:sz w:val="24"/>
        </w:rPr>
        <w:t>1</w:t>
      </w:r>
      <w:r w:rsidRPr="0052403D">
        <w:rPr>
          <w:sz w:val="24"/>
        </w:rPr>
        <w:t>% of total imports.</w:t>
      </w:r>
      <w:r>
        <w:rPr>
          <w:sz w:val="24"/>
        </w:rPr>
        <w:t xml:space="preserve"> </w:t>
      </w:r>
      <w:r>
        <w:rPr>
          <w:i/>
          <w:sz w:val="24"/>
        </w:rPr>
        <w:t>(</w:t>
      </w:r>
      <w:r w:rsidRPr="003E4088">
        <w:rPr>
          <w:i/>
          <w:sz w:val="24"/>
        </w:rPr>
        <w:t>Table 13)</w:t>
      </w:r>
    </w:p>
    <w:p w14:paraId="18B2044A" w14:textId="77777777" w:rsidR="00DC11DD" w:rsidRPr="0052403D" w:rsidRDefault="00DC11DD" w:rsidP="00644A8F">
      <w:pPr>
        <w:tabs>
          <w:tab w:val="num" w:pos="1140"/>
        </w:tabs>
        <w:jc w:val="both"/>
        <w:rPr>
          <w:sz w:val="24"/>
        </w:rPr>
      </w:pPr>
    </w:p>
    <w:p w14:paraId="005B4315" w14:textId="77777777" w:rsidR="00644A8F" w:rsidRDefault="00BA2050" w:rsidP="00644A8F">
      <w:pPr>
        <w:tabs>
          <w:tab w:val="num" w:pos="1140"/>
        </w:tabs>
        <w:jc w:val="both"/>
        <w:rPr>
          <w:sz w:val="24"/>
        </w:rPr>
      </w:pPr>
      <w:r>
        <w:rPr>
          <w:sz w:val="24"/>
        </w:rPr>
        <w:lastRenderedPageBreak/>
        <w:t>C</w:t>
      </w:r>
      <w:r w:rsidR="00644A8F" w:rsidRPr="00D3629F">
        <w:rPr>
          <w:sz w:val="24"/>
        </w:rPr>
        <w:t xml:space="preserve">ompared to </w:t>
      </w:r>
      <w:r w:rsidR="000A1412">
        <w:rPr>
          <w:sz w:val="24"/>
        </w:rPr>
        <w:t>2024</w:t>
      </w:r>
      <w:r w:rsidR="00644A8F" w:rsidRPr="00D3629F">
        <w:rPr>
          <w:sz w:val="24"/>
        </w:rPr>
        <w:t>, total imports from</w:t>
      </w:r>
      <w:r w:rsidR="00CB5DD3">
        <w:rPr>
          <w:sz w:val="24"/>
        </w:rPr>
        <w:t xml:space="preserve"> </w:t>
      </w:r>
      <w:r w:rsidR="002A37C5">
        <w:rPr>
          <w:sz w:val="24"/>
        </w:rPr>
        <w:t xml:space="preserve">Germany, China, and France rose </w:t>
      </w:r>
      <w:r w:rsidR="00CA3184">
        <w:rPr>
          <w:sz w:val="24"/>
        </w:rPr>
        <w:t>by</w:t>
      </w:r>
      <w:r w:rsidR="002A37C5">
        <w:rPr>
          <w:sz w:val="24"/>
        </w:rPr>
        <w:t xml:space="preserve"> 3</w:t>
      </w:r>
      <w:r w:rsidR="0092625C">
        <w:rPr>
          <w:sz w:val="24"/>
        </w:rPr>
        <w:t xml:space="preserve">.2%, </w:t>
      </w:r>
      <w:r w:rsidR="002A37C5">
        <w:rPr>
          <w:sz w:val="24"/>
        </w:rPr>
        <w:t>1.</w:t>
      </w:r>
      <w:r w:rsidR="001D320F">
        <w:rPr>
          <w:sz w:val="24"/>
        </w:rPr>
        <w:t>3</w:t>
      </w:r>
      <w:r w:rsidR="00CA3184">
        <w:rPr>
          <w:sz w:val="24"/>
        </w:rPr>
        <w:t>%</w:t>
      </w:r>
      <w:r w:rsidR="002A37C5">
        <w:rPr>
          <w:sz w:val="24"/>
        </w:rPr>
        <w:t xml:space="preserve"> and</w:t>
      </w:r>
      <w:r w:rsidR="0092625C">
        <w:rPr>
          <w:sz w:val="24"/>
        </w:rPr>
        <w:t xml:space="preserve"> </w:t>
      </w:r>
      <w:r w:rsidR="002A37C5">
        <w:rPr>
          <w:sz w:val="24"/>
        </w:rPr>
        <w:t>0.4</w:t>
      </w:r>
      <w:r w:rsidR="0092625C">
        <w:rPr>
          <w:sz w:val="24"/>
        </w:rPr>
        <w:t>%</w:t>
      </w:r>
      <w:r w:rsidR="002A37C5">
        <w:rPr>
          <w:sz w:val="24"/>
        </w:rPr>
        <w:t xml:space="preserve"> </w:t>
      </w:r>
      <w:r w:rsidR="00CA3184">
        <w:rPr>
          <w:sz w:val="24"/>
        </w:rPr>
        <w:t>respectively</w:t>
      </w:r>
      <w:r w:rsidR="002A37C5">
        <w:rPr>
          <w:sz w:val="24"/>
        </w:rPr>
        <w:t>, while imports from India, U.A.E. and South Africa declined by 24.5%, 14.6% and 12.7</w:t>
      </w:r>
      <w:r w:rsidR="00FD75B4">
        <w:rPr>
          <w:sz w:val="24"/>
        </w:rPr>
        <w:t>%</w:t>
      </w:r>
      <w:r w:rsidR="002A37C5">
        <w:rPr>
          <w:sz w:val="24"/>
        </w:rPr>
        <w:t>, respectively</w:t>
      </w:r>
      <w:r w:rsidR="00644A8F" w:rsidRPr="00D3629F">
        <w:rPr>
          <w:sz w:val="24"/>
        </w:rPr>
        <w:t>.</w:t>
      </w:r>
    </w:p>
    <w:p w14:paraId="482938F2" w14:textId="77777777" w:rsidR="00644A8F" w:rsidRPr="00D3629F" w:rsidRDefault="002A37C5" w:rsidP="00644A8F">
      <w:pPr>
        <w:tabs>
          <w:tab w:val="num" w:pos="1140"/>
        </w:tabs>
        <w:jc w:val="center"/>
        <w:rPr>
          <w:sz w:val="24"/>
        </w:rPr>
      </w:pPr>
      <w:r w:rsidRPr="002A37C5">
        <w:rPr>
          <w:noProof/>
        </w:rPr>
        <w:drawing>
          <wp:inline distT="0" distB="0" distL="0" distR="0" wp14:anchorId="05B7696E" wp14:editId="480575E8">
            <wp:extent cx="5423446" cy="3086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57789" cy="3105642"/>
                    </a:xfrm>
                    <a:prstGeom prst="rect">
                      <a:avLst/>
                    </a:prstGeom>
                    <a:noFill/>
                    <a:ln>
                      <a:noFill/>
                    </a:ln>
                  </pic:spPr>
                </pic:pic>
              </a:graphicData>
            </a:graphic>
          </wp:inline>
        </w:drawing>
      </w:r>
    </w:p>
    <w:p w14:paraId="26491E8F" w14:textId="77777777" w:rsidR="00644A8F" w:rsidRPr="003C3FE4" w:rsidRDefault="00644A8F" w:rsidP="00644A8F">
      <w:pPr>
        <w:jc w:val="both"/>
        <w:rPr>
          <w:b/>
          <w:sz w:val="24"/>
        </w:rPr>
      </w:pPr>
      <w:r w:rsidRPr="003C3FE4">
        <w:rPr>
          <w:b/>
          <w:sz w:val="24"/>
        </w:rPr>
        <w:t xml:space="preserve">5. Trade with Member States of Regional Organizations – Year </w:t>
      </w:r>
      <w:r w:rsidR="000A1412">
        <w:rPr>
          <w:b/>
          <w:sz w:val="24"/>
        </w:rPr>
        <w:t>2025</w:t>
      </w:r>
    </w:p>
    <w:p w14:paraId="5E26234C" w14:textId="77777777" w:rsidR="00644A8F" w:rsidRPr="003C3FE4" w:rsidRDefault="00644A8F" w:rsidP="00644A8F">
      <w:pPr>
        <w:tabs>
          <w:tab w:val="num" w:pos="1140"/>
        </w:tabs>
        <w:jc w:val="both"/>
        <w:rPr>
          <w:b/>
          <w:sz w:val="24"/>
        </w:rPr>
      </w:pPr>
    </w:p>
    <w:p w14:paraId="78250228" w14:textId="0E230FA4" w:rsidR="00644A8F" w:rsidRPr="00B97CE9" w:rsidRDefault="002D3F62" w:rsidP="00644A8F">
      <w:pPr>
        <w:tabs>
          <w:tab w:val="num" w:pos="1140"/>
        </w:tabs>
        <w:jc w:val="both"/>
        <w:rPr>
          <w:i/>
          <w:sz w:val="24"/>
        </w:rPr>
      </w:pPr>
      <w:r>
        <w:rPr>
          <w:sz w:val="24"/>
        </w:rPr>
        <w:t>E</w:t>
      </w:r>
      <w:r w:rsidR="00644A8F" w:rsidRPr="003C3FE4">
        <w:rPr>
          <w:sz w:val="24"/>
        </w:rPr>
        <w:t xml:space="preserve">xports to African, Caribbean and Pacific (ACP) States stood at Rs </w:t>
      </w:r>
      <w:r w:rsidR="00B13722">
        <w:rPr>
          <w:sz w:val="24"/>
        </w:rPr>
        <w:t>2</w:t>
      </w:r>
      <w:r w:rsidR="008B7362">
        <w:rPr>
          <w:sz w:val="24"/>
        </w:rPr>
        <w:t>2</w:t>
      </w:r>
      <w:r w:rsidR="00644A8F" w:rsidRPr="003C3FE4">
        <w:rPr>
          <w:sz w:val="24"/>
        </w:rPr>
        <w:t>,</w:t>
      </w:r>
      <w:r w:rsidR="008B7362">
        <w:rPr>
          <w:sz w:val="24"/>
        </w:rPr>
        <w:t>036</w:t>
      </w:r>
      <w:r w:rsidR="00644A8F" w:rsidRPr="003C3FE4">
        <w:rPr>
          <w:sz w:val="24"/>
        </w:rPr>
        <w:t xml:space="preserve"> million against imports of Rs </w:t>
      </w:r>
      <w:r w:rsidR="00B13722">
        <w:rPr>
          <w:sz w:val="24"/>
        </w:rPr>
        <w:t>3</w:t>
      </w:r>
      <w:r w:rsidR="008B7362">
        <w:rPr>
          <w:sz w:val="24"/>
        </w:rPr>
        <w:t>3</w:t>
      </w:r>
      <w:r w:rsidR="00644A8F" w:rsidRPr="003C3FE4">
        <w:rPr>
          <w:sz w:val="24"/>
        </w:rPr>
        <w:t>,</w:t>
      </w:r>
      <w:r w:rsidR="00A71979">
        <w:rPr>
          <w:sz w:val="24"/>
        </w:rPr>
        <w:t>5</w:t>
      </w:r>
      <w:r w:rsidR="008B7362">
        <w:rPr>
          <w:sz w:val="24"/>
        </w:rPr>
        <w:t>33</w:t>
      </w:r>
      <w:r w:rsidR="00644A8F" w:rsidRPr="003C3FE4">
        <w:rPr>
          <w:sz w:val="24"/>
        </w:rPr>
        <w:t xml:space="preserve"> million. The trade deficit with ACP countries worked out to </w:t>
      </w:r>
      <w:r w:rsidR="008C3820">
        <w:rPr>
          <w:sz w:val="24"/>
        </w:rPr>
        <w:br/>
      </w:r>
      <w:r w:rsidR="00644A8F" w:rsidRPr="003C3FE4">
        <w:rPr>
          <w:sz w:val="24"/>
        </w:rPr>
        <w:t>Rs</w:t>
      </w:r>
      <w:r w:rsidR="002E2E80">
        <w:rPr>
          <w:sz w:val="24"/>
        </w:rPr>
        <w:t xml:space="preserve"> </w:t>
      </w:r>
      <w:r w:rsidR="00B13722">
        <w:rPr>
          <w:sz w:val="24"/>
        </w:rPr>
        <w:t>1</w:t>
      </w:r>
      <w:r w:rsidR="001723A8">
        <w:rPr>
          <w:sz w:val="24"/>
        </w:rPr>
        <w:t>1</w:t>
      </w:r>
      <w:r w:rsidR="00644A8F" w:rsidRPr="003C3FE4">
        <w:rPr>
          <w:sz w:val="24"/>
        </w:rPr>
        <w:t>,</w:t>
      </w:r>
      <w:r w:rsidR="001723A8">
        <w:rPr>
          <w:sz w:val="24"/>
        </w:rPr>
        <w:t>497</w:t>
      </w:r>
      <w:r w:rsidR="00644A8F" w:rsidRPr="003C3FE4">
        <w:rPr>
          <w:sz w:val="24"/>
        </w:rPr>
        <w:t xml:space="preserve"> million. South Africa is the main supplier and buyer, with a share of </w:t>
      </w:r>
      <w:r w:rsidR="001723A8">
        <w:rPr>
          <w:sz w:val="24"/>
        </w:rPr>
        <w:t>61.6</w:t>
      </w:r>
      <w:r w:rsidR="00644A8F" w:rsidRPr="003C3FE4">
        <w:rPr>
          <w:sz w:val="24"/>
        </w:rPr>
        <w:t xml:space="preserve">% and </w:t>
      </w:r>
      <w:r w:rsidR="001723A8">
        <w:rPr>
          <w:sz w:val="24"/>
        </w:rPr>
        <w:t>43.0</w:t>
      </w:r>
      <w:r w:rsidR="00644A8F" w:rsidRPr="003C3FE4">
        <w:rPr>
          <w:sz w:val="24"/>
        </w:rPr>
        <w:t>%</w:t>
      </w:r>
      <w:r w:rsidR="00BE4494">
        <w:rPr>
          <w:sz w:val="24"/>
        </w:rPr>
        <w:t>,</w:t>
      </w:r>
      <w:r w:rsidR="00644A8F" w:rsidRPr="003C3FE4">
        <w:rPr>
          <w:sz w:val="24"/>
        </w:rPr>
        <w:t xml:space="preserve"> respectively. </w:t>
      </w:r>
      <w:r w:rsidR="00644A8F" w:rsidRPr="00B97CE9">
        <w:rPr>
          <w:i/>
          <w:sz w:val="24"/>
        </w:rPr>
        <w:t>(Table 14)</w:t>
      </w:r>
    </w:p>
    <w:p w14:paraId="3ED0B9C8" w14:textId="77777777" w:rsidR="00644A8F" w:rsidRPr="0022727A" w:rsidRDefault="00644A8F" w:rsidP="00644A8F">
      <w:pPr>
        <w:tabs>
          <w:tab w:val="num" w:pos="1140"/>
        </w:tabs>
        <w:ind w:firstLine="1170"/>
        <w:jc w:val="both"/>
        <w:rPr>
          <w:color w:val="FF0000"/>
          <w:sz w:val="24"/>
        </w:rPr>
      </w:pPr>
    </w:p>
    <w:p w14:paraId="6874143B" w14:textId="77777777" w:rsidR="00644A8F" w:rsidRPr="00411DBB" w:rsidRDefault="00644A8F" w:rsidP="00644A8F">
      <w:pPr>
        <w:tabs>
          <w:tab w:val="num" w:pos="1140"/>
        </w:tabs>
        <w:jc w:val="both"/>
        <w:rPr>
          <w:sz w:val="24"/>
          <w:szCs w:val="24"/>
        </w:rPr>
      </w:pPr>
      <w:r w:rsidRPr="00876342">
        <w:rPr>
          <w:sz w:val="24"/>
        </w:rPr>
        <w:t xml:space="preserve">Exports to COMESA member states attained Rs </w:t>
      </w:r>
      <w:r w:rsidR="00640046">
        <w:rPr>
          <w:sz w:val="24"/>
        </w:rPr>
        <w:t>1</w:t>
      </w:r>
      <w:r w:rsidR="00636026">
        <w:rPr>
          <w:sz w:val="24"/>
        </w:rPr>
        <w:t>1</w:t>
      </w:r>
      <w:r w:rsidR="003A5136">
        <w:rPr>
          <w:sz w:val="24"/>
        </w:rPr>
        <w:t>,</w:t>
      </w:r>
      <w:r w:rsidR="00636026">
        <w:rPr>
          <w:sz w:val="24"/>
        </w:rPr>
        <w:t>242</w:t>
      </w:r>
      <w:r w:rsidRPr="00876342">
        <w:rPr>
          <w:sz w:val="24"/>
        </w:rPr>
        <w:t xml:space="preserve"> million while imports amounted to around Rs </w:t>
      </w:r>
      <w:r w:rsidR="00636026">
        <w:rPr>
          <w:sz w:val="24"/>
        </w:rPr>
        <w:t>10</w:t>
      </w:r>
      <w:r w:rsidRPr="00876342">
        <w:rPr>
          <w:sz w:val="24"/>
        </w:rPr>
        <w:t>,</w:t>
      </w:r>
      <w:r w:rsidR="00636026">
        <w:rPr>
          <w:sz w:val="24"/>
        </w:rPr>
        <w:t>333</w:t>
      </w:r>
      <w:r w:rsidRPr="00876342">
        <w:rPr>
          <w:sz w:val="24"/>
        </w:rPr>
        <w:t xml:space="preserve"> million, resulting in a trade </w:t>
      </w:r>
      <w:r w:rsidR="00A27BED">
        <w:rPr>
          <w:sz w:val="24"/>
        </w:rPr>
        <w:t>surplus</w:t>
      </w:r>
      <w:r w:rsidRPr="00876342">
        <w:rPr>
          <w:sz w:val="24"/>
        </w:rPr>
        <w:t xml:space="preserve"> of Rs </w:t>
      </w:r>
      <w:r w:rsidR="00636026">
        <w:rPr>
          <w:sz w:val="24"/>
        </w:rPr>
        <w:t>909</w:t>
      </w:r>
      <w:r w:rsidRPr="00876342">
        <w:rPr>
          <w:sz w:val="24"/>
        </w:rPr>
        <w:t xml:space="preserve"> million</w:t>
      </w:r>
      <w:r w:rsidRPr="00876342">
        <w:t xml:space="preserve">. </w:t>
      </w:r>
      <w:r w:rsidRPr="00876342">
        <w:rPr>
          <w:sz w:val="24"/>
          <w:szCs w:val="24"/>
        </w:rPr>
        <w:t>M</w:t>
      </w:r>
      <w:r w:rsidRPr="00876342">
        <w:rPr>
          <w:sz w:val="24"/>
        </w:rPr>
        <w:t>adagascar</w:t>
      </w:r>
      <w:r w:rsidR="00E0496D">
        <w:rPr>
          <w:sz w:val="24"/>
        </w:rPr>
        <w:t xml:space="preserve"> (</w:t>
      </w:r>
      <w:r w:rsidR="00636026">
        <w:rPr>
          <w:sz w:val="24"/>
        </w:rPr>
        <w:t>63.2</w:t>
      </w:r>
      <w:r w:rsidR="00E0496D">
        <w:rPr>
          <w:sz w:val="24"/>
        </w:rPr>
        <w:t>%)</w:t>
      </w:r>
      <w:r w:rsidRPr="00876342">
        <w:rPr>
          <w:sz w:val="24"/>
        </w:rPr>
        <w:t xml:space="preserve"> was the main buyer</w:t>
      </w:r>
      <w:r w:rsidR="00E0496D">
        <w:rPr>
          <w:sz w:val="24"/>
        </w:rPr>
        <w:t xml:space="preserve">, </w:t>
      </w:r>
      <w:r w:rsidRPr="00876342">
        <w:rPr>
          <w:sz w:val="24"/>
        </w:rPr>
        <w:t>followed by Kenya (</w:t>
      </w:r>
      <w:r w:rsidR="00636026">
        <w:rPr>
          <w:sz w:val="24"/>
        </w:rPr>
        <w:t>23.3</w:t>
      </w:r>
      <w:r w:rsidRPr="00876342">
        <w:rPr>
          <w:sz w:val="24"/>
        </w:rPr>
        <w:t>%)</w:t>
      </w:r>
      <w:r w:rsidR="00511C13">
        <w:rPr>
          <w:sz w:val="24"/>
        </w:rPr>
        <w:t xml:space="preserve"> and Seychelles (</w:t>
      </w:r>
      <w:r w:rsidR="00640046">
        <w:rPr>
          <w:sz w:val="24"/>
        </w:rPr>
        <w:t>8.</w:t>
      </w:r>
      <w:r w:rsidR="00636026">
        <w:rPr>
          <w:sz w:val="24"/>
        </w:rPr>
        <w:t>7</w:t>
      </w:r>
      <w:r w:rsidR="00511C13">
        <w:rPr>
          <w:sz w:val="24"/>
        </w:rPr>
        <w:t>%)</w:t>
      </w:r>
      <w:r w:rsidRPr="00876342">
        <w:rPr>
          <w:sz w:val="24"/>
        </w:rPr>
        <w:t xml:space="preserve">. Our main suppliers were </w:t>
      </w:r>
      <w:r w:rsidR="00411DBB">
        <w:rPr>
          <w:sz w:val="24"/>
        </w:rPr>
        <w:t>Egypt</w:t>
      </w:r>
      <w:r w:rsidR="00411DBB" w:rsidRPr="00876342">
        <w:rPr>
          <w:sz w:val="24"/>
        </w:rPr>
        <w:t xml:space="preserve"> (</w:t>
      </w:r>
      <w:r w:rsidR="00EA31DD">
        <w:rPr>
          <w:sz w:val="24"/>
        </w:rPr>
        <w:t>32.0</w:t>
      </w:r>
      <w:r w:rsidR="00411DBB" w:rsidRPr="00876342">
        <w:rPr>
          <w:sz w:val="24"/>
        </w:rPr>
        <w:t>%),</w:t>
      </w:r>
      <w:r w:rsidR="00411DBB">
        <w:rPr>
          <w:sz w:val="24"/>
        </w:rPr>
        <w:t xml:space="preserve"> </w:t>
      </w:r>
      <w:r w:rsidRPr="00876342">
        <w:rPr>
          <w:sz w:val="24"/>
        </w:rPr>
        <w:t>Seychelles (</w:t>
      </w:r>
      <w:r w:rsidR="00EA31DD">
        <w:rPr>
          <w:sz w:val="24"/>
        </w:rPr>
        <w:t>27.1</w:t>
      </w:r>
      <w:r w:rsidRPr="00876342">
        <w:rPr>
          <w:sz w:val="24"/>
        </w:rPr>
        <w:t xml:space="preserve">%), </w:t>
      </w:r>
      <w:r w:rsidR="00411DBB" w:rsidRPr="00876342">
        <w:rPr>
          <w:sz w:val="24"/>
        </w:rPr>
        <w:t>Madagascar (1</w:t>
      </w:r>
      <w:r w:rsidR="00D76314">
        <w:rPr>
          <w:sz w:val="24"/>
        </w:rPr>
        <w:t>4</w:t>
      </w:r>
      <w:r w:rsidR="00411DBB">
        <w:rPr>
          <w:sz w:val="24"/>
        </w:rPr>
        <w:t>.1</w:t>
      </w:r>
      <w:r w:rsidR="00411DBB" w:rsidRPr="00876342">
        <w:rPr>
          <w:sz w:val="24"/>
        </w:rPr>
        <w:t>%)</w:t>
      </w:r>
      <w:r w:rsidR="00411DBB">
        <w:rPr>
          <w:sz w:val="24"/>
        </w:rPr>
        <w:t xml:space="preserve"> and </w:t>
      </w:r>
      <w:r w:rsidR="00640046">
        <w:rPr>
          <w:sz w:val="24"/>
        </w:rPr>
        <w:t>Kenya</w:t>
      </w:r>
      <w:r w:rsidRPr="00876342">
        <w:rPr>
          <w:sz w:val="24"/>
        </w:rPr>
        <w:t xml:space="preserve"> </w:t>
      </w:r>
      <w:r w:rsidR="00D76314">
        <w:rPr>
          <w:sz w:val="24"/>
        </w:rPr>
        <w:t>(9.8</w:t>
      </w:r>
      <w:r w:rsidRPr="00876342">
        <w:rPr>
          <w:sz w:val="24"/>
        </w:rPr>
        <w:t>%)</w:t>
      </w:r>
      <w:r w:rsidRPr="00876342">
        <w:rPr>
          <w:sz w:val="24"/>
          <w:szCs w:val="24"/>
        </w:rPr>
        <w:t xml:space="preserve"> </w:t>
      </w:r>
      <w:r w:rsidRPr="00876342">
        <w:rPr>
          <w:i/>
          <w:sz w:val="24"/>
          <w:szCs w:val="24"/>
        </w:rPr>
        <w:t>(Table 15)</w:t>
      </w:r>
      <w:r w:rsidR="00411DBB">
        <w:rPr>
          <w:sz w:val="24"/>
          <w:szCs w:val="24"/>
        </w:rPr>
        <w:t>.</w:t>
      </w:r>
    </w:p>
    <w:p w14:paraId="48390ED3" w14:textId="77777777" w:rsidR="00644A8F" w:rsidRPr="00876342" w:rsidRDefault="00644A8F" w:rsidP="00644A8F">
      <w:pPr>
        <w:tabs>
          <w:tab w:val="num" w:pos="1140"/>
        </w:tabs>
        <w:jc w:val="both"/>
        <w:rPr>
          <w:color w:val="FF0000"/>
          <w:sz w:val="24"/>
          <w:u w:val="single"/>
        </w:rPr>
      </w:pPr>
    </w:p>
    <w:p w14:paraId="4FFA8400" w14:textId="721BBBB3" w:rsidR="00644A8F" w:rsidRPr="005F33B6" w:rsidRDefault="00644A8F" w:rsidP="00644A8F">
      <w:pPr>
        <w:pStyle w:val="BodyText"/>
      </w:pPr>
      <w:r w:rsidRPr="00876342">
        <w:t xml:space="preserve">Trade with SADC countries showed a deficit of Rs </w:t>
      </w:r>
      <w:r w:rsidR="004562C0">
        <w:t>9</w:t>
      </w:r>
      <w:r w:rsidRPr="00876342">
        <w:t>,</w:t>
      </w:r>
      <w:r w:rsidR="00411F7F">
        <w:t>5</w:t>
      </w:r>
      <w:r w:rsidR="004562C0">
        <w:t>98</w:t>
      </w:r>
      <w:r w:rsidRPr="00876342">
        <w:t xml:space="preserve"> million, resulting from imports of </w:t>
      </w:r>
      <w:r w:rsidR="00BE4494">
        <w:br/>
      </w:r>
      <w:r w:rsidRPr="00876342">
        <w:t xml:space="preserve">Rs </w:t>
      </w:r>
      <w:r w:rsidR="004562C0">
        <w:t>27</w:t>
      </w:r>
      <w:r w:rsidR="00E34636">
        <w:t>,</w:t>
      </w:r>
      <w:r w:rsidR="004562C0">
        <w:t>73</w:t>
      </w:r>
      <w:r w:rsidR="003D0F4D">
        <w:t>7</w:t>
      </w:r>
      <w:r w:rsidRPr="00876342">
        <w:t xml:space="preserve"> million against exports worth Rs </w:t>
      </w:r>
      <w:r w:rsidR="00C326DA">
        <w:t>1</w:t>
      </w:r>
      <w:r w:rsidR="004562C0">
        <w:t>8</w:t>
      </w:r>
      <w:r w:rsidRPr="00876342">
        <w:t>,</w:t>
      </w:r>
      <w:r w:rsidR="004562C0">
        <w:t>139</w:t>
      </w:r>
      <w:r w:rsidRPr="00876342">
        <w:t xml:space="preserve"> million.</w:t>
      </w:r>
      <w:r w:rsidRPr="00876342">
        <w:rPr>
          <w:color w:val="FF0000"/>
        </w:rPr>
        <w:t xml:space="preserve"> </w:t>
      </w:r>
      <w:r w:rsidRPr="00876342">
        <w:t>The main buyers were South Africa</w:t>
      </w:r>
      <w:r w:rsidR="00411F7F">
        <w:t xml:space="preserve"> </w:t>
      </w:r>
      <w:r w:rsidRPr="00876342">
        <w:t>(</w:t>
      </w:r>
      <w:r w:rsidR="004562C0">
        <w:t>52.2</w:t>
      </w:r>
      <w:r w:rsidRPr="00876342">
        <w:t>%) and Madagascar (</w:t>
      </w:r>
      <w:r w:rsidR="004562C0">
        <w:t>39.2</w:t>
      </w:r>
      <w:r w:rsidRPr="00876342">
        <w:t>%) and the main suppliers were South Africa (</w:t>
      </w:r>
      <w:r w:rsidR="00C326DA">
        <w:t>74.</w:t>
      </w:r>
      <w:r w:rsidR="000F1D5F">
        <w:t>5</w:t>
      </w:r>
      <w:r w:rsidRPr="00876342">
        <w:t>%)</w:t>
      </w:r>
      <w:r w:rsidR="000F1D5F">
        <w:t>,</w:t>
      </w:r>
      <w:r w:rsidRPr="00876342">
        <w:t xml:space="preserve"> Seychelles</w:t>
      </w:r>
      <w:r w:rsidR="000F1D5F">
        <w:t xml:space="preserve"> (1</w:t>
      </w:r>
      <w:r w:rsidR="008A20FD">
        <w:t>0.1</w:t>
      </w:r>
      <w:r w:rsidR="000F1D5F">
        <w:t>%) and Madagascar</w:t>
      </w:r>
      <w:r w:rsidRPr="00876342">
        <w:t xml:space="preserve"> (</w:t>
      </w:r>
      <w:r w:rsidR="008A20FD">
        <w:t>5.3</w:t>
      </w:r>
      <w:r w:rsidRPr="00876342">
        <w:t xml:space="preserve">%). </w:t>
      </w:r>
      <w:r w:rsidRPr="00876342">
        <w:rPr>
          <w:i/>
        </w:rPr>
        <w:t>(Table 16)</w:t>
      </w:r>
    </w:p>
    <w:p w14:paraId="58A6DB8D" w14:textId="77777777" w:rsidR="00644A8F" w:rsidRPr="0022727A" w:rsidRDefault="00644A8F" w:rsidP="00644A8F">
      <w:pPr>
        <w:pStyle w:val="BodyText"/>
        <w:rPr>
          <w:color w:val="FF0000"/>
        </w:rPr>
      </w:pPr>
    </w:p>
    <w:p w14:paraId="14418B1D" w14:textId="77777777" w:rsidR="00CE6990" w:rsidRDefault="00CE6990" w:rsidP="00644A8F">
      <w:pPr>
        <w:jc w:val="both"/>
        <w:rPr>
          <w:b/>
          <w:sz w:val="24"/>
        </w:rPr>
      </w:pPr>
    </w:p>
    <w:p w14:paraId="318297AD" w14:textId="77777777" w:rsidR="008D336A" w:rsidRDefault="008D336A" w:rsidP="00644A8F">
      <w:pPr>
        <w:jc w:val="both"/>
        <w:rPr>
          <w:b/>
          <w:sz w:val="24"/>
        </w:rPr>
      </w:pPr>
    </w:p>
    <w:p w14:paraId="7A018DE7" w14:textId="77777777" w:rsidR="00644A8F" w:rsidRPr="00454803" w:rsidRDefault="00644A8F" w:rsidP="00644A8F">
      <w:pPr>
        <w:jc w:val="both"/>
        <w:rPr>
          <w:b/>
          <w:sz w:val="24"/>
        </w:rPr>
      </w:pPr>
      <w:r w:rsidRPr="00454803">
        <w:rPr>
          <w:b/>
          <w:sz w:val="24"/>
        </w:rPr>
        <w:t xml:space="preserve">6. Trade in Freeport Zone – Year </w:t>
      </w:r>
      <w:r w:rsidR="000A1412">
        <w:rPr>
          <w:b/>
          <w:sz w:val="24"/>
        </w:rPr>
        <w:t>2025</w:t>
      </w:r>
    </w:p>
    <w:p w14:paraId="28ADD0C1" w14:textId="77777777" w:rsidR="00644A8F" w:rsidRPr="0022727A" w:rsidRDefault="00644A8F" w:rsidP="00644A8F">
      <w:pPr>
        <w:jc w:val="both"/>
        <w:rPr>
          <w:color w:val="FF0000"/>
          <w:sz w:val="24"/>
        </w:rPr>
      </w:pPr>
    </w:p>
    <w:p w14:paraId="2F2E3D14" w14:textId="77777777" w:rsidR="00644A8F" w:rsidRPr="0092726F" w:rsidRDefault="00644A8F" w:rsidP="00644A8F">
      <w:pPr>
        <w:jc w:val="both"/>
        <w:rPr>
          <w:sz w:val="24"/>
          <w:szCs w:val="24"/>
        </w:rPr>
      </w:pPr>
      <w:r w:rsidRPr="0092726F">
        <w:rPr>
          <w:sz w:val="24"/>
          <w:szCs w:val="24"/>
        </w:rPr>
        <w:t xml:space="preserve">For the year </w:t>
      </w:r>
      <w:r w:rsidR="000A1412">
        <w:rPr>
          <w:sz w:val="24"/>
          <w:szCs w:val="24"/>
        </w:rPr>
        <w:t>2025</w:t>
      </w:r>
      <w:r w:rsidRPr="0092726F">
        <w:rPr>
          <w:sz w:val="24"/>
          <w:szCs w:val="24"/>
        </w:rPr>
        <w:t xml:space="preserve">, total imports of the Freeport Zone stood at Rs </w:t>
      </w:r>
      <w:r w:rsidR="00DE3278">
        <w:rPr>
          <w:sz w:val="24"/>
          <w:szCs w:val="24"/>
        </w:rPr>
        <w:t>1</w:t>
      </w:r>
      <w:r w:rsidR="005206DB">
        <w:rPr>
          <w:sz w:val="24"/>
          <w:szCs w:val="24"/>
        </w:rPr>
        <w:t>1</w:t>
      </w:r>
      <w:r w:rsidRPr="0092726F">
        <w:rPr>
          <w:sz w:val="24"/>
          <w:szCs w:val="24"/>
        </w:rPr>
        <w:t>,</w:t>
      </w:r>
      <w:r w:rsidR="00907D2F">
        <w:rPr>
          <w:sz w:val="24"/>
          <w:szCs w:val="24"/>
        </w:rPr>
        <w:t>917</w:t>
      </w:r>
      <w:r w:rsidRPr="0092726F">
        <w:rPr>
          <w:sz w:val="24"/>
          <w:szCs w:val="24"/>
        </w:rPr>
        <w:t xml:space="preserve"> million, </w:t>
      </w:r>
      <w:r w:rsidR="00907D2F">
        <w:rPr>
          <w:sz w:val="24"/>
          <w:szCs w:val="24"/>
        </w:rPr>
        <w:t>low</w:t>
      </w:r>
      <w:r w:rsidR="00EC66A0">
        <w:rPr>
          <w:sz w:val="24"/>
          <w:szCs w:val="24"/>
        </w:rPr>
        <w:t>e</w:t>
      </w:r>
      <w:r w:rsidR="00FB378C">
        <w:rPr>
          <w:sz w:val="24"/>
          <w:szCs w:val="24"/>
        </w:rPr>
        <w:t>r</w:t>
      </w:r>
      <w:r w:rsidRPr="0092726F">
        <w:rPr>
          <w:sz w:val="24"/>
          <w:szCs w:val="24"/>
        </w:rPr>
        <w:t xml:space="preserve"> by </w:t>
      </w:r>
      <w:r w:rsidR="00907D2F">
        <w:rPr>
          <w:sz w:val="24"/>
          <w:szCs w:val="24"/>
        </w:rPr>
        <w:t>2.5</w:t>
      </w:r>
      <w:r w:rsidRPr="0092726F">
        <w:rPr>
          <w:sz w:val="24"/>
          <w:szCs w:val="24"/>
        </w:rPr>
        <w:t xml:space="preserve">% compared to </w:t>
      </w:r>
      <w:r w:rsidR="000A1412">
        <w:rPr>
          <w:sz w:val="24"/>
          <w:szCs w:val="24"/>
        </w:rPr>
        <w:t>2024</w:t>
      </w:r>
      <w:r w:rsidRPr="0092726F">
        <w:rPr>
          <w:sz w:val="24"/>
          <w:szCs w:val="24"/>
        </w:rPr>
        <w:t xml:space="preserve"> – (</w:t>
      </w:r>
      <w:r w:rsidRPr="0092726F">
        <w:rPr>
          <w:i/>
          <w:sz w:val="24"/>
          <w:szCs w:val="24"/>
        </w:rPr>
        <w:t>Table 12</w:t>
      </w:r>
      <w:r w:rsidRPr="0092726F">
        <w:rPr>
          <w:sz w:val="24"/>
          <w:szCs w:val="24"/>
        </w:rPr>
        <w:t xml:space="preserve">).  </w:t>
      </w:r>
    </w:p>
    <w:p w14:paraId="1BE9EE40" w14:textId="77777777" w:rsidR="00644A8F" w:rsidRPr="003A488F" w:rsidRDefault="00644A8F" w:rsidP="00644A8F">
      <w:pPr>
        <w:jc w:val="both"/>
        <w:rPr>
          <w:sz w:val="24"/>
          <w:szCs w:val="24"/>
          <w:highlight w:val="yellow"/>
        </w:rPr>
      </w:pPr>
    </w:p>
    <w:p w14:paraId="7865D9C0" w14:textId="76751175" w:rsidR="00644A8F" w:rsidRPr="000E77AA" w:rsidRDefault="00644A8F" w:rsidP="00644A8F">
      <w:pPr>
        <w:jc w:val="both"/>
        <w:rPr>
          <w:sz w:val="24"/>
          <w:szCs w:val="24"/>
        </w:rPr>
      </w:pPr>
      <w:r w:rsidRPr="00DB3AFD">
        <w:rPr>
          <w:sz w:val="24"/>
          <w:szCs w:val="24"/>
        </w:rPr>
        <w:t xml:space="preserve">The main imports of the Freeport zone were </w:t>
      </w:r>
      <w:r w:rsidR="00041DCA" w:rsidRPr="00DB3AFD">
        <w:rPr>
          <w:sz w:val="24"/>
          <w:szCs w:val="24"/>
        </w:rPr>
        <w:t xml:space="preserve">“Chemicals and related products, </w:t>
      </w:r>
      <w:proofErr w:type="spellStart"/>
      <w:r w:rsidR="00041DCA" w:rsidRPr="00DB3AFD">
        <w:rPr>
          <w:sz w:val="24"/>
          <w:szCs w:val="24"/>
        </w:rPr>
        <w:t>n.e.s.</w:t>
      </w:r>
      <w:proofErr w:type="spellEnd"/>
      <w:r w:rsidR="00041DCA" w:rsidRPr="00DB3AFD">
        <w:rPr>
          <w:sz w:val="24"/>
          <w:szCs w:val="24"/>
        </w:rPr>
        <w:t>”</w:t>
      </w:r>
      <w:r w:rsidR="00041DCA">
        <w:rPr>
          <w:sz w:val="24"/>
          <w:szCs w:val="24"/>
        </w:rPr>
        <w:t>,</w:t>
      </w:r>
      <w:r w:rsidR="00041DCA" w:rsidRPr="00DB3AFD">
        <w:rPr>
          <w:sz w:val="24"/>
          <w:szCs w:val="24"/>
        </w:rPr>
        <w:t xml:space="preserve"> </w:t>
      </w:r>
      <w:r w:rsidR="00E82705" w:rsidRPr="00DB3AFD">
        <w:rPr>
          <w:sz w:val="24"/>
          <w:szCs w:val="24"/>
        </w:rPr>
        <w:t>“Food and live animals” and</w:t>
      </w:r>
      <w:r w:rsidR="00E82705">
        <w:rPr>
          <w:sz w:val="24"/>
          <w:szCs w:val="24"/>
        </w:rPr>
        <w:t xml:space="preserve"> </w:t>
      </w:r>
      <w:r w:rsidR="00700C6A">
        <w:rPr>
          <w:sz w:val="24"/>
          <w:szCs w:val="24"/>
        </w:rPr>
        <w:t>“</w:t>
      </w:r>
      <w:r w:rsidR="00700C6A" w:rsidRPr="003A488F">
        <w:rPr>
          <w:sz w:val="24"/>
          <w:szCs w:val="24"/>
        </w:rPr>
        <w:t>Miscellaneous manufactured articles</w:t>
      </w:r>
      <w:r w:rsidR="00700C6A" w:rsidRPr="000E77AA">
        <w:rPr>
          <w:sz w:val="24"/>
          <w:szCs w:val="24"/>
        </w:rPr>
        <w:t>”</w:t>
      </w:r>
      <w:r w:rsidR="00E82705">
        <w:rPr>
          <w:sz w:val="24"/>
          <w:szCs w:val="24"/>
        </w:rPr>
        <w:t xml:space="preserve"> </w:t>
      </w:r>
      <w:r w:rsidRPr="00DB3AFD">
        <w:rPr>
          <w:sz w:val="24"/>
          <w:szCs w:val="24"/>
        </w:rPr>
        <w:t xml:space="preserve">with a share of </w:t>
      </w:r>
      <w:r w:rsidR="00637B34">
        <w:rPr>
          <w:sz w:val="24"/>
          <w:szCs w:val="24"/>
        </w:rPr>
        <w:t>2</w:t>
      </w:r>
      <w:r w:rsidR="0011607D">
        <w:rPr>
          <w:sz w:val="24"/>
          <w:szCs w:val="24"/>
        </w:rPr>
        <w:t>3.0</w:t>
      </w:r>
      <w:r w:rsidR="00637B34">
        <w:rPr>
          <w:sz w:val="24"/>
          <w:szCs w:val="24"/>
        </w:rPr>
        <w:t xml:space="preserve">%, </w:t>
      </w:r>
      <w:r w:rsidR="00E82705">
        <w:rPr>
          <w:sz w:val="24"/>
          <w:szCs w:val="24"/>
        </w:rPr>
        <w:t>2</w:t>
      </w:r>
      <w:r w:rsidR="0011607D">
        <w:rPr>
          <w:sz w:val="24"/>
          <w:szCs w:val="24"/>
        </w:rPr>
        <w:t>2.3</w:t>
      </w:r>
      <w:r w:rsidRPr="00DB3AFD">
        <w:rPr>
          <w:sz w:val="24"/>
          <w:szCs w:val="24"/>
        </w:rPr>
        <w:t xml:space="preserve">% and </w:t>
      </w:r>
      <w:r w:rsidR="00041DCA">
        <w:rPr>
          <w:sz w:val="24"/>
          <w:szCs w:val="24"/>
        </w:rPr>
        <w:t>2</w:t>
      </w:r>
      <w:r w:rsidR="0011607D">
        <w:rPr>
          <w:sz w:val="24"/>
          <w:szCs w:val="24"/>
        </w:rPr>
        <w:t>1.5</w:t>
      </w:r>
      <w:r w:rsidRPr="00DB3AFD">
        <w:rPr>
          <w:sz w:val="24"/>
          <w:szCs w:val="24"/>
        </w:rPr>
        <w:t>%</w:t>
      </w:r>
      <w:r w:rsidR="00BE4494">
        <w:rPr>
          <w:sz w:val="24"/>
          <w:szCs w:val="24"/>
        </w:rPr>
        <w:t>,</w:t>
      </w:r>
      <w:r w:rsidRPr="00DB3AFD">
        <w:rPr>
          <w:sz w:val="24"/>
          <w:szCs w:val="24"/>
        </w:rPr>
        <w:t xml:space="preserve"> respectively.</w:t>
      </w:r>
      <w:r w:rsidRPr="000E77AA">
        <w:rPr>
          <w:sz w:val="24"/>
          <w:szCs w:val="24"/>
        </w:rPr>
        <w:t xml:space="preserve">  </w:t>
      </w:r>
    </w:p>
    <w:p w14:paraId="765F860B" w14:textId="77777777" w:rsidR="00644A8F" w:rsidRPr="000E77AA" w:rsidRDefault="00644A8F" w:rsidP="00644A8F">
      <w:pPr>
        <w:jc w:val="both"/>
        <w:rPr>
          <w:sz w:val="24"/>
          <w:szCs w:val="24"/>
        </w:rPr>
      </w:pPr>
    </w:p>
    <w:p w14:paraId="49A65865" w14:textId="2CFCB9EA" w:rsidR="00644A8F" w:rsidRDefault="00644A8F" w:rsidP="00644A8F">
      <w:pPr>
        <w:jc w:val="both"/>
        <w:rPr>
          <w:sz w:val="24"/>
          <w:szCs w:val="24"/>
        </w:rPr>
      </w:pPr>
      <w:r w:rsidRPr="000E77AA">
        <w:rPr>
          <w:sz w:val="24"/>
          <w:szCs w:val="24"/>
        </w:rPr>
        <w:t xml:space="preserve">Freeport re-exports were valued at Rs </w:t>
      </w:r>
      <w:r w:rsidR="003A488F">
        <w:rPr>
          <w:sz w:val="24"/>
          <w:szCs w:val="24"/>
        </w:rPr>
        <w:t>1</w:t>
      </w:r>
      <w:r w:rsidR="00FC5D59">
        <w:rPr>
          <w:sz w:val="24"/>
          <w:szCs w:val="24"/>
        </w:rPr>
        <w:t>4</w:t>
      </w:r>
      <w:r w:rsidR="004E207E">
        <w:rPr>
          <w:sz w:val="24"/>
          <w:szCs w:val="24"/>
        </w:rPr>
        <w:t>,</w:t>
      </w:r>
      <w:r w:rsidR="00EB2815">
        <w:rPr>
          <w:sz w:val="24"/>
          <w:szCs w:val="24"/>
        </w:rPr>
        <w:t>112</w:t>
      </w:r>
      <w:r w:rsidRPr="000E77AA">
        <w:rPr>
          <w:sz w:val="24"/>
          <w:szCs w:val="24"/>
        </w:rPr>
        <w:t xml:space="preserve"> million, representing a</w:t>
      </w:r>
      <w:r w:rsidR="00EB2815">
        <w:rPr>
          <w:sz w:val="24"/>
          <w:szCs w:val="24"/>
        </w:rPr>
        <w:t xml:space="preserve"> de</w:t>
      </w:r>
      <w:r w:rsidRPr="000E77AA">
        <w:rPr>
          <w:sz w:val="24"/>
          <w:szCs w:val="24"/>
        </w:rPr>
        <w:t xml:space="preserve">crease of </w:t>
      </w:r>
      <w:r w:rsidR="00EB2815">
        <w:rPr>
          <w:sz w:val="24"/>
          <w:szCs w:val="24"/>
        </w:rPr>
        <w:t>3.7</w:t>
      </w:r>
      <w:r w:rsidRPr="000E77AA">
        <w:rPr>
          <w:sz w:val="24"/>
          <w:szCs w:val="24"/>
        </w:rPr>
        <w:t xml:space="preserve">% compared to </w:t>
      </w:r>
      <w:r w:rsidR="000A1412">
        <w:rPr>
          <w:sz w:val="24"/>
          <w:szCs w:val="24"/>
        </w:rPr>
        <w:t>2024</w:t>
      </w:r>
      <w:r w:rsidRPr="000E77AA">
        <w:rPr>
          <w:sz w:val="24"/>
          <w:szCs w:val="24"/>
        </w:rPr>
        <w:t xml:space="preserve"> – (</w:t>
      </w:r>
      <w:r w:rsidRPr="000E77AA">
        <w:rPr>
          <w:i/>
          <w:sz w:val="24"/>
          <w:szCs w:val="24"/>
        </w:rPr>
        <w:t>Table 6</w:t>
      </w:r>
      <w:r>
        <w:rPr>
          <w:sz w:val="24"/>
          <w:szCs w:val="24"/>
        </w:rPr>
        <w:t xml:space="preserve">).  </w:t>
      </w:r>
      <w:r w:rsidR="00C41D2B">
        <w:rPr>
          <w:sz w:val="24"/>
          <w:szCs w:val="24"/>
        </w:rPr>
        <w:t xml:space="preserve">The main </w:t>
      </w:r>
      <w:r w:rsidR="00647494">
        <w:rPr>
          <w:sz w:val="24"/>
          <w:szCs w:val="24"/>
        </w:rPr>
        <w:t>re-</w:t>
      </w:r>
      <w:r w:rsidR="00C41D2B">
        <w:rPr>
          <w:sz w:val="24"/>
          <w:szCs w:val="24"/>
        </w:rPr>
        <w:t xml:space="preserve">exports were </w:t>
      </w:r>
      <w:r w:rsidR="00C93AC4">
        <w:rPr>
          <w:sz w:val="24"/>
          <w:szCs w:val="24"/>
        </w:rPr>
        <w:t>“</w:t>
      </w:r>
      <w:r w:rsidR="00C93AC4" w:rsidRPr="003A488F">
        <w:rPr>
          <w:sz w:val="24"/>
          <w:szCs w:val="24"/>
        </w:rPr>
        <w:t>Miscellaneous manufactured articles</w:t>
      </w:r>
      <w:r w:rsidR="00C93AC4" w:rsidRPr="000E77AA">
        <w:rPr>
          <w:sz w:val="24"/>
          <w:szCs w:val="24"/>
        </w:rPr>
        <w:t>”</w:t>
      </w:r>
      <w:r w:rsidR="00C93AC4">
        <w:rPr>
          <w:sz w:val="24"/>
          <w:szCs w:val="24"/>
        </w:rPr>
        <w:t>,</w:t>
      </w:r>
      <w:r w:rsidR="00C93AC4" w:rsidRPr="000E77AA">
        <w:rPr>
          <w:sz w:val="24"/>
          <w:szCs w:val="24"/>
        </w:rPr>
        <w:t xml:space="preserve"> </w:t>
      </w:r>
      <w:r w:rsidR="00473144" w:rsidRPr="000E77AA">
        <w:rPr>
          <w:sz w:val="24"/>
          <w:szCs w:val="24"/>
        </w:rPr>
        <w:t>“</w:t>
      </w:r>
      <w:r w:rsidR="00473144" w:rsidRPr="003A488F">
        <w:rPr>
          <w:sz w:val="24"/>
          <w:szCs w:val="24"/>
        </w:rPr>
        <w:t>Food and live animals</w:t>
      </w:r>
      <w:r w:rsidR="00473144" w:rsidRPr="000E77AA">
        <w:rPr>
          <w:sz w:val="24"/>
          <w:szCs w:val="24"/>
        </w:rPr>
        <w:t>”</w:t>
      </w:r>
      <w:r w:rsidR="00473144">
        <w:rPr>
          <w:sz w:val="24"/>
          <w:szCs w:val="24"/>
        </w:rPr>
        <w:t xml:space="preserve"> </w:t>
      </w:r>
      <w:r w:rsidR="00FC5D59">
        <w:rPr>
          <w:sz w:val="24"/>
          <w:szCs w:val="24"/>
        </w:rPr>
        <w:t>and</w:t>
      </w:r>
      <w:r w:rsidRPr="000E77AA">
        <w:rPr>
          <w:sz w:val="24"/>
          <w:szCs w:val="24"/>
        </w:rPr>
        <w:t xml:space="preserve"> </w:t>
      </w:r>
      <w:r w:rsidR="00FC5D59" w:rsidRPr="00DB3AFD">
        <w:rPr>
          <w:sz w:val="24"/>
          <w:szCs w:val="24"/>
        </w:rPr>
        <w:t xml:space="preserve">“Chemicals and related products, </w:t>
      </w:r>
      <w:proofErr w:type="spellStart"/>
      <w:r w:rsidR="00FC5D59" w:rsidRPr="00DB3AFD">
        <w:rPr>
          <w:sz w:val="24"/>
          <w:szCs w:val="24"/>
        </w:rPr>
        <w:t>n.e.s.</w:t>
      </w:r>
      <w:proofErr w:type="spellEnd"/>
      <w:r w:rsidR="00FC5D59" w:rsidRPr="00DB3AFD">
        <w:rPr>
          <w:sz w:val="24"/>
          <w:szCs w:val="24"/>
        </w:rPr>
        <w:t>”</w:t>
      </w:r>
      <w:r w:rsidR="00647494">
        <w:rPr>
          <w:sz w:val="24"/>
          <w:szCs w:val="24"/>
        </w:rPr>
        <w:t>,</w:t>
      </w:r>
      <w:r w:rsidR="00FC5D59">
        <w:rPr>
          <w:sz w:val="24"/>
          <w:szCs w:val="24"/>
        </w:rPr>
        <w:t xml:space="preserve"> </w:t>
      </w:r>
      <w:r w:rsidRPr="000E77AA">
        <w:rPr>
          <w:sz w:val="24"/>
          <w:szCs w:val="24"/>
        </w:rPr>
        <w:t xml:space="preserve">with a share of </w:t>
      </w:r>
      <w:r w:rsidR="003A488F">
        <w:rPr>
          <w:sz w:val="24"/>
          <w:szCs w:val="24"/>
        </w:rPr>
        <w:t>3</w:t>
      </w:r>
      <w:r w:rsidR="00FC5D59">
        <w:rPr>
          <w:sz w:val="24"/>
          <w:szCs w:val="24"/>
        </w:rPr>
        <w:t>2</w:t>
      </w:r>
      <w:r w:rsidR="00473144">
        <w:rPr>
          <w:sz w:val="24"/>
          <w:szCs w:val="24"/>
        </w:rPr>
        <w:t>.</w:t>
      </w:r>
      <w:r w:rsidR="00C93AC4">
        <w:rPr>
          <w:sz w:val="24"/>
          <w:szCs w:val="24"/>
        </w:rPr>
        <w:t>4</w:t>
      </w:r>
      <w:r w:rsidRPr="000E77AA">
        <w:rPr>
          <w:sz w:val="24"/>
          <w:szCs w:val="24"/>
        </w:rPr>
        <w:t>%</w:t>
      </w:r>
      <w:r w:rsidR="00FC5D59">
        <w:rPr>
          <w:sz w:val="24"/>
          <w:szCs w:val="24"/>
        </w:rPr>
        <w:t xml:space="preserve">, </w:t>
      </w:r>
      <w:r w:rsidR="00C93AC4">
        <w:rPr>
          <w:sz w:val="24"/>
          <w:szCs w:val="24"/>
        </w:rPr>
        <w:t>24.7</w:t>
      </w:r>
      <w:r w:rsidR="00FC5D59">
        <w:rPr>
          <w:sz w:val="24"/>
          <w:szCs w:val="24"/>
        </w:rPr>
        <w:t>%</w:t>
      </w:r>
      <w:r w:rsidRPr="000E77AA">
        <w:rPr>
          <w:sz w:val="24"/>
          <w:szCs w:val="24"/>
        </w:rPr>
        <w:t xml:space="preserve"> and </w:t>
      </w:r>
      <w:r w:rsidR="00FC5D59">
        <w:rPr>
          <w:sz w:val="24"/>
          <w:szCs w:val="24"/>
        </w:rPr>
        <w:t>1</w:t>
      </w:r>
      <w:r w:rsidR="00C93AC4">
        <w:rPr>
          <w:sz w:val="24"/>
          <w:szCs w:val="24"/>
        </w:rPr>
        <w:t>7.8</w:t>
      </w:r>
      <w:r w:rsidRPr="000E77AA">
        <w:rPr>
          <w:sz w:val="24"/>
          <w:szCs w:val="24"/>
        </w:rPr>
        <w:t>%</w:t>
      </w:r>
      <w:r w:rsidR="00BE4494">
        <w:rPr>
          <w:sz w:val="24"/>
          <w:szCs w:val="24"/>
        </w:rPr>
        <w:t>,</w:t>
      </w:r>
      <w:r w:rsidRPr="000E77AA">
        <w:rPr>
          <w:sz w:val="24"/>
          <w:szCs w:val="24"/>
        </w:rPr>
        <w:t xml:space="preserve"> r</w:t>
      </w:r>
      <w:r>
        <w:rPr>
          <w:sz w:val="24"/>
          <w:szCs w:val="24"/>
        </w:rPr>
        <w:t>espectively</w:t>
      </w:r>
      <w:r w:rsidRPr="000E77AA">
        <w:rPr>
          <w:sz w:val="24"/>
          <w:szCs w:val="24"/>
        </w:rPr>
        <w:t>.</w:t>
      </w:r>
    </w:p>
    <w:p w14:paraId="2935ADD8" w14:textId="77777777" w:rsidR="002147EC" w:rsidRDefault="002147EC" w:rsidP="00644A8F">
      <w:pPr>
        <w:jc w:val="both"/>
        <w:rPr>
          <w:sz w:val="24"/>
          <w:szCs w:val="24"/>
        </w:rPr>
      </w:pPr>
    </w:p>
    <w:p w14:paraId="0B5AFE34" w14:textId="77777777" w:rsidR="002147EC" w:rsidRDefault="002147EC" w:rsidP="00644A8F">
      <w:pPr>
        <w:jc w:val="both"/>
        <w:rPr>
          <w:sz w:val="24"/>
          <w:szCs w:val="24"/>
        </w:rPr>
      </w:pPr>
    </w:p>
    <w:p w14:paraId="3CD6D65A" w14:textId="77777777" w:rsidR="002147EC" w:rsidRPr="008E4016" w:rsidRDefault="002147EC" w:rsidP="002147EC">
      <w:pPr>
        <w:jc w:val="both"/>
        <w:rPr>
          <w:b/>
          <w:sz w:val="24"/>
        </w:rPr>
      </w:pPr>
      <w:r w:rsidRPr="008E4016">
        <w:rPr>
          <w:b/>
          <w:sz w:val="24"/>
        </w:rPr>
        <w:t>7. Forecast</w:t>
      </w:r>
      <w:r>
        <w:rPr>
          <w:b/>
          <w:sz w:val="24"/>
        </w:rPr>
        <w:t xml:space="preserve"> for the year</w:t>
      </w:r>
      <w:r w:rsidRPr="008E4016">
        <w:rPr>
          <w:b/>
          <w:sz w:val="24"/>
        </w:rPr>
        <w:t xml:space="preserve"> 202</w:t>
      </w:r>
      <w:r w:rsidR="00C93AC4">
        <w:rPr>
          <w:b/>
          <w:sz w:val="24"/>
        </w:rPr>
        <w:t>6</w:t>
      </w:r>
    </w:p>
    <w:p w14:paraId="18E9FCC9" w14:textId="77777777" w:rsidR="002147EC" w:rsidRPr="007E4F6A" w:rsidRDefault="002147EC" w:rsidP="002147EC">
      <w:pPr>
        <w:pStyle w:val="BodyText"/>
        <w:tabs>
          <w:tab w:val="clear" w:pos="1140"/>
        </w:tabs>
        <w:ind w:firstLine="1170"/>
        <w:rPr>
          <w:color w:val="FF0000"/>
          <w:sz w:val="16"/>
        </w:rPr>
      </w:pPr>
    </w:p>
    <w:p w14:paraId="63936670" w14:textId="21DF1832" w:rsidR="002147EC" w:rsidRPr="00DD10B1" w:rsidRDefault="002147EC" w:rsidP="002147EC">
      <w:pPr>
        <w:ind w:right="245"/>
        <w:jc w:val="both"/>
        <w:rPr>
          <w:sz w:val="24"/>
          <w:szCs w:val="24"/>
          <w:lang w:val="en-MU"/>
        </w:rPr>
      </w:pPr>
      <w:r w:rsidRPr="00DD10B1">
        <w:rPr>
          <w:sz w:val="24"/>
          <w:szCs w:val="24"/>
          <w:lang w:val="en-MU"/>
        </w:rPr>
        <w:t xml:space="preserve">Based on trends and information from various sources, the forecast </w:t>
      </w:r>
      <w:r>
        <w:rPr>
          <w:sz w:val="24"/>
          <w:szCs w:val="24"/>
          <w:lang w:val="en-GB"/>
        </w:rPr>
        <w:t>of</w:t>
      </w:r>
      <w:r w:rsidRPr="00DD10B1">
        <w:rPr>
          <w:sz w:val="24"/>
          <w:szCs w:val="24"/>
          <w:lang w:val="en-MU"/>
        </w:rPr>
        <w:t xml:space="preserve"> total exports </w:t>
      </w:r>
      <w:r>
        <w:rPr>
          <w:sz w:val="24"/>
          <w:szCs w:val="24"/>
          <w:lang w:val="en-GB"/>
        </w:rPr>
        <w:t xml:space="preserve">for </w:t>
      </w:r>
      <w:r w:rsidR="00BE4494">
        <w:rPr>
          <w:sz w:val="24"/>
          <w:szCs w:val="24"/>
          <w:lang w:val="en-GB"/>
        </w:rPr>
        <w:t xml:space="preserve">2026 is estimated at around Rs 110 billion, 1.9% higher than the total exports of </w:t>
      </w:r>
      <w:r w:rsidR="00CB1661">
        <w:rPr>
          <w:sz w:val="24"/>
          <w:szCs w:val="24"/>
          <w:lang w:val="en-GB"/>
        </w:rPr>
        <w:t xml:space="preserve">around </w:t>
      </w:r>
      <w:r w:rsidR="00CB1661">
        <w:rPr>
          <w:sz w:val="24"/>
          <w:szCs w:val="24"/>
          <w:lang w:val="en-GB"/>
        </w:rPr>
        <w:br/>
      </w:r>
      <w:r w:rsidR="00BE4494">
        <w:rPr>
          <w:sz w:val="24"/>
          <w:szCs w:val="24"/>
          <w:lang w:val="en-GB"/>
        </w:rPr>
        <w:t xml:space="preserve">Rs 108 billion in 2025. The total imports will be around Rs 320 billion, 0.3% higher than the total imports </w:t>
      </w:r>
      <w:r w:rsidR="0066127B">
        <w:rPr>
          <w:sz w:val="24"/>
          <w:szCs w:val="24"/>
          <w:lang w:val="en-GB"/>
        </w:rPr>
        <w:t xml:space="preserve">of </w:t>
      </w:r>
      <w:r w:rsidR="0058344D">
        <w:rPr>
          <w:sz w:val="24"/>
          <w:szCs w:val="24"/>
          <w:lang w:val="en-GB"/>
        </w:rPr>
        <w:t xml:space="preserve">around </w:t>
      </w:r>
      <w:r w:rsidR="0066127B">
        <w:rPr>
          <w:sz w:val="24"/>
          <w:szCs w:val="24"/>
          <w:lang w:val="en-GB"/>
        </w:rPr>
        <w:t>Rs</w:t>
      </w:r>
      <w:r w:rsidR="00BE4494">
        <w:rPr>
          <w:sz w:val="24"/>
          <w:szCs w:val="24"/>
          <w:lang w:val="en-GB"/>
        </w:rPr>
        <w:t xml:space="preserve"> 319 billion in 2025.</w:t>
      </w:r>
    </w:p>
    <w:p w14:paraId="28CDB21A" w14:textId="77777777" w:rsidR="002147EC" w:rsidRPr="00DD10B1" w:rsidRDefault="002147EC" w:rsidP="002147EC">
      <w:pPr>
        <w:ind w:right="245"/>
        <w:jc w:val="both"/>
        <w:rPr>
          <w:sz w:val="24"/>
          <w:szCs w:val="24"/>
          <w:lang w:val="en-MU"/>
        </w:rPr>
      </w:pPr>
    </w:p>
    <w:p w14:paraId="763659FF" w14:textId="16A95573" w:rsidR="002147EC" w:rsidRPr="00BE4494" w:rsidRDefault="002147EC" w:rsidP="002147EC">
      <w:pPr>
        <w:ind w:right="245"/>
        <w:jc w:val="both"/>
        <w:rPr>
          <w:sz w:val="24"/>
          <w:szCs w:val="24"/>
          <w:lang w:val="en-GB"/>
        </w:rPr>
      </w:pPr>
      <w:r w:rsidRPr="00DD10B1">
        <w:rPr>
          <w:sz w:val="24"/>
          <w:szCs w:val="24"/>
          <w:lang w:val="en-MU"/>
        </w:rPr>
        <w:t xml:space="preserve">The trade deficit for </w:t>
      </w:r>
      <w:r w:rsidR="00BE4494">
        <w:rPr>
          <w:sz w:val="24"/>
          <w:szCs w:val="24"/>
          <w:lang w:val="en-GB"/>
        </w:rPr>
        <w:t xml:space="preserve">2026 is forecasted at approximately Rs 210 billion, 0.5% lower as compared to around Rs </w:t>
      </w:r>
      <w:r w:rsidR="003D16AA">
        <w:rPr>
          <w:sz w:val="24"/>
          <w:szCs w:val="24"/>
          <w:lang w:val="en-GB"/>
        </w:rPr>
        <w:t>211</w:t>
      </w:r>
      <w:r w:rsidR="00BE4494">
        <w:rPr>
          <w:sz w:val="24"/>
          <w:szCs w:val="24"/>
          <w:lang w:val="en-GB"/>
        </w:rPr>
        <w:t xml:space="preserve"> billion in 2025.</w:t>
      </w:r>
    </w:p>
    <w:p w14:paraId="1E278194" w14:textId="77777777" w:rsidR="002147EC" w:rsidRDefault="002147EC" w:rsidP="002147EC">
      <w:pPr>
        <w:ind w:right="245"/>
        <w:jc w:val="both"/>
        <w:rPr>
          <w:sz w:val="24"/>
          <w:szCs w:val="24"/>
        </w:rPr>
      </w:pPr>
    </w:p>
    <w:p w14:paraId="6CA2BAA4" w14:textId="77777777" w:rsidR="002147EC" w:rsidRPr="000E77AA" w:rsidRDefault="002147EC" w:rsidP="00644A8F">
      <w:pPr>
        <w:jc w:val="both"/>
        <w:rPr>
          <w:sz w:val="24"/>
          <w:szCs w:val="24"/>
        </w:rPr>
      </w:pPr>
    </w:p>
    <w:p w14:paraId="39DF2867" w14:textId="77777777" w:rsidR="00644A8F" w:rsidRPr="00ED1796" w:rsidRDefault="00644A8F" w:rsidP="00644A8F">
      <w:pPr>
        <w:jc w:val="both"/>
        <w:rPr>
          <w:color w:val="FF0000"/>
          <w:sz w:val="24"/>
          <w:szCs w:val="24"/>
          <w:highlight w:val="yellow"/>
        </w:rPr>
      </w:pPr>
    </w:p>
    <w:p w14:paraId="411DD6F4" w14:textId="77777777" w:rsidR="00644A8F" w:rsidRDefault="00644A8F" w:rsidP="00644A8F">
      <w:pPr>
        <w:spacing w:line="276" w:lineRule="auto"/>
        <w:ind w:right="245"/>
        <w:jc w:val="both"/>
        <w:rPr>
          <w:rFonts w:ascii="Arial" w:hAnsi="Arial" w:cs="Arial"/>
        </w:rPr>
      </w:pPr>
    </w:p>
    <w:p w14:paraId="30CC18D2" w14:textId="77777777" w:rsidR="00644A8F" w:rsidRPr="008E4016" w:rsidRDefault="00644A8F" w:rsidP="00644A8F">
      <w:pPr>
        <w:tabs>
          <w:tab w:val="num" w:pos="1140"/>
        </w:tabs>
        <w:jc w:val="both"/>
        <w:rPr>
          <w:b/>
          <w:bCs/>
          <w:sz w:val="24"/>
          <w:szCs w:val="24"/>
        </w:rPr>
      </w:pPr>
      <w:r w:rsidRPr="008E4016">
        <w:rPr>
          <w:b/>
          <w:bCs/>
          <w:sz w:val="24"/>
          <w:szCs w:val="24"/>
        </w:rPr>
        <w:t>Statistics Mauritius</w:t>
      </w:r>
    </w:p>
    <w:p w14:paraId="20E10363" w14:textId="77777777" w:rsidR="00644A8F" w:rsidRPr="008E4016" w:rsidRDefault="00644A8F" w:rsidP="00644A8F">
      <w:pPr>
        <w:spacing w:line="276" w:lineRule="auto"/>
        <w:ind w:right="244"/>
        <w:contextualSpacing/>
        <w:jc w:val="both"/>
        <w:rPr>
          <w:b/>
          <w:bCs/>
          <w:sz w:val="24"/>
          <w:szCs w:val="24"/>
          <w:bdr w:val="none" w:sz="0" w:space="0" w:color="auto" w:frame="1"/>
        </w:rPr>
      </w:pPr>
      <w:r w:rsidRPr="008E4016">
        <w:rPr>
          <w:b/>
          <w:bCs/>
          <w:sz w:val="24"/>
          <w:szCs w:val="24"/>
          <w:bdr w:val="none" w:sz="0" w:space="0" w:color="auto" w:frame="1"/>
        </w:rPr>
        <w:t>Ministry of Finance</w:t>
      </w:r>
    </w:p>
    <w:p w14:paraId="734BB14C" w14:textId="77777777" w:rsidR="00644A8F" w:rsidRPr="008E4016" w:rsidRDefault="00644A8F" w:rsidP="00644A8F">
      <w:pPr>
        <w:pStyle w:val="Heading4"/>
        <w:rPr>
          <w:bCs/>
          <w:szCs w:val="24"/>
          <w:bdr w:val="none" w:sz="0" w:space="0" w:color="auto" w:frame="1"/>
        </w:rPr>
      </w:pPr>
      <w:r w:rsidRPr="008E4016">
        <w:rPr>
          <w:bCs/>
          <w:szCs w:val="24"/>
          <w:bdr w:val="none" w:sz="0" w:space="0" w:color="auto" w:frame="1"/>
        </w:rPr>
        <w:t xml:space="preserve">Port Louis </w:t>
      </w:r>
    </w:p>
    <w:p w14:paraId="39DDA3A0" w14:textId="1B655866" w:rsidR="00644A8F" w:rsidRDefault="004E3B7C" w:rsidP="00644A8F">
      <w:pPr>
        <w:jc w:val="both"/>
        <w:rPr>
          <w:b/>
          <w:bCs/>
          <w:sz w:val="24"/>
          <w:szCs w:val="24"/>
          <w:bdr w:val="none" w:sz="0" w:space="0" w:color="auto" w:frame="1"/>
        </w:rPr>
      </w:pPr>
      <w:r>
        <w:rPr>
          <w:b/>
          <w:bCs/>
          <w:sz w:val="24"/>
          <w:szCs w:val="24"/>
          <w:bdr w:val="none" w:sz="0" w:space="0" w:color="auto" w:frame="1"/>
        </w:rPr>
        <w:t xml:space="preserve">25 </w:t>
      </w:r>
      <w:r w:rsidR="00644A8F">
        <w:rPr>
          <w:b/>
          <w:bCs/>
          <w:sz w:val="24"/>
          <w:szCs w:val="24"/>
          <w:bdr w:val="none" w:sz="0" w:space="0" w:color="auto" w:frame="1"/>
        </w:rPr>
        <w:t xml:space="preserve">February </w:t>
      </w:r>
      <w:r w:rsidR="00DB0AC5">
        <w:rPr>
          <w:b/>
          <w:bCs/>
          <w:sz w:val="24"/>
          <w:szCs w:val="24"/>
          <w:bdr w:val="none" w:sz="0" w:space="0" w:color="auto" w:frame="1"/>
        </w:rPr>
        <w:t>202</w:t>
      </w:r>
      <w:r w:rsidR="00BE4494">
        <w:rPr>
          <w:b/>
          <w:bCs/>
          <w:sz w:val="24"/>
          <w:szCs w:val="24"/>
          <w:bdr w:val="none" w:sz="0" w:space="0" w:color="auto" w:frame="1"/>
        </w:rPr>
        <w:t>6</w:t>
      </w:r>
    </w:p>
    <w:p w14:paraId="06DB0413" w14:textId="77777777" w:rsidR="00644A8F" w:rsidRDefault="00644A8F" w:rsidP="00644A8F">
      <w:pPr>
        <w:jc w:val="both"/>
        <w:rPr>
          <w:b/>
          <w:bCs/>
          <w:sz w:val="24"/>
          <w:szCs w:val="24"/>
          <w:bdr w:val="none" w:sz="0" w:space="0" w:color="auto" w:frame="1"/>
        </w:rPr>
      </w:pPr>
    </w:p>
    <w:p w14:paraId="1B38034E" w14:textId="77777777" w:rsidR="00644A8F" w:rsidRDefault="00644A8F" w:rsidP="00644A8F">
      <w:pPr>
        <w:jc w:val="both"/>
        <w:rPr>
          <w:b/>
          <w:bCs/>
          <w:sz w:val="24"/>
          <w:szCs w:val="24"/>
          <w:bdr w:val="none" w:sz="0" w:space="0" w:color="auto" w:frame="1"/>
        </w:rPr>
      </w:pPr>
    </w:p>
    <w:p w14:paraId="4EE375DE" w14:textId="77777777" w:rsidR="00644A8F" w:rsidRPr="008E4016" w:rsidRDefault="00644A8F" w:rsidP="00644A8F">
      <w:pPr>
        <w:jc w:val="both"/>
        <w:rPr>
          <w:b/>
          <w:bCs/>
          <w:sz w:val="24"/>
          <w:szCs w:val="24"/>
          <w:bdr w:val="none" w:sz="0" w:space="0" w:color="auto" w:frame="1"/>
        </w:rPr>
      </w:pPr>
    </w:p>
    <w:p w14:paraId="072D97C6" w14:textId="77777777" w:rsidR="00644A8F" w:rsidRPr="008E4016" w:rsidRDefault="001A0774" w:rsidP="00644A8F">
      <w:pPr>
        <w:jc w:val="both"/>
      </w:pPr>
      <w:r>
        <w:rPr>
          <w:noProof/>
        </w:rPr>
        <mc:AlternateContent>
          <mc:Choice Requires="wps">
            <w:drawing>
              <wp:anchor distT="0" distB="0" distL="114300" distR="114300" simplePos="0" relativeHeight="251657728" behindDoc="0" locked="0" layoutInCell="0" allowOverlap="1" wp14:anchorId="0585E662" wp14:editId="7CE3E396">
                <wp:simplePos x="0" y="0"/>
                <wp:positionH relativeFrom="column">
                  <wp:posOffset>1293495</wp:posOffset>
                </wp:positionH>
                <wp:positionV relativeFrom="paragraph">
                  <wp:posOffset>76835</wp:posOffset>
                </wp:positionV>
                <wp:extent cx="2939415" cy="2219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2219325"/>
                        </a:xfrm>
                        <a:prstGeom prst="rect">
                          <a:avLst/>
                        </a:prstGeom>
                        <a:solidFill>
                          <a:srgbClr val="FFFFFF"/>
                        </a:solidFill>
                        <a:ln w="9525">
                          <a:solidFill>
                            <a:srgbClr val="000000"/>
                          </a:solidFill>
                          <a:miter lim="800000"/>
                          <a:headEnd/>
                          <a:tailEnd/>
                        </a:ln>
                      </wps:spPr>
                      <wps:txbx>
                        <w:txbxContent>
                          <w:p w14:paraId="226C7F1E" w14:textId="77777777" w:rsidR="00644A8F" w:rsidRPr="00D30519" w:rsidRDefault="00644A8F" w:rsidP="00644A8F">
                            <w:pPr>
                              <w:ind w:left="-630" w:firstLine="630"/>
                              <w:jc w:val="center"/>
                              <w:rPr>
                                <w:b/>
                                <w:snapToGrid w:val="0"/>
                                <w:sz w:val="22"/>
                                <w:szCs w:val="22"/>
                                <w:u w:val="single"/>
                                <w:lang w:val="fr-FR"/>
                              </w:rPr>
                            </w:pPr>
                            <w:r w:rsidRPr="00D30519">
                              <w:rPr>
                                <w:b/>
                                <w:snapToGrid w:val="0"/>
                                <w:sz w:val="22"/>
                                <w:szCs w:val="22"/>
                                <w:u w:val="single"/>
                                <w:lang w:val="fr-FR"/>
                              </w:rPr>
                              <w:t>Contact Persons</w:t>
                            </w:r>
                          </w:p>
                          <w:p w14:paraId="3755724C" w14:textId="77777777" w:rsidR="00644A8F" w:rsidRPr="00D30519" w:rsidRDefault="00644A8F" w:rsidP="00644A8F">
                            <w:pPr>
                              <w:ind w:left="-630" w:firstLine="630"/>
                              <w:jc w:val="center"/>
                              <w:rPr>
                                <w:b/>
                                <w:snapToGrid w:val="0"/>
                                <w:sz w:val="22"/>
                                <w:szCs w:val="22"/>
                                <w:lang w:val="fr-FR"/>
                              </w:rPr>
                            </w:pPr>
                          </w:p>
                          <w:p w14:paraId="640EA3A0" w14:textId="77777777" w:rsidR="00644A8F" w:rsidRPr="00D30519" w:rsidRDefault="00644A8F" w:rsidP="00644A8F">
                            <w:pPr>
                              <w:rPr>
                                <w:b/>
                                <w:snapToGrid w:val="0"/>
                                <w:sz w:val="22"/>
                                <w:szCs w:val="22"/>
                                <w:lang w:val="fr-FR"/>
                              </w:rPr>
                            </w:pPr>
                            <w:r w:rsidRPr="00D30519">
                              <w:rPr>
                                <w:b/>
                                <w:snapToGrid w:val="0"/>
                                <w:sz w:val="22"/>
                                <w:szCs w:val="22"/>
                                <w:lang w:val="fr-FR"/>
                              </w:rPr>
                              <w:t xml:space="preserve">   Ms. V. Rama-Lahootan</w:t>
                            </w:r>
                          </w:p>
                          <w:p w14:paraId="20A81F0C" w14:textId="77777777" w:rsidR="00644A8F" w:rsidRPr="00167C3D" w:rsidRDefault="00644A8F" w:rsidP="00644A8F">
                            <w:pPr>
                              <w:rPr>
                                <w:b/>
                                <w:snapToGrid w:val="0"/>
                                <w:sz w:val="22"/>
                                <w:szCs w:val="22"/>
                              </w:rPr>
                            </w:pPr>
                            <w:r w:rsidRPr="00D30519">
                              <w:rPr>
                                <w:b/>
                                <w:snapToGrid w:val="0"/>
                                <w:sz w:val="22"/>
                                <w:szCs w:val="22"/>
                                <w:lang w:val="fr-FR"/>
                              </w:rPr>
                              <w:t xml:space="preserve">   </w:t>
                            </w:r>
                            <w:r w:rsidRPr="00167C3D">
                              <w:rPr>
                                <w:b/>
                                <w:snapToGrid w:val="0"/>
                                <w:sz w:val="22"/>
                                <w:szCs w:val="22"/>
                              </w:rPr>
                              <w:t>Statistician</w:t>
                            </w:r>
                            <w:r w:rsidR="00AD5437">
                              <w:rPr>
                                <w:b/>
                                <w:snapToGrid w:val="0"/>
                                <w:sz w:val="22"/>
                                <w:szCs w:val="22"/>
                              </w:rPr>
                              <w:t xml:space="preserve"> / Senior Statistician</w:t>
                            </w:r>
                          </w:p>
                          <w:p w14:paraId="6CBBD4BE" w14:textId="77777777" w:rsidR="00644A8F" w:rsidRPr="00167C3D" w:rsidRDefault="00644A8F" w:rsidP="00644A8F">
                            <w:pPr>
                              <w:rPr>
                                <w:b/>
                                <w:snapToGrid w:val="0"/>
                                <w:sz w:val="22"/>
                                <w:szCs w:val="22"/>
                              </w:rPr>
                            </w:pPr>
                            <w:r w:rsidRPr="00167C3D">
                              <w:rPr>
                                <w:b/>
                                <w:snapToGrid w:val="0"/>
                                <w:sz w:val="22"/>
                                <w:szCs w:val="22"/>
                              </w:rPr>
                              <w:t xml:space="preserve">                        </w:t>
                            </w:r>
                          </w:p>
                          <w:p w14:paraId="7CDD5E80" w14:textId="77777777" w:rsidR="00644A8F" w:rsidRPr="00167C3D" w:rsidRDefault="00644A8F" w:rsidP="00644A8F">
                            <w:pPr>
                              <w:rPr>
                                <w:b/>
                                <w:snapToGrid w:val="0"/>
                                <w:sz w:val="22"/>
                                <w:szCs w:val="22"/>
                              </w:rPr>
                            </w:pPr>
                            <w:r w:rsidRPr="00167C3D">
                              <w:rPr>
                                <w:b/>
                                <w:snapToGrid w:val="0"/>
                                <w:sz w:val="22"/>
                                <w:szCs w:val="22"/>
                              </w:rPr>
                              <w:t xml:space="preserve">   Ms. B. Ramjus</w:t>
                            </w:r>
                          </w:p>
                          <w:p w14:paraId="537F60D7" w14:textId="77777777" w:rsidR="00644A8F" w:rsidRPr="00167C3D" w:rsidRDefault="00644A8F" w:rsidP="00644A8F">
                            <w:pPr>
                              <w:ind w:left="-630" w:firstLine="630"/>
                              <w:rPr>
                                <w:b/>
                                <w:snapToGrid w:val="0"/>
                                <w:sz w:val="22"/>
                                <w:szCs w:val="22"/>
                              </w:rPr>
                            </w:pPr>
                            <w:r w:rsidRPr="00167C3D">
                              <w:rPr>
                                <w:b/>
                                <w:snapToGrid w:val="0"/>
                                <w:sz w:val="22"/>
                                <w:szCs w:val="22"/>
                              </w:rPr>
                              <w:t xml:space="preserve">   </w:t>
                            </w:r>
                            <w:r w:rsidR="00AD5437">
                              <w:rPr>
                                <w:b/>
                                <w:snapToGrid w:val="0"/>
                                <w:sz w:val="22"/>
                                <w:szCs w:val="22"/>
                              </w:rPr>
                              <w:t xml:space="preserve">Statistical Officer / </w:t>
                            </w:r>
                            <w:r w:rsidRPr="00167C3D">
                              <w:rPr>
                                <w:b/>
                                <w:snapToGrid w:val="0"/>
                                <w:sz w:val="22"/>
                                <w:szCs w:val="22"/>
                              </w:rPr>
                              <w:t>Senior Statistical Officer</w:t>
                            </w:r>
                          </w:p>
                          <w:p w14:paraId="58B2FA2F" w14:textId="77777777" w:rsidR="00644A8F" w:rsidRPr="00167C3D" w:rsidRDefault="00644A8F" w:rsidP="00644A8F">
                            <w:pPr>
                              <w:ind w:left="-630" w:firstLine="630"/>
                              <w:rPr>
                                <w:b/>
                                <w:snapToGrid w:val="0"/>
                                <w:sz w:val="22"/>
                                <w:szCs w:val="22"/>
                              </w:rPr>
                            </w:pPr>
                          </w:p>
                          <w:p w14:paraId="6534D45C" w14:textId="77777777" w:rsidR="00644A8F" w:rsidRPr="00167C3D" w:rsidRDefault="00644A8F" w:rsidP="00644A8F">
                            <w:pPr>
                              <w:ind w:left="-630" w:firstLine="630"/>
                              <w:rPr>
                                <w:b/>
                                <w:snapToGrid w:val="0"/>
                                <w:sz w:val="22"/>
                                <w:szCs w:val="22"/>
                              </w:rPr>
                            </w:pPr>
                            <w:r w:rsidRPr="00167C3D">
                              <w:rPr>
                                <w:b/>
                                <w:snapToGrid w:val="0"/>
                                <w:sz w:val="22"/>
                                <w:szCs w:val="22"/>
                              </w:rPr>
                              <w:t xml:space="preserve">   Statistics Mauritius</w:t>
                            </w:r>
                          </w:p>
                          <w:p w14:paraId="36C3ADDB" w14:textId="77777777" w:rsidR="00644A8F" w:rsidRPr="00167C3D" w:rsidRDefault="00644A8F" w:rsidP="00644A8F">
                            <w:pPr>
                              <w:ind w:left="-630" w:firstLine="630"/>
                              <w:rPr>
                                <w:b/>
                                <w:snapToGrid w:val="0"/>
                                <w:sz w:val="22"/>
                                <w:szCs w:val="22"/>
                              </w:rPr>
                            </w:pPr>
                            <w:r w:rsidRPr="00167C3D">
                              <w:rPr>
                                <w:b/>
                                <w:snapToGrid w:val="0"/>
                                <w:sz w:val="22"/>
                                <w:szCs w:val="22"/>
                              </w:rPr>
                              <w:t xml:space="preserve">   L.I.C Centre, J. Kennedy Street, Port Louis</w:t>
                            </w:r>
                          </w:p>
                          <w:p w14:paraId="0BF17BA2" w14:textId="77777777" w:rsidR="00644A8F" w:rsidRPr="00167C3D" w:rsidRDefault="00644A8F" w:rsidP="00644A8F">
                            <w:pPr>
                              <w:ind w:left="-630" w:firstLine="630"/>
                              <w:rPr>
                                <w:b/>
                                <w:snapToGrid w:val="0"/>
                                <w:sz w:val="22"/>
                                <w:szCs w:val="22"/>
                              </w:rPr>
                            </w:pPr>
                            <w:r w:rsidRPr="00167C3D">
                              <w:rPr>
                                <w:b/>
                                <w:snapToGrid w:val="0"/>
                                <w:sz w:val="22"/>
                                <w:szCs w:val="22"/>
                              </w:rPr>
                              <w:t xml:space="preserve">   </w:t>
                            </w:r>
                            <w:r w:rsidR="00A747EF">
                              <w:rPr>
                                <w:b/>
                                <w:snapToGrid w:val="0"/>
                                <w:sz w:val="22"/>
                                <w:szCs w:val="22"/>
                              </w:rPr>
                              <w:t>Telephone: (230) 208 1800</w:t>
                            </w:r>
                            <w:r w:rsidRPr="00167C3D">
                              <w:rPr>
                                <w:b/>
                                <w:snapToGrid w:val="0"/>
                                <w:sz w:val="22"/>
                                <w:szCs w:val="22"/>
                              </w:rPr>
                              <w:t xml:space="preserve">      </w:t>
                            </w:r>
                          </w:p>
                          <w:p w14:paraId="4A20BDDB" w14:textId="77777777" w:rsidR="00644A8F" w:rsidRPr="00D30519" w:rsidRDefault="00644A8F" w:rsidP="00644A8F">
                            <w:pPr>
                              <w:ind w:left="-630" w:firstLine="630"/>
                              <w:rPr>
                                <w:b/>
                                <w:snapToGrid w:val="0"/>
                                <w:sz w:val="22"/>
                                <w:szCs w:val="22"/>
                                <w:lang w:val="fr-FR"/>
                              </w:rPr>
                            </w:pPr>
                            <w:r w:rsidRPr="00167C3D">
                              <w:rPr>
                                <w:b/>
                                <w:snapToGrid w:val="0"/>
                                <w:sz w:val="22"/>
                                <w:szCs w:val="22"/>
                              </w:rPr>
                              <w:t xml:space="preserve">   </w:t>
                            </w:r>
                            <w:r w:rsidRPr="00D30519">
                              <w:rPr>
                                <w:b/>
                                <w:snapToGrid w:val="0"/>
                                <w:sz w:val="22"/>
                                <w:szCs w:val="22"/>
                                <w:lang w:val="fr-FR"/>
                              </w:rPr>
                              <w:t>Fax: (230) 211 4150</w:t>
                            </w:r>
                          </w:p>
                          <w:p w14:paraId="652069C0" w14:textId="77777777" w:rsidR="00644A8F" w:rsidRPr="00D30519" w:rsidRDefault="00644A8F" w:rsidP="00644A8F">
                            <w:pPr>
                              <w:ind w:left="-630" w:firstLine="630"/>
                              <w:rPr>
                                <w:b/>
                                <w:snapToGrid w:val="0"/>
                                <w:sz w:val="22"/>
                                <w:szCs w:val="22"/>
                                <w:lang w:val="fr-FR"/>
                              </w:rPr>
                            </w:pPr>
                            <w:r w:rsidRPr="00D30519">
                              <w:rPr>
                                <w:b/>
                                <w:snapToGrid w:val="0"/>
                                <w:sz w:val="22"/>
                                <w:szCs w:val="22"/>
                                <w:lang w:val="fr-FR"/>
                              </w:rPr>
                              <w:t xml:space="preserve">   Email: cso_trade@govmu.org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585E662" id="_x0000_t202" coordsize="21600,21600" o:spt="202" path="m,l,21600r21600,l21600,xe">
                <v:stroke joinstyle="miter"/>
                <v:path gradientshapeok="t" o:connecttype="rect"/>
              </v:shapetype>
              <v:shape id="Text Box 4" o:spid="_x0000_s1026" type="#_x0000_t202" style="position:absolute;left:0;text-align:left;margin-left:101.85pt;margin-top:6.05pt;width:231.45pt;height:1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" o:allowincell="f">
                <v:textbox>
                  <w:txbxContent>
                    <w:p w14:paraId="226C7F1E" w14:textId="77777777" w:rsidR="00644A8F" w:rsidRPr="00D30519" w:rsidRDefault="00644A8F" w:rsidP="00644A8F">
                      <w:pPr>
                        <w:ind w:left="-630" w:firstLine="630"/>
                        <w:jc w:val="center"/>
                        <w:rPr>
                          <w:b/>
                          <w:snapToGrid w:val="0"/>
                          <w:sz w:val="22"/>
                          <w:szCs w:val="22"/>
                          <w:u w:val="single"/>
                          <w:lang w:val="fr-FR"/>
                        </w:rPr>
                      </w:pPr>
                      <w:r w:rsidRPr="00D30519">
                        <w:rPr>
                          <w:b/>
                          <w:snapToGrid w:val="0"/>
                          <w:sz w:val="22"/>
                          <w:szCs w:val="22"/>
                          <w:u w:val="single"/>
                          <w:lang w:val="fr-FR"/>
                        </w:rPr>
                        <w:t>Contact Persons</w:t>
                      </w:r>
                    </w:p>
                    <w:p w14:paraId="3755724C" w14:textId="77777777" w:rsidR="00644A8F" w:rsidRPr="00D30519" w:rsidRDefault="00644A8F" w:rsidP="00644A8F">
                      <w:pPr>
                        <w:ind w:left="-630" w:firstLine="630"/>
                        <w:jc w:val="center"/>
                        <w:rPr>
                          <w:b/>
                          <w:snapToGrid w:val="0"/>
                          <w:sz w:val="22"/>
                          <w:szCs w:val="22"/>
                          <w:lang w:val="fr-FR"/>
                        </w:rPr>
                      </w:pPr>
                    </w:p>
                    <w:p w14:paraId="640EA3A0" w14:textId="77777777" w:rsidR="00644A8F" w:rsidRPr="00D30519" w:rsidRDefault="00644A8F" w:rsidP="00644A8F">
                      <w:pPr>
                        <w:rPr>
                          <w:b/>
                          <w:snapToGrid w:val="0"/>
                          <w:sz w:val="22"/>
                          <w:szCs w:val="22"/>
                          <w:lang w:val="fr-FR"/>
                        </w:rPr>
                      </w:pPr>
                      <w:r w:rsidRPr="00D30519">
                        <w:rPr>
                          <w:b/>
                          <w:snapToGrid w:val="0"/>
                          <w:sz w:val="22"/>
                          <w:szCs w:val="22"/>
                          <w:lang w:val="fr-FR"/>
                        </w:rPr>
                        <w:t xml:space="preserve">   Ms. V. Rama-Lahootan</w:t>
                      </w:r>
                    </w:p>
                    <w:p w14:paraId="20A81F0C" w14:textId="77777777" w:rsidR="00644A8F" w:rsidRPr="00167C3D" w:rsidRDefault="00644A8F" w:rsidP="00644A8F">
                      <w:pPr>
                        <w:rPr>
                          <w:b/>
                          <w:snapToGrid w:val="0"/>
                          <w:sz w:val="22"/>
                          <w:szCs w:val="22"/>
                        </w:rPr>
                      </w:pPr>
                      <w:r w:rsidRPr="00D30519">
                        <w:rPr>
                          <w:b/>
                          <w:snapToGrid w:val="0"/>
                          <w:sz w:val="22"/>
                          <w:szCs w:val="22"/>
                          <w:lang w:val="fr-FR"/>
                        </w:rPr>
                        <w:t xml:space="preserve">   </w:t>
                      </w:r>
                      <w:r w:rsidRPr="00167C3D">
                        <w:rPr>
                          <w:b/>
                          <w:snapToGrid w:val="0"/>
                          <w:sz w:val="22"/>
                          <w:szCs w:val="22"/>
                        </w:rPr>
                        <w:t>Statistician</w:t>
                      </w:r>
                      <w:r w:rsidR="00AD5437">
                        <w:rPr>
                          <w:b/>
                          <w:snapToGrid w:val="0"/>
                          <w:sz w:val="22"/>
                          <w:szCs w:val="22"/>
                        </w:rPr>
                        <w:t xml:space="preserve"> / Senior Statistician</w:t>
                      </w:r>
                    </w:p>
                    <w:p w14:paraId="6CBBD4BE" w14:textId="77777777" w:rsidR="00644A8F" w:rsidRPr="00167C3D" w:rsidRDefault="00644A8F" w:rsidP="00644A8F">
                      <w:pPr>
                        <w:rPr>
                          <w:b/>
                          <w:snapToGrid w:val="0"/>
                          <w:sz w:val="22"/>
                          <w:szCs w:val="22"/>
                        </w:rPr>
                      </w:pPr>
                      <w:r w:rsidRPr="00167C3D">
                        <w:rPr>
                          <w:b/>
                          <w:snapToGrid w:val="0"/>
                          <w:sz w:val="22"/>
                          <w:szCs w:val="22"/>
                        </w:rPr>
                        <w:t xml:space="preserve">                        </w:t>
                      </w:r>
                    </w:p>
                    <w:p w14:paraId="7CDD5E80" w14:textId="77777777" w:rsidR="00644A8F" w:rsidRPr="00167C3D" w:rsidRDefault="00644A8F" w:rsidP="00644A8F">
                      <w:pPr>
                        <w:rPr>
                          <w:b/>
                          <w:snapToGrid w:val="0"/>
                          <w:sz w:val="22"/>
                          <w:szCs w:val="22"/>
                        </w:rPr>
                      </w:pPr>
                      <w:r w:rsidRPr="00167C3D">
                        <w:rPr>
                          <w:b/>
                          <w:snapToGrid w:val="0"/>
                          <w:sz w:val="22"/>
                          <w:szCs w:val="22"/>
                        </w:rPr>
                        <w:t xml:space="preserve">   Ms. B. Ramjus</w:t>
                      </w:r>
                    </w:p>
                    <w:p w14:paraId="537F60D7" w14:textId="77777777" w:rsidR="00644A8F" w:rsidRPr="00167C3D" w:rsidRDefault="00644A8F" w:rsidP="00644A8F">
                      <w:pPr>
                        <w:ind w:left="-630" w:firstLine="630"/>
                        <w:rPr>
                          <w:b/>
                          <w:snapToGrid w:val="0"/>
                          <w:sz w:val="22"/>
                          <w:szCs w:val="22"/>
                        </w:rPr>
                      </w:pPr>
                      <w:r w:rsidRPr="00167C3D">
                        <w:rPr>
                          <w:b/>
                          <w:snapToGrid w:val="0"/>
                          <w:sz w:val="22"/>
                          <w:szCs w:val="22"/>
                        </w:rPr>
                        <w:t xml:space="preserve">   </w:t>
                      </w:r>
                      <w:r w:rsidR="00AD5437">
                        <w:rPr>
                          <w:b/>
                          <w:snapToGrid w:val="0"/>
                          <w:sz w:val="22"/>
                          <w:szCs w:val="22"/>
                        </w:rPr>
                        <w:t xml:space="preserve">Statistical Officer / </w:t>
                      </w:r>
                      <w:r w:rsidRPr="00167C3D">
                        <w:rPr>
                          <w:b/>
                          <w:snapToGrid w:val="0"/>
                          <w:sz w:val="22"/>
                          <w:szCs w:val="22"/>
                        </w:rPr>
                        <w:t>Senior Statistical Officer</w:t>
                      </w:r>
                    </w:p>
                    <w:p w14:paraId="58B2FA2F" w14:textId="77777777" w:rsidR="00644A8F" w:rsidRPr="00167C3D" w:rsidRDefault="00644A8F" w:rsidP="00644A8F">
                      <w:pPr>
                        <w:ind w:left="-630" w:firstLine="630"/>
                        <w:rPr>
                          <w:b/>
                          <w:snapToGrid w:val="0"/>
                          <w:sz w:val="22"/>
                          <w:szCs w:val="22"/>
                        </w:rPr>
                      </w:pPr>
                    </w:p>
                    <w:p w14:paraId="6534D45C" w14:textId="77777777" w:rsidR="00644A8F" w:rsidRPr="00167C3D" w:rsidRDefault="00644A8F" w:rsidP="00644A8F">
                      <w:pPr>
                        <w:ind w:left="-630" w:firstLine="630"/>
                        <w:rPr>
                          <w:b/>
                          <w:snapToGrid w:val="0"/>
                          <w:sz w:val="22"/>
                          <w:szCs w:val="22"/>
                        </w:rPr>
                      </w:pPr>
                      <w:r w:rsidRPr="00167C3D">
                        <w:rPr>
                          <w:b/>
                          <w:snapToGrid w:val="0"/>
                          <w:sz w:val="22"/>
                          <w:szCs w:val="22"/>
                        </w:rPr>
                        <w:t xml:space="preserve">   Statistics Mauritius</w:t>
                      </w:r>
                    </w:p>
                    <w:p w14:paraId="36C3ADDB" w14:textId="77777777" w:rsidR="00644A8F" w:rsidRPr="00167C3D" w:rsidRDefault="00644A8F" w:rsidP="00644A8F">
                      <w:pPr>
                        <w:ind w:left="-630" w:firstLine="630"/>
                        <w:rPr>
                          <w:b/>
                          <w:snapToGrid w:val="0"/>
                          <w:sz w:val="22"/>
                          <w:szCs w:val="22"/>
                        </w:rPr>
                      </w:pPr>
                      <w:r w:rsidRPr="00167C3D">
                        <w:rPr>
                          <w:b/>
                          <w:snapToGrid w:val="0"/>
                          <w:sz w:val="22"/>
                          <w:szCs w:val="22"/>
                        </w:rPr>
                        <w:t xml:space="preserve">   L.I.C Centre, J. Kennedy Street, Port Louis</w:t>
                      </w:r>
                    </w:p>
                    <w:p w14:paraId="0BF17BA2" w14:textId="77777777" w:rsidR="00644A8F" w:rsidRPr="00167C3D" w:rsidRDefault="00644A8F" w:rsidP="00644A8F">
                      <w:pPr>
                        <w:ind w:left="-630" w:firstLine="630"/>
                        <w:rPr>
                          <w:b/>
                          <w:snapToGrid w:val="0"/>
                          <w:sz w:val="22"/>
                          <w:szCs w:val="22"/>
                        </w:rPr>
                      </w:pPr>
                      <w:r w:rsidRPr="00167C3D">
                        <w:rPr>
                          <w:b/>
                          <w:snapToGrid w:val="0"/>
                          <w:sz w:val="22"/>
                          <w:szCs w:val="22"/>
                        </w:rPr>
                        <w:t xml:space="preserve">   </w:t>
                      </w:r>
                      <w:r w:rsidR="00A747EF">
                        <w:rPr>
                          <w:b/>
                          <w:snapToGrid w:val="0"/>
                          <w:sz w:val="22"/>
                          <w:szCs w:val="22"/>
                        </w:rPr>
                        <w:t>Telephone: (230) 208 1800</w:t>
                      </w:r>
                      <w:r w:rsidRPr="00167C3D">
                        <w:rPr>
                          <w:b/>
                          <w:snapToGrid w:val="0"/>
                          <w:sz w:val="22"/>
                          <w:szCs w:val="22"/>
                        </w:rPr>
                        <w:t xml:space="preserve">      </w:t>
                      </w:r>
                    </w:p>
                    <w:p w14:paraId="4A20BDDB" w14:textId="77777777" w:rsidR="00644A8F" w:rsidRPr="00D30519" w:rsidRDefault="00644A8F" w:rsidP="00644A8F">
                      <w:pPr>
                        <w:ind w:left="-630" w:firstLine="630"/>
                        <w:rPr>
                          <w:b/>
                          <w:snapToGrid w:val="0"/>
                          <w:sz w:val="22"/>
                          <w:szCs w:val="22"/>
                          <w:lang w:val="fr-FR"/>
                        </w:rPr>
                      </w:pPr>
                      <w:r w:rsidRPr="00167C3D">
                        <w:rPr>
                          <w:b/>
                          <w:snapToGrid w:val="0"/>
                          <w:sz w:val="22"/>
                          <w:szCs w:val="22"/>
                        </w:rPr>
                        <w:t xml:space="preserve">   </w:t>
                      </w:r>
                      <w:r w:rsidRPr="00D30519">
                        <w:rPr>
                          <w:b/>
                          <w:snapToGrid w:val="0"/>
                          <w:sz w:val="22"/>
                          <w:szCs w:val="22"/>
                          <w:lang w:val="fr-FR"/>
                        </w:rPr>
                        <w:t>Fax: (230) 211 4150</w:t>
                      </w:r>
                    </w:p>
                    <w:p w14:paraId="652069C0" w14:textId="77777777" w:rsidR="00644A8F" w:rsidRPr="00D30519" w:rsidRDefault="00644A8F" w:rsidP="00644A8F">
                      <w:pPr>
                        <w:ind w:left="-630" w:firstLine="630"/>
                        <w:rPr>
                          <w:b/>
                          <w:snapToGrid w:val="0"/>
                          <w:sz w:val="22"/>
                          <w:szCs w:val="22"/>
                          <w:lang w:val="fr-FR"/>
                        </w:rPr>
                      </w:pPr>
                      <w:r w:rsidRPr="00D30519">
                        <w:rPr>
                          <w:b/>
                          <w:snapToGrid w:val="0"/>
                          <w:sz w:val="22"/>
                          <w:szCs w:val="22"/>
                          <w:lang w:val="fr-FR"/>
                        </w:rPr>
                        <w:t xml:space="preserve">   Email: cso_trade@govmu.org</w:t>
                      </w:r>
                    </w:p>
                  </w:txbxContent>
                </v:textbox>
              </v:shape>
            </w:pict>
          </mc:Fallback>
        </mc:AlternateContent>
      </w:r>
    </w:p>
    <w:p w14:paraId="7B243D66" w14:textId="77777777" w:rsidR="00644A8F" w:rsidRPr="008E4016" w:rsidRDefault="00644A8F" w:rsidP="00644A8F"/>
    <w:p w14:paraId="38547448" w14:textId="77777777" w:rsidR="00644A8F" w:rsidRPr="00361D1A" w:rsidRDefault="00644A8F" w:rsidP="00644A8F">
      <w:pPr>
        <w:spacing w:line="300" w:lineRule="exact"/>
        <w:jc w:val="center"/>
        <w:rPr>
          <w:b/>
          <w:sz w:val="22"/>
          <w:szCs w:val="22"/>
        </w:rPr>
      </w:pPr>
    </w:p>
    <w:p w14:paraId="1AFDBC4F" w14:textId="77777777" w:rsidR="00644A8F" w:rsidRPr="00361D1A" w:rsidRDefault="00644A8F" w:rsidP="00644A8F">
      <w:pPr>
        <w:spacing w:line="300" w:lineRule="exact"/>
        <w:jc w:val="center"/>
        <w:rPr>
          <w:b/>
          <w:sz w:val="22"/>
          <w:szCs w:val="22"/>
        </w:rPr>
      </w:pPr>
    </w:p>
    <w:p w14:paraId="132DE77D" w14:textId="77777777" w:rsidR="00644A8F" w:rsidRDefault="00644A8F" w:rsidP="00644A8F">
      <w:pPr>
        <w:spacing w:line="300" w:lineRule="exact"/>
        <w:jc w:val="center"/>
        <w:rPr>
          <w:b/>
          <w:sz w:val="24"/>
          <w:szCs w:val="24"/>
        </w:rPr>
      </w:pPr>
      <w:r w:rsidRPr="00361D1A">
        <w:rPr>
          <w:b/>
          <w:sz w:val="24"/>
          <w:szCs w:val="24"/>
        </w:rPr>
        <w:t>Notes</w:t>
      </w:r>
    </w:p>
    <w:p w14:paraId="63165025" w14:textId="77777777" w:rsidR="00644A8F" w:rsidRDefault="00644A8F" w:rsidP="00644A8F">
      <w:pPr>
        <w:spacing w:line="300" w:lineRule="exact"/>
        <w:jc w:val="center"/>
        <w:rPr>
          <w:b/>
          <w:sz w:val="24"/>
          <w:szCs w:val="24"/>
        </w:rPr>
      </w:pPr>
    </w:p>
    <w:p w14:paraId="6A0D7BF2" w14:textId="77777777" w:rsidR="00644A8F" w:rsidRDefault="00644A8F" w:rsidP="00644A8F">
      <w:pPr>
        <w:spacing w:line="300" w:lineRule="exact"/>
        <w:jc w:val="center"/>
        <w:rPr>
          <w:b/>
          <w:sz w:val="24"/>
          <w:szCs w:val="24"/>
        </w:rPr>
      </w:pPr>
    </w:p>
    <w:p w14:paraId="2258F152" w14:textId="77777777" w:rsidR="00644A8F" w:rsidRDefault="00644A8F" w:rsidP="00644A8F">
      <w:pPr>
        <w:spacing w:line="300" w:lineRule="exact"/>
        <w:jc w:val="center"/>
        <w:rPr>
          <w:b/>
          <w:sz w:val="24"/>
          <w:szCs w:val="24"/>
        </w:rPr>
      </w:pPr>
    </w:p>
    <w:p w14:paraId="492E9AAD" w14:textId="77777777" w:rsidR="00644A8F" w:rsidRDefault="00644A8F" w:rsidP="00644A8F">
      <w:pPr>
        <w:spacing w:line="300" w:lineRule="exact"/>
        <w:jc w:val="center"/>
        <w:rPr>
          <w:b/>
          <w:sz w:val="24"/>
          <w:szCs w:val="24"/>
        </w:rPr>
      </w:pPr>
    </w:p>
    <w:p w14:paraId="1BF0A80E" w14:textId="77777777" w:rsidR="00644A8F" w:rsidRDefault="00644A8F" w:rsidP="00644A8F">
      <w:pPr>
        <w:spacing w:line="300" w:lineRule="exact"/>
        <w:jc w:val="center"/>
        <w:rPr>
          <w:b/>
          <w:sz w:val="24"/>
          <w:szCs w:val="24"/>
        </w:rPr>
      </w:pPr>
    </w:p>
    <w:p w14:paraId="7A6BE651" w14:textId="77777777" w:rsidR="00644A8F" w:rsidRDefault="00644A8F" w:rsidP="00644A8F">
      <w:pPr>
        <w:spacing w:line="300" w:lineRule="exact"/>
        <w:jc w:val="center"/>
        <w:rPr>
          <w:b/>
          <w:sz w:val="24"/>
          <w:szCs w:val="24"/>
        </w:rPr>
      </w:pPr>
    </w:p>
    <w:p w14:paraId="186FAB56" w14:textId="77777777" w:rsidR="00644A8F" w:rsidRDefault="00644A8F" w:rsidP="00644A8F"/>
    <w:p w14:paraId="0F0CCA1A" w14:textId="77777777" w:rsidR="00644A8F" w:rsidRDefault="00644A8F" w:rsidP="00644A8F"/>
    <w:p w14:paraId="78B20256" w14:textId="77777777" w:rsidR="007503D9" w:rsidRDefault="00644A8F" w:rsidP="005E6CB9">
      <w:pPr>
        <w:spacing w:after="160" w:line="259" w:lineRule="auto"/>
        <w:ind w:left="3600" w:firstLine="720"/>
      </w:pPr>
      <w:r>
        <w:br w:type="page"/>
      </w:r>
    </w:p>
    <w:p w14:paraId="7721BF6B" w14:textId="77777777" w:rsidR="00644A8F" w:rsidRDefault="00644A8F" w:rsidP="005E6CB9">
      <w:pPr>
        <w:spacing w:after="160" w:line="259" w:lineRule="auto"/>
        <w:ind w:left="3600" w:firstLine="720"/>
        <w:rPr>
          <w:b/>
          <w:sz w:val="23"/>
          <w:szCs w:val="23"/>
        </w:rPr>
      </w:pPr>
      <w:bookmarkStart w:id="0" w:name="_GoBack"/>
      <w:bookmarkEnd w:id="0"/>
      <w:r w:rsidRPr="00167C3D">
        <w:rPr>
          <w:b/>
          <w:sz w:val="24"/>
          <w:szCs w:val="23"/>
        </w:rPr>
        <w:lastRenderedPageBreak/>
        <w:t>Notes</w:t>
      </w:r>
    </w:p>
    <w:p w14:paraId="64B96627" w14:textId="77777777" w:rsidR="00644A8F" w:rsidRDefault="00644A8F" w:rsidP="00644A8F">
      <w:pPr>
        <w:spacing w:line="200" w:lineRule="exact"/>
        <w:jc w:val="center"/>
        <w:rPr>
          <w:b/>
          <w:sz w:val="23"/>
          <w:szCs w:val="23"/>
        </w:rPr>
      </w:pPr>
    </w:p>
    <w:p w14:paraId="3790D0CB" w14:textId="77777777" w:rsidR="00644A8F" w:rsidRPr="00167C3D" w:rsidRDefault="00644A8F" w:rsidP="00644A8F">
      <w:pPr>
        <w:spacing w:line="200" w:lineRule="exact"/>
        <w:jc w:val="both"/>
        <w:rPr>
          <w:b/>
          <w:sz w:val="24"/>
          <w:szCs w:val="23"/>
        </w:rPr>
      </w:pPr>
      <w:r w:rsidRPr="00167C3D">
        <w:rPr>
          <w:b/>
          <w:sz w:val="24"/>
          <w:szCs w:val="23"/>
        </w:rPr>
        <w:t>(1)</w:t>
      </w:r>
      <w:r w:rsidRPr="00167C3D">
        <w:rPr>
          <w:sz w:val="24"/>
          <w:szCs w:val="23"/>
        </w:rPr>
        <w:tab/>
      </w:r>
      <w:r w:rsidRPr="00167C3D">
        <w:rPr>
          <w:b/>
          <w:sz w:val="24"/>
          <w:szCs w:val="23"/>
        </w:rPr>
        <w:t>Scope and coverage</w:t>
      </w:r>
    </w:p>
    <w:p w14:paraId="49A6C16E" w14:textId="77777777" w:rsidR="00644A8F" w:rsidRPr="00167C3D" w:rsidRDefault="00644A8F" w:rsidP="00644A8F">
      <w:pPr>
        <w:jc w:val="both"/>
        <w:rPr>
          <w:sz w:val="24"/>
          <w:szCs w:val="23"/>
        </w:rPr>
      </w:pPr>
    </w:p>
    <w:p w14:paraId="1D576FF5" w14:textId="77777777" w:rsidR="00644A8F" w:rsidRPr="00167C3D" w:rsidRDefault="00644A8F" w:rsidP="00644A8F">
      <w:pPr>
        <w:jc w:val="both"/>
        <w:rPr>
          <w:sz w:val="24"/>
          <w:szCs w:val="23"/>
        </w:rPr>
      </w:pPr>
      <w:r w:rsidRPr="00167C3D">
        <w:rPr>
          <w:b/>
          <w:sz w:val="24"/>
          <w:szCs w:val="23"/>
        </w:rPr>
        <w:t>External merchandise trade statistics</w:t>
      </w:r>
      <w:r w:rsidRPr="00167C3D">
        <w:rPr>
          <w:sz w:val="24"/>
          <w:szCs w:val="23"/>
        </w:rPr>
        <w:t xml:space="preserve"> are compiled according to the General Trade System as recommended by the United Nations. Using the national boundary as the statistical frontier, the General Trade System is a record of all goods entering (imports) and leaving the country (exports).</w:t>
      </w:r>
    </w:p>
    <w:p w14:paraId="3E6EB90F" w14:textId="77777777" w:rsidR="00644A8F" w:rsidRPr="00167C3D" w:rsidRDefault="00644A8F" w:rsidP="00644A8F">
      <w:pPr>
        <w:spacing w:line="200" w:lineRule="exact"/>
        <w:rPr>
          <w:sz w:val="24"/>
          <w:szCs w:val="23"/>
        </w:rPr>
      </w:pPr>
    </w:p>
    <w:p w14:paraId="38BE50FD" w14:textId="77777777" w:rsidR="00644A8F" w:rsidRPr="00167C3D" w:rsidRDefault="00644A8F" w:rsidP="00644A8F">
      <w:pPr>
        <w:jc w:val="both"/>
        <w:rPr>
          <w:sz w:val="24"/>
          <w:szCs w:val="23"/>
        </w:rPr>
      </w:pPr>
      <w:r w:rsidRPr="00167C3D">
        <w:rPr>
          <w:b/>
          <w:sz w:val="24"/>
          <w:szCs w:val="23"/>
        </w:rPr>
        <w:t>Imports</w:t>
      </w:r>
      <w:r w:rsidRPr="00167C3D">
        <w:rPr>
          <w:sz w:val="24"/>
          <w:szCs w:val="23"/>
        </w:rPr>
        <w:t xml:space="preserve"> include goods brought in directly for domestic consumption plus goods imported into customs bonded warehouses.</w:t>
      </w:r>
    </w:p>
    <w:p w14:paraId="7835B9E5" w14:textId="77777777" w:rsidR="00644A8F" w:rsidRPr="00167C3D" w:rsidRDefault="00644A8F" w:rsidP="00644A8F">
      <w:pPr>
        <w:jc w:val="both"/>
        <w:rPr>
          <w:sz w:val="24"/>
          <w:szCs w:val="23"/>
        </w:rPr>
      </w:pPr>
      <w:r w:rsidRPr="00167C3D">
        <w:rPr>
          <w:sz w:val="24"/>
          <w:szCs w:val="23"/>
        </w:rPr>
        <w:br/>
      </w:r>
      <w:r w:rsidRPr="00167C3D">
        <w:rPr>
          <w:b/>
          <w:sz w:val="24"/>
          <w:szCs w:val="23"/>
        </w:rPr>
        <w:t>Exports</w:t>
      </w:r>
      <w:r w:rsidRPr="00167C3D">
        <w:rPr>
          <w:sz w:val="24"/>
          <w:szCs w:val="23"/>
        </w:rPr>
        <w:t xml:space="preserve"> cover:</w:t>
      </w:r>
    </w:p>
    <w:p w14:paraId="40298B0A" w14:textId="77777777" w:rsidR="00644A8F" w:rsidRPr="00167C3D" w:rsidRDefault="00644A8F" w:rsidP="00644A8F">
      <w:pPr>
        <w:spacing w:line="200" w:lineRule="exact"/>
        <w:rPr>
          <w:sz w:val="24"/>
          <w:szCs w:val="23"/>
        </w:rPr>
      </w:pPr>
    </w:p>
    <w:p w14:paraId="14C7DA6C" w14:textId="77777777" w:rsidR="00644A8F" w:rsidRPr="00167C3D" w:rsidRDefault="00644A8F" w:rsidP="00B8610B">
      <w:pPr>
        <w:numPr>
          <w:ilvl w:val="0"/>
          <w:numId w:val="5"/>
        </w:numPr>
        <w:jc w:val="both"/>
        <w:rPr>
          <w:sz w:val="24"/>
          <w:szCs w:val="23"/>
        </w:rPr>
      </w:pPr>
      <w:r w:rsidRPr="00167C3D">
        <w:rPr>
          <w:sz w:val="24"/>
          <w:szCs w:val="23"/>
        </w:rPr>
        <w:t xml:space="preserve">Domestic exports defined as goods of national origin, that is goods produced in the exporting country. </w:t>
      </w:r>
    </w:p>
    <w:p w14:paraId="52132844" w14:textId="77777777" w:rsidR="00644A8F" w:rsidRPr="00167C3D" w:rsidRDefault="00644A8F" w:rsidP="00644A8F">
      <w:pPr>
        <w:rPr>
          <w:sz w:val="24"/>
          <w:szCs w:val="23"/>
        </w:rPr>
      </w:pPr>
    </w:p>
    <w:p w14:paraId="43FC9A09" w14:textId="77777777" w:rsidR="00644A8F" w:rsidRPr="00167C3D" w:rsidRDefault="00644A8F" w:rsidP="00644A8F">
      <w:pPr>
        <w:numPr>
          <w:ilvl w:val="0"/>
          <w:numId w:val="5"/>
        </w:numPr>
        <w:jc w:val="both"/>
        <w:rPr>
          <w:sz w:val="24"/>
          <w:szCs w:val="23"/>
        </w:rPr>
      </w:pPr>
      <w:r w:rsidRPr="00167C3D">
        <w:rPr>
          <w:sz w:val="24"/>
          <w:szCs w:val="23"/>
        </w:rPr>
        <w:t>Re-exports which are exported in the same condition as imported or after undergoing minor operations which leave them essentially unchanged and include re-exports from customs bonded warehouses.</w:t>
      </w:r>
    </w:p>
    <w:p w14:paraId="4CAE233C" w14:textId="77777777" w:rsidR="00644A8F" w:rsidRPr="00167C3D" w:rsidRDefault="00644A8F" w:rsidP="00644A8F">
      <w:pPr>
        <w:pStyle w:val="ListParagraph"/>
        <w:rPr>
          <w:sz w:val="24"/>
          <w:szCs w:val="23"/>
        </w:rPr>
      </w:pPr>
    </w:p>
    <w:p w14:paraId="4F8A9814" w14:textId="77777777" w:rsidR="00644A8F" w:rsidRPr="00167C3D" w:rsidRDefault="00644A8F" w:rsidP="00644A8F">
      <w:pPr>
        <w:numPr>
          <w:ilvl w:val="0"/>
          <w:numId w:val="5"/>
        </w:numPr>
        <w:jc w:val="both"/>
        <w:rPr>
          <w:sz w:val="24"/>
          <w:szCs w:val="23"/>
        </w:rPr>
      </w:pPr>
      <w:r w:rsidRPr="00167C3D">
        <w:rPr>
          <w:sz w:val="24"/>
          <w:szCs w:val="23"/>
        </w:rPr>
        <w:t>Ship’s Stores and Bunkers (SSB)</w:t>
      </w:r>
      <w:r w:rsidRPr="00167C3D">
        <w:rPr>
          <w:b/>
          <w:sz w:val="24"/>
          <w:szCs w:val="23"/>
        </w:rPr>
        <w:t xml:space="preserve"> </w:t>
      </w:r>
      <w:r w:rsidRPr="00167C3D">
        <w:rPr>
          <w:sz w:val="24"/>
          <w:szCs w:val="23"/>
        </w:rPr>
        <w:t>are included in total exports and are shown separately.</w:t>
      </w:r>
    </w:p>
    <w:p w14:paraId="12F90498" w14:textId="77777777" w:rsidR="00644A8F" w:rsidRPr="00167C3D" w:rsidRDefault="00644A8F" w:rsidP="00644A8F">
      <w:pPr>
        <w:spacing w:before="240"/>
        <w:ind w:firstLine="360"/>
        <w:rPr>
          <w:sz w:val="24"/>
          <w:szCs w:val="23"/>
        </w:rPr>
      </w:pPr>
      <w:r w:rsidRPr="00167C3D">
        <w:rPr>
          <w:sz w:val="24"/>
          <w:szCs w:val="23"/>
        </w:rPr>
        <w:t>Trade by parcel post is also included in imports and exports.</w:t>
      </w:r>
    </w:p>
    <w:p w14:paraId="76320013" w14:textId="77777777" w:rsidR="00644A8F" w:rsidRPr="00167C3D" w:rsidRDefault="00644A8F" w:rsidP="00644A8F">
      <w:pPr>
        <w:rPr>
          <w:sz w:val="24"/>
          <w:szCs w:val="23"/>
        </w:rPr>
      </w:pPr>
    </w:p>
    <w:p w14:paraId="7739D654" w14:textId="77777777" w:rsidR="00644A8F" w:rsidRPr="00167C3D" w:rsidRDefault="00644A8F" w:rsidP="00644A8F">
      <w:pPr>
        <w:spacing w:line="200" w:lineRule="exact"/>
        <w:rPr>
          <w:b/>
          <w:sz w:val="24"/>
          <w:szCs w:val="23"/>
        </w:rPr>
      </w:pPr>
      <w:r w:rsidRPr="00167C3D">
        <w:rPr>
          <w:b/>
          <w:sz w:val="24"/>
          <w:szCs w:val="23"/>
        </w:rPr>
        <w:t>(2)</w:t>
      </w:r>
      <w:r w:rsidRPr="00167C3D">
        <w:rPr>
          <w:sz w:val="24"/>
          <w:szCs w:val="23"/>
        </w:rPr>
        <w:t xml:space="preserve">       </w:t>
      </w:r>
      <w:r w:rsidRPr="00167C3D">
        <w:rPr>
          <w:b/>
          <w:sz w:val="24"/>
          <w:szCs w:val="23"/>
        </w:rPr>
        <w:t>Valuation</w:t>
      </w:r>
    </w:p>
    <w:p w14:paraId="00E0576B" w14:textId="77777777" w:rsidR="00644A8F" w:rsidRPr="00167C3D" w:rsidRDefault="00644A8F" w:rsidP="00644A8F">
      <w:pPr>
        <w:spacing w:line="200" w:lineRule="exact"/>
        <w:rPr>
          <w:b/>
          <w:sz w:val="24"/>
          <w:szCs w:val="23"/>
        </w:rPr>
      </w:pPr>
    </w:p>
    <w:p w14:paraId="398663EF" w14:textId="77777777" w:rsidR="00644A8F" w:rsidRPr="00167C3D" w:rsidRDefault="00644A8F" w:rsidP="00644A8F">
      <w:pPr>
        <w:jc w:val="both"/>
        <w:rPr>
          <w:sz w:val="24"/>
          <w:szCs w:val="23"/>
        </w:rPr>
      </w:pPr>
      <w:r w:rsidRPr="00167C3D">
        <w:rPr>
          <w:b/>
          <w:sz w:val="24"/>
          <w:szCs w:val="23"/>
        </w:rPr>
        <w:t>Imports</w:t>
      </w:r>
      <w:r w:rsidRPr="00167C3D">
        <w:rPr>
          <w:sz w:val="24"/>
          <w:szCs w:val="23"/>
        </w:rPr>
        <w:t xml:space="preserve"> are valued on a C.I.F. (Cost, Insurance and Freight) basis, whilst exports on a F.O.B. (Free on Board) basis.</w:t>
      </w:r>
    </w:p>
    <w:p w14:paraId="73B4AD47" w14:textId="77777777" w:rsidR="00644A8F" w:rsidRPr="00167C3D" w:rsidRDefault="00644A8F" w:rsidP="00644A8F">
      <w:pPr>
        <w:rPr>
          <w:sz w:val="24"/>
          <w:szCs w:val="23"/>
        </w:rPr>
      </w:pPr>
    </w:p>
    <w:p w14:paraId="75685FD8" w14:textId="77777777" w:rsidR="00644A8F" w:rsidRPr="00167C3D" w:rsidRDefault="00644A8F" w:rsidP="00644A8F">
      <w:pPr>
        <w:jc w:val="both"/>
        <w:rPr>
          <w:sz w:val="24"/>
          <w:szCs w:val="23"/>
        </w:rPr>
      </w:pPr>
      <w:r w:rsidRPr="00167C3D">
        <w:rPr>
          <w:b/>
          <w:sz w:val="24"/>
          <w:szCs w:val="23"/>
        </w:rPr>
        <w:t>Cost, Insurance and Freight</w:t>
      </w:r>
      <w:r w:rsidRPr="00167C3D">
        <w:rPr>
          <w:sz w:val="24"/>
          <w:szCs w:val="23"/>
        </w:rPr>
        <w:t xml:space="preserve"> (C.I.F) value is the value of a country's imports of goods, including all charges for transporting and insuring the goods from the country of exports to the given country but excluding the cost of unloading from the ship, aircraft unless it is borne by the carrier.</w:t>
      </w:r>
    </w:p>
    <w:p w14:paraId="4031E6C4" w14:textId="77777777" w:rsidR="00644A8F" w:rsidRPr="00167C3D" w:rsidRDefault="00644A8F" w:rsidP="00644A8F">
      <w:pPr>
        <w:rPr>
          <w:sz w:val="24"/>
          <w:szCs w:val="23"/>
        </w:rPr>
      </w:pPr>
    </w:p>
    <w:p w14:paraId="556ECC70" w14:textId="77777777" w:rsidR="00644A8F" w:rsidRPr="00167C3D" w:rsidRDefault="00644A8F" w:rsidP="00644A8F">
      <w:pPr>
        <w:jc w:val="both"/>
        <w:rPr>
          <w:sz w:val="24"/>
          <w:szCs w:val="23"/>
        </w:rPr>
      </w:pPr>
      <w:r w:rsidRPr="00167C3D">
        <w:rPr>
          <w:b/>
          <w:sz w:val="24"/>
          <w:szCs w:val="23"/>
        </w:rPr>
        <w:t>Free on Board</w:t>
      </w:r>
      <w:r w:rsidRPr="00167C3D">
        <w:rPr>
          <w:sz w:val="24"/>
          <w:szCs w:val="23"/>
        </w:rPr>
        <w:t xml:space="preserve"> (F.O.B) value is the value of a country's exports of goods, including all costs of transporting the goods to the customs frontier, export duties.</w:t>
      </w:r>
    </w:p>
    <w:p w14:paraId="16A5B95C" w14:textId="77777777" w:rsidR="00644A8F" w:rsidRPr="00167C3D" w:rsidRDefault="00644A8F" w:rsidP="00644A8F">
      <w:pPr>
        <w:spacing w:line="200" w:lineRule="exact"/>
        <w:jc w:val="both"/>
        <w:rPr>
          <w:sz w:val="24"/>
          <w:szCs w:val="23"/>
        </w:rPr>
      </w:pPr>
    </w:p>
    <w:p w14:paraId="6EC4BBA3" w14:textId="77777777" w:rsidR="00644A8F" w:rsidRPr="00167C3D" w:rsidRDefault="00644A8F" w:rsidP="00644A8F">
      <w:pPr>
        <w:spacing w:before="240" w:line="200" w:lineRule="exact"/>
        <w:rPr>
          <w:b/>
          <w:sz w:val="24"/>
          <w:szCs w:val="23"/>
        </w:rPr>
      </w:pPr>
      <w:r w:rsidRPr="00167C3D">
        <w:rPr>
          <w:b/>
          <w:sz w:val="24"/>
          <w:szCs w:val="23"/>
        </w:rPr>
        <w:t>(3)     Classification of commodities</w:t>
      </w:r>
    </w:p>
    <w:p w14:paraId="0C5F456B" w14:textId="77777777" w:rsidR="00644A8F" w:rsidRPr="00167C3D" w:rsidRDefault="00644A8F" w:rsidP="00644A8F">
      <w:pPr>
        <w:rPr>
          <w:sz w:val="24"/>
          <w:szCs w:val="23"/>
        </w:rPr>
      </w:pPr>
    </w:p>
    <w:p w14:paraId="3DF6CE3F" w14:textId="77777777" w:rsidR="00644A8F" w:rsidRPr="00167C3D" w:rsidRDefault="00644A8F" w:rsidP="00644A8F">
      <w:pPr>
        <w:jc w:val="both"/>
        <w:rPr>
          <w:sz w:val="24"/>
          <w:szCs w:val="23"/>
        </w:rPr>
      </w:pPr>
      <w:r w:rsidRPr="00167C3D">
        <w:rPr>
          <w:sz w:val="24"/>
          <w:szCs w:val="23"/>
        </w:rPr>
        <w:t xml:space="preserve">Commodities are coded according to the </w:t>
      </w:r>
      <w:proofErr w:type="spellStart"/>
      <w:r w:rsidRPr="00167C3D">
        <w:rPr>
          <w:b/>
          <w:sz w:val="24"/>
          <w:szCs w:val="23"/>
        </w:rPr>
        <w:t>Harmonised</w:t>
      </w:r>
      <w:proofErr w:type="spellEnd"/>
      <w:r w:rsidRPr="00167C3D">
        <w:rPr>
          <w:b/>
          <w:sz w:val="24"/>
          <w:szCs w:val="23"/>
        </w:rPr>
        <w:t xml:space="preserve"> Commodity Description and Coding System Nomenclature (HS 20</w:t>
      </w:r>
      <w:r w:rsidR="008A56F1">
        <w:rPr>
          <w:b/>
          <w:sz w:val="24"/>
          <w:szCs w:val="23"/>
        </w:rPr>
        <w:t>22</w:t>
      </w:r>
      <w:r w:rsidRPr="00167C3D">
        <w:rPr>
          <w:b/>
          <w:sz w:val="24"/>
          <w:szCs w:val="23"/>
        </w:rPr>
        <w:t>)</w:t>
      </w:r>
      <w:r w:rsidRPr="00167C3D">
        <w:rPr>
          <w:sz w:val="24"/>
          <w:szCs w:val="23"/>
        </w:rPr>
        <w:t xml:space="preserve">.  However, for the purposes of economic analysis and to facilitate international comparison of trade by commodity data, the commodities are also classified according to </w:t>
      </w:r>
      <w:r w:rsidRPr="00167C3D">
        <w:rPr>
          <w:b/>
          <w:sz w:val="24"/>
          <w:szCs w:val="23"/>
        </w:rPr>
        <w:t>the Standard International Trade Classification (Revision 4) (SITC Rev. 4)</w:t>
      </w:r>
      <w:r w:rsidRPr="00167C3D">
        <w:rPr>
          <w:sz w:val="24"/>
          <w:szCs w:val="23"/>
        </w:rPr>
        <w:t>.  The HS and the SITC Rev. 4 are six- and five-digit codes respectively but have been extended to eight and seven digits to accommodate national requirements.</w:t>
      </w:r>
    </w:p>
    <w:p w14:paraId="40531F74" w14:textId="77777777" w:rsidR="00644A8F" w:rsidRPr="00167C3D" w:rsidRDefault="00644A8F" w:rsidP="00644A8F">
      <w:pPr>
        <w:jc w:val="both"/>
        <w:rPr>
          <w:sz w:val="24"/>
          <w:szCs w:val="23"/>
        </w:rPr>
      </w:pPr>
    </w:p>
    <w:p w14:paraId="4FEA7371" w14:textId="77777777" w:rsidR="00644A8F" w:rsidRPr="00167C3D" w:rsidRDefault="00644A8F" w:rsidP="00644A8F">
      <w:pPr>
        <w:spacing w:line="200" w:lineRule="exact"/>
        <w:rPr>
          <w:b/>
          <w:sz w:val="24"/>
          <w:szCs w:val="23"/>
          <w:u w:val="single"/>
        </w:rPr>
      </w:pPr>
      <w:r w:rsidRPr="00167C3D">
        <w:rPr>
          <w:b/>
          <w:sz w:val="24"/>
          <w:szCs w:val="23"/>
        </w:rPr>
        <w:t>(4)</w:t>
      </w:r>
      <w:r w:rsidRPr="00167C3D">
        <w:rPr>
          <w:sz w:val="24"/>
          <w:szCs w:val="23"/>
        </w:rPr>
        <w:tab/>
      </w:r>
      <w:r w:rsidRPr="00167C3D">
        <w:rPr>
          <w:b/>
          <w:sz w:val="24"/>
          <w:szCs w:val="23"/>
        </w:rPr>
        <w:t>Symbols used</w:t>
      </w:r>
    </w:p>
    <w:p w14:paraId="029ADBCA" w14:textId="71832FEE" w:rsidR="00F96ADD" w:rsidRPr="00644A8F" w:rsidRDefault="00644A8F" w:rsidP="006E7916">
      <w:pPr>
        <w:spacing w:line="200" w:lineRule="exact"/>
      </w:pPr>
      <w:r w:rsidRPr="00167C3D">
        <w:rPr>
          <w:sz w:val="24"/>
          <w:szCs w:val="23"/>
        </w:rPr>
        <w:br/>
      </w:r>
      <w:r w:rsidRPr="00167C3D">
        <w:rPr>
          <w:sz w:val="24"/>
          <w:szCs w:val="23"/>
        </w:rPr>
        <w:tab/>
      </w:r>
      <w:r w:rsidRPr="00167C3D">
        <w:rPr>
          <w:sz w:val="24"/>
          <w:szCs w:val="23"/>
        </w:rPr>
        <w:tab/>
        <w:t xml:space="preserve"> -   </w:t>
      </w:r>
      <w:r w:rsidRPr="00167C3D">
        <w:rPr>
          <w:sz w:val="24"/>
          <w:szCs w:val="23"/>
        </w:rPr>
        <w:tab/>
        <w:t>Nil or negligible</w:t>
      </w:r>
      <w:r w:rsidRPr="00167C3D">
        <w:rPr>
          <w:sz w:val="24"/>
          <w:szCs w:val="23"/>
        </w:rPr>
        <w:br/>
      </w:r>
      <w:r w:rsidRPr="00167C3D">
        <w:rPr>
          <w:sz w:val="24"/>
          <w:szCs w:val="23"/>
        </w:rPr>
        <w:br/>
      </w:r>
      <w:r w:rsidRPr="00167C3D">
        <w:rPr>
          <w:sz w:val="24"/>
          <w:szCs w:val="23"/>
        </w:rPr>
        <w:tab/>
      </w:r>
      <w:r w:rsidRPr="00167C3D">
        <w:rPr>
          <w:sz w:val="24"/>
          <w:szCs w:val="23"/>
        </w:rPr>
        <w:tab/>
        <w:t xml:space="preserve">-. -  </w:t>
      </w:r>
      <w:r w:rsidRPr="00167C3D">
        <w:rPr>
          <w:sz w:val="24"/>
          <w:szCs w:val="23"/>
        </w:rPr>
        <w:tab/>
        <w:t>Not applicable</w:t>
      </w:r>
      <w:r w:rsidRPr="00167C3D">
        <w:rPr>
          <w:sz w:val="24"/>
          <w:szCs w:val="23"/>
        </w:rPr>
        <w:br/>
      </w:r>
      <w:r w:rsidRPr="00167C3D">
        <w:rPr>
          <w:sz w:val="24"/>
          <w:szCs w:val="23"/>
        </w:rPr>
        <w:br/>
      </w:r>
      <w:r w:rsidRPr="00167C3D">
        <w:rPr>
          <w:sz w:val="24"/>
          <w:szCs w:val="23"/>
        </w:rPr>
        <w:tab/>
      </w:r>
      <w:r w:rsidRPr="00167C3D">
        <w:rPr>
          <w:sz w:val="24"/>
          <w:szCs w:val="23"/>
        </w:rPr>
        <w:tab/>
        <w:t>...</w:t>
      </w:r>
      <w:r w:rsidRPr="00167C3D">
        <w:rPr>
          <w:sz w:val="24"/>
          <w:szCs w:val="23"/>
        </w:rPr>
        <w:tab/>
        <w:t>Not available</w:t>
      </w:r>
    </w:p>
    <w:sectPr w:rsidR="00F96ADD" w:rsidRPr="00644A8F" w:rsidSect="00680D4A">
      <w:headerReference w:type="default" r:id="rId13"/>
      <w:pgSz w:w="11906" w:h="16838"/>
      <w:pgMar w:top="130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A9E3D" w14:textId="77777777" w:rsidR="00FB5F68" w:rsidRDefault="00FB5F68" w:rsidP="00F96ADD">
      <w:r>
        <w:separator/>
      </w:r>
    </w:p>
  </w:endnote>
  <w:endnote w:type="continuationSeparator" w:id="0">
    <w:p w14:paraId="04C05765" w14:textId="77777777" w:rsidR="00FB5F68" w:rsidRDefault="00FB5F68" w:rsidP="00F9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4217" w14:textId="77777777" w:rsidR="00FB5F68" w:rsidRDefault="00FB5F68" w:rsidP="00F96ADD">
      <w:r>
        <w:separator/>
      </w:r>
    </w:p>
  </w:footnote>
  <w:footnote w:type="continuationSeparator" w:id="0">
    <w:p w14:paraId="1B91E346" w14:textId="77777777" w:rsidR="00FB5F68" w:rsidRDefault="00FB5F68" w:rsidP="00F96ADD">
      <w:r>
        <w:continuationSeparator/>
      </w:r>
    </w:p>
  </w:footnote>
  <w:footnote w:id="1">
    <w:p w14:paraId="1F517FAE" w14:textId="77777777" w:rsidR="00644A8F" w:rsidRPr="007F703D" w:rsidRDefault="00644A8F" w:rsidP="00644A8F">
      <w:pPr>
        <w:pStyle w:val="FootnoteText"/>
        <w:rPr>
          <w:sz w:val="18"/>
          <w:szCs w:val="18"/>
          <w:lang w:val="en-GB"/>
        </w:rPr>
      </w:pPr>
      <w:r w:rsidRPr="007F703D">
        <w:rPr>
          <w:rStyle w:val="FootnoteReference"/>
          <w:sz w:val="18"/>
          <w:szCs w:val="18"/>
        </w:rPr>
        <w:footnoteRef/>
      </w:r>
      <w:r w:rsidRPr="007F703D">
        <w:rPr>
          <w:sz w:val="18"/>
          <w:szCs w:val="18"/>
        </w:rPr>
        <w:t xml:space="preserve"> Domestic exports are defined as goods of national origin.</w:t>
      </w:r>
    </w:p>
  </w:footnote>
  <w:footnote w:id="2">
    <w:p w14:paraId="149BF6A7" w14:textId="77777777" w:rsidR="00644A8F" w:rsidRPr="007F703D" w:rsidRDefault="00644A8F" w:rsidP="00644A8F">
      <w:pPr>
        <w:pStyle w:val="FootnoteText"/>
        <w:rPr>
          <w:sz w:val="18"/>
          <w:szCs w:val="18"/>
        </w:rPr>
      </w:pPr>
      <w:r w:rsidRPr="007F703D">
        <w:rPr>
          <w:rStyle w:val="FootnoteReference"/>
          <w:sz w:val="18"/>
          <w:szCs w:val="18"/>
        </w:rPr>
        <w:footnoteRef/>
      </w:r>
      <w:r w:rsidRPr="007F703D">
        <w:rPr>
          <w:sz w:val="18"/>
          <w:szCs w:val="18"/>
        </w:rPr>
        <w:t xml:space="preserve"> Re-exports are goods which are exported in the same condition as imported or after undergoing minor operations which leave them essentially unchanged.</w:t>
      </w:r>
    </w:p>
    <w:p w14:paraId="3E52203D" w14:textId="77777777" w:rsidR="00644A8F" w:rsidRPr="00AA5882" w:rsidRDefault="00644A8F" w:rsidP="00644A8F">
      <w:pPr>
        <w:pStyle w:val="FootnoteText"/>
        <w:rPr>
          <w:lang w:val="en-GB"/>
        </w:rPr>
      </w:pPr>
      <w:r w:rsidRPr="00AA5882">
        <w:t xml:space="preserve"> </w:t>
      </w:r>
      <w:r w:rsidRPr="00AA5882">
        <w:tab/>
      </w:r>
      <w:r w:rsidRPr="00AA5882">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E9C0" w14:textId="77777777" w:rsidR="00C5528A" w:rsidRDefault="00C5528A">
    <w:pPr>
      <w:pStyle w:val="Header"/>
      <w:jc w:val="center"/>
    </w:pPr>
    <w:r>
      <w:fldChar w:fldCharType="begin"/>
    </w:r>
    <w:r>
      <w:instrText xml:space="preserve"> PAGE   \* MERGEFORMAT </w:instrText>
    </w:r>
    <w:r>
      <w:fldChar w:fldCharType="separate"/>
    </w:r>
    <w:r w:rsidR="00F1523D">
      <w:rPr>
        <w:noProof/>
      </w:rPr>
      <w:t>7</w:t>
    </w:r>
    <w:r>
      <w:rPr>
        <w:noProof/>
      </w:rPr>
      <w:fldChar w:fldCharType="end"/>
    </w:r>
  </w:p>
  <w:p w14:paraId="07C86E7A" w14:textId="77777777" w:rsidR="00F96ADD" w:rsidRDefault="00F96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16B"/>
    <w:multiLevelType w:val="multilevel"/>
    <w:tmpl w:val="1D2A2C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AB63D8"/>
    <w:multiLevelType w:val="hybridMultilevel"/>
    <w:tmpl w:val="0522618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2FF5061F"/>
    <w:multiLevelType w:val="hybridMultilevel"/>
    <w:tmpl w:val="1F101D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8EB3E51"/>
    <w:multiLevelType w:val="hybridMultilevel"/>
    <w:tmpl w:val="CE96D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03715E7"/>
    <w:multiLevelType w:val="hybridMultilevel"/>
    <w:tmpl w:val="9578B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361FE"/>
    <w:multiLevelType w:val="hybridMultilevel"/>
    <w:tmpl w:val="C21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7648E"/>
    <w:multiLevelType w:val="multilevel"/>
    <w:tmpl w:val="F95AB89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DD"/>
    <w:rsid w:val="00001661"/>
    <w:rsid w:val="000171BD"/>
    <w:rsid w:val="0002094A"/>
    <w:rsid w:val="00021149"/>
    <w:rsid w:val="00021A0E"/>
    <w:rsid w:val="00026302"/>
    <w:rsid w:val="000267FA"/>
    <w:rsid w:val="00027D73"/>
    <w:rsid w:val="00036AF5"/>
    <w:rsid w:val="00041DCA"/>
    <w:rsid w:val="000425B7"/>
    <w:rsid w:val="00043C41"/>
    <w:rsid w:val="00044344"/>
    <w:rsid w:val="00045839"/>
    <w:rsid w:val="00046DF8"/>
    <w:rsid w:val="00055C3C"/>
    <w:rsid w:val="0006102E"/>
    <w:rsid w:val="00062265"/>
    <w:rsid w:val="00072E02"/>
    <w:rsid w:val="0007516C"/>
    <w:rsid w:val="00081974"/>
    <w:rsid w:val="00090E2A"/>
    <w:rsid w:val="00092395"/>
    <w:rsid w:val="000978C1"/>
    <w:rsid w:val="000A0D16"/>
    <w:rsid w:val="000A1412"/>
    <w:rsid w:val="000A6B56"/>
    <w:rsid w:val="000C141E"/>
    <w:rsid w:val="000D7CE0"/>
    <w:rsid w:val="000E12A6"/>
    <w:rsid w:val="000E2D20"/>
    <w:rsid w:val="000E4418"/>
    <w:rsid w:val="000F1D5F"/>
    <w:rsid w:val="000F20CC"/>
    <w:rsid w:val="000F295C"/>
    <w:rsid w:val="000F724A"/>
    <w:rsid w:val="00101C20"/>
    <w:rsid w:val="00110B2D"/>
    <w:rsid w:val="0011607D"/>
    <w:rsid w:val="00117057"/>
    <w:rsid w:val="00120E33"/>
    <w:rsid w:val="00127780"/>
    <w:rsid w:val="00131CFA"/>
    <w:rsid w:val="00140E0B"/>
    <w:rsid w:val="00142FC0"/>
    <w:rsid w:val="001468D7"/>
    <w:rsid w:val="00150BF8"/>
    <w:rsid w:val="0015131E"/>
    <w:rsid w:val="001515BF"/>
    <w:rsid w:val="00152C29"/>
    <w:rsid w:val="00153794"/>
    <w:rsid w:val="001558E0"/>
    <w:rsid w:val="001723A8"/>
    <w:rsid w:val="00177708"/>
    <w:rsid w:val="001804D3"/>
    <w:rsid w:val="00190705"/>
    <w:rsid w:val="00190738"/>
    <w:rsid w:val="00194CC6"/>
    <w:rsid w:val="001A0774"/>
    <w:rsid w:val="001A552D"/>
    <w:rsid w:val="001A56C0"/>
    <w:rsid w:val="001B0238"/>
    <w:rsid w:val="001B2A13"/>
    <w:rsid w:val="001B5C57"/>
    <w:rsid w:val="001C0939"/>
    <w:rsid w:val="001C54AF"/>
    <w:rsid w:val="001D294E"/>
    <w:rsid w:val="001D320F"/>
    <w:rsid w:val="001E0A15"/>
    <w:rsid w:val="001E5282"/>
    <w:rsid w:val="001F3F87"/>
    <w:rsid w:val="00201461"/>
    <w:rsid w:val="0020597E"/>
    <w:rsid w:val="00212230"/>
    <w:rsid w:val="00212743"/>
    <w:rsid w:val="002147EC"/>
    <w:rsid w:val="0023780E"/>
    <w:rsid w:val="00247582"/>
    <w:rsid w:val="00247E4E"/>
    <w:rsid w:val="002517A7"/>
    <w:rsid w:val="002569D0"/>
    <w:rsid w:val="002665C4"/>
    <w:rsid w:val="0026735E"/>
    <w:rsid w:val="00271D3E"/>
    <w:rsid w:val="00272952"/>
    <w:rsid w:val="0028295A"/>
    <w:rsid w:val="00282B04"/>
    <w:rsid w:val="00287870"/>
    <w:rsid w:val="00293993"/>
    <w:rsid w:val="00293CF9"/>
    <w:rsid w:val="0029746D"/>
    <w:rsid w:val="002A015D"/>
    <w:rsid w:val="002A08B0"/>
    <w:rsid w:val="002A37C5"/>
    <w:rsid w:val="002A4843"/>
    <w:rsid w:val="002A7ED5"/>
    <w:rsid w:val="002B314A"/>
    <w:rsid w:val="002B32F8"/>
    <w:rsid w:val="002C3DE5"/>
    <w:rsid w:val="002C4768"/>
    <w:rsid w:val="002D2D06"/>
    <w:rsid w:val="002D3613"/>
    <w:rsid w:val="002D3895"/>
    <w:rsid w:val="002D3F62"/>
    <w:rsid w:val="002E07E8"/>
    <w:rsid w:val="002E2E80"/>
    <w:rsid w:val="002E3DEE"/>
    <w:rsid w:val="002E4E00"/>
    <w:rsid w:val="002F39E5"/>
    <w:rsid w:val="00301052"/>
    <w:rsid w:val="00302015"/>
    <w:rsid w:val="00304FDD"/>
    <w:rsid w:val="0030531B"/>
    <w:rsid w:val="0030586E"/>
    <w:rsid w:val="00313E46"/>
    <w:rsid w:val="00315671"/>
    <w:rsid w:val="00316DF3"/>
    <w:rsid w:val="00323EF4"/>
    <w:rsid w:val="00331F91"/>
    <w:rsid w:val="00336F20"/>
    <w:rsid w:val="00346631"/>
    <w:rsid w:val="003475A0"/>
    <w:rsid w:val="00352C19"/>
    <w:rsid w:val="00354D55"/>
    <w:rsid w:val="00366694"/>
    <w:rsid w:val="00370420"/>
    <w:rsid w:val="00372B3A"/>
    <w:rsid w:val="003758DA"/>
    <w:rsid w:val="00383905"/>
    <w:rsid w:val="00391949"/>
    <w:rsid w:val="00397613"/>
    <w:rsid w:val="003A3818"/>
    <w:rsid w:val="003A488F"/>
    <w:rsid w:val="003A50FC"/>
    <w:rsid w:val="003A5136"/>
    <w:rsid w:val="003A6524"/>
    <w:rsid w:val="003D0F4D"/>
    <w:rsid w:val="003D16AA"/>
    <w:rsid w:val="003D16C0"/>
    <w:rsid w:val="003E4339"/>
    <w:rsid w:val="003E621A"/>
    <w:rsid w:val="003E783B"/>
    <w:rsid w:val="003F08A4"/>
    <w:rsid w:val="003F121D"/>
    <w:rsid w:val="003F316A"/>
    <w:rsid w:val="003F67EB"/>
    <w:rsid w:val="00403E31"/>
    <w:rsid w:val="0040592C"/>
    <w:rsid w:val="004102E3"/>
    <w:rsid w:val="00411DBB"/>
    <w:rsid w:val="00411F7F"/>
    <w:rsid w:val="00416EBF"/>
    <w:rsid w:val="00433B23"/>
    <w:rsid w:val="00434A75"/>
    <w:rsid w:val="00437E32"/>
    <w:rsid w:val="00442A61"/>
    <w:rsid w:val="00447042"/>
    <w:rsid w:val="004562C0"/>
    <w:rsid w:val="004563BC"/>
    <w:rsid w:val="00461CAA"/>
    <w:rsid w:val="00462090"/>
    <w:rsid w:val="0046347A"/>
    <w:rsid w:val="00464D26"/>
    <w:rsid w:val="004656C7"/>
    <w:rsid w:val="00465789"/>
    <w:rsid w:val="00473144"/>
    <w:rsid w:val="00473CA8"/>
    <w:rsid w:val="00480C67"/>
    <w:rsid w:val="004824A8"/>
    <w:rsid w:val="00484723"/>
    <w:rsid w:val="00484820"/>
    <w:rsid w:val="004A41CC"/>
    <w:rsid w:val="004B323C"/>
    <w:rsid w:val="004B4FF4"/>
    <w:rsid w:val="004C1BD6"/>
    <w:rsid w:val="004C452D"/>
    <w:rsid w:val="004C462D"/>
    <w:rsid w:val="004C4F27"/>
    <w:rsid w:val="004E207E"/>
    <w:rsid w:val="004E3B7C"/>
    <w:rsid w:val="004F1EBF"/>
    <w:rsid w:val="004F396F"/>
    <w:rsid w:val="004F50CA"/>
    <w:rsid w:val="00511C13"/>
    <w:rsid w:val="00514B1A"/>
    <w:rsid w:val="00514D5A"/>
    <w:rsid w:val="0051726E"/>
    <w:rsid w:val="005206DB"/>
    <w:rsid w:val="00526A01"/>
    <w:rsid w:val="00532AB8"/>
    <w:rsid w:val="0053775C"/>
    <w:rsid w:val="00541F65"/>
    <w:rsid w:val="00546CC7"/>
    <w:rsid w:val="005522C2"/>
    <w:rsid w:val="0055453D"/>
    <w:rsid w:val="00560287"/>
    <w:rsid w:val="00560296"/>
    <w:rsid w:val="00564F4E"/>
    <w:rsid w:val="00570E1C"/>
    <w:rsid w:val="005758B7"/>
    <w:rsid w:val="00583256"/>
    <w:rsid w:val="0058344D"/>
    <w:rsid w:val="005948DE"/>
    <w:rsid w:val="005A6DD1"/>
    <w:rsid w:val="005B206C"/>
    <w:rsid w:val="005B3696"/>
    <w:rsid w:val="005B543B"/>
    <w:rsid w:val="005B623D"/>
    <w:rsid w:val="005C02E2"/>
    <w:rsid w:val="005C164D"/>
    <w:rsid w:val="005C37EE"/>
    <w:rsid w:val="005C4B5E"/>
    <w:rsid w:val="005C6F5E"/>
    <w:rsid w:val="005C765D"/>
    <w:rsid w:val="005D5072"/>
    <w:rsid w:val="005D6236"/>
    <w:rsid w:val="005E5384"/>
    <w:rsid w:val="005E6CB9"/>
    <w:rsid w:val="005F7529"/>
    <w:rsid w:val="00602EB5"/>
    <w:rsid w:val="006158EC"/>
    <w:rsid w:val="00625312"/>
    <w:rsid w:val="00630B86"/>
    <w:rsid w:val="00636026"/>
    <w:rsid w:val="00637B34"/>
    <w:rsid w:val="00640046"/>
    <w:rsid w:val="00644A8F"/>
    <w:rsid w:val="00647494"/>
    <w:rsid w:val="00654DAB"/>
    <w:rsid w:val="006559F0"/>
    <w:rsid w:val="0066127B"/>
    <w:rsid w:val="0066243B"/>
    <w:rsid w:val="00663046"/>
    <w:rsid w:val="00663102"/>
    <w:rsid w:val="00667096"/>
    <w:rsid w:val="00667B67"/>
    <w:rsid w:val="00667E98"/>
    <w:rsid w:val="00675B68"/>
    <w:rsid w:val="00680D4A"/>
    <w:rsid w:val="006818E5"/>
    <w:rsid w:val="00683C2A"/>
    <w:rsid w:val="00686366"/>
    <w:rsid w:val="00693B3C"/>
    <w:rsid w:val="006A414E"/>
    <w:rsid w:val="006A4190"/>
    <w:rsid w:val="006B2BFC"/>
    <w:rsid w:val="006B4AAD"/>
    <w:rsid w:val="006B52E4"/>
    <w:rsid w:val="006C2971"/>
    <w:rsid w:val="006E2637"/>
    <w:rsid w:val="006E575F"/>
    <w:rsid w:val="006E63BF"/>
    <w:rsid w:val="006E7916"/>
    <w:rsid w:val="006F05FC"/>
    <w:rsid w:val="00700C6A"/>
    <w:rsid w:val="007036AF"/>
    <w:rsid w:val="007125F8"/>
    <w:rsid w:val="00712EAF"/>
    <w:rsid w:val="007135F0"/>
    <w:rsid w:val="0071389F"/>
    <w:rsid w:val="00724ECB"/>
    <w:rsid w:val="00725DC7"/>
    <w:rsid w:val="007269BE"/>
    <w:rsid w:val="00727123"/>
    <w:rsid w:val="00727469"/>
    <w:rsid w:val="007308BA"/>
    <w:rsid w:val="007312B6"/>
    <w:rsid w:val="007358FE"/>
    <w:rsid w:val="007449C3"/>
    <w:rsid w:val="007471A4"/>
    <w:rsid w:val="007503D9"/>
    <w:rsid w:val="00752533"/>
    <w:rsid w:val="00767B7A"/>
    <w:rsid w:val="00773A3C"/>
    <w:rsid w:val="007930C0"/>
    <w:rsid w:val="0079704C"/>
    <w:rsid w:val="007A1C1A"/>
    <w:rsid w:val="007B4124"/>
    <w:rsid w:val="007B4560"/>
    <w:rsid w:val="007B6468"/>
    <w:rsid w:val="007B6FA8"/>
    <w:rsid w:val="007C3A5F"/>
    <w:rsid w:val="007E15E1"/>
    <w:rsid w:val="007E31BE"/>
    <w:rsid w:val="007E5F5A"/>
    <w:rsid w:val="007F74D2"/>
    <w:rsid w:val="00800DEA"/>
    <w:rsid w:val="00801A80"/>
    <w:rsid w:val="008063AB"/>
    <w:rsid w:val="00835141"/>
    <w:rsid w:val="00851197"/>
    <w:rsid w:val="00854638"/>
    <w:rsid w:val="00861FAF"/>
    <w:rsid w:val="00864071"/>
    <w:rsid w:val="008640F3"/>
    <w:rsid w:val="00866A62"/>
    <w:rsid w:val="00872D87"/>
    <w:rsid w:val="00873C47"/>
    <w:rsid w:val="00876342"/>
    <w:rsid w:val="0088450A"/>
    <w:rsid w:val="008937FB"/>
    <w:rsid w:val="00893A50"/>
    <w:rsid w:val="0089441A"/>
    <w:rsid w:val="008978DF"/>
    <w:rsid w:val="008A20FD"/>
    <w:rsid w:val="008A56F1"/>
    <w:rsid w:val="008A5914"/>
    <w:rsid w:val="008B3396"/>
    <w:rsid w:val="008B7362"/>
    <w:rsid w:val="008C344E"/>
    <w:rsid w:val="008C3820"/>
    <w:rsid w:val="008C48E4"/>
    <w:rsid w:val="008C59CE"/>
    <w:rsid w:val="008C5CF7"/>
    <w:rsid w:val="008D0664"/>
    <w:rsid w:val="008D336A"/>
    <w:rsid w:val="00904FFA"/>
    <w:rsid w:val="00907D2F"/>
    <w:rsid w:val="00910047"/>
    <w:rsid w:val="00913BBE"/>
    <w:rsid w:val="00914DEF"/>
    <w:rsid w:val="00915843"/>
    <w:rsid w:val="0092625C"/>
    <w:rsid w:val="0092726F"/>
    <w:rsid w:val="009440A9"/>
    <w:rsid w:val="00954CE6"/>
    <w:rsid w:val="00964F0D"/>
    <w:rsid w:val="00966527"/>
    <w:rsid w:val="00977C08"/>
    <w:rsid w:val="00980D21"/>
    <w:rsid w:val="00980E5F"/>
    <w:rsid w:val="009B020C"/>
    <w:rsid w:val="009B12C1"/>
    <w:rsid w:val="009B64D4"/>
    <w:rsid w:val="009C485B"/>
    <w:rsid w:val="009C4E1A"/>
    <w:rsid w:val="009C630A"/>
    <w:rsid w:val="009C6E6C"/>
    <w:rsid w:val="009D00F2"/>
    <w:rsid w:val="009D5124"/>
    <w:rsid w:val="009D59FD"/>
    <w:rsid w:val="009D61AE"/>
    <w:rsid w:val="009E007C"/>
    <w:rsid w:val="009E0D4F"/>
    <w:rsid w:val="009E1660"/>
    <w:rsid w:val="009E23C9"/>
    <w:rsid w:val="009E5D38"/>
    <w:rsid w:val="009F27F6"/>
    <w:rsid w:val="009F2CC2"/>
    <w:rsid w:val="009F2D2F"/>
    <w:rsid w:val="009F38E7"/>
    <w:rsid w:val="009F4711"/>
    <w:rsid w:val="00A00E09"/>
    <w:rsid w:val="00A02612"/>
    <w:rsid w:val="00A12D08"/>
    <w:rsid w:val="00A13E06"/>
    <w:rsid w:val="00A22323"/>
    <w:rsid w:val="00A23DC2"/>
    <w:rsid w:val="00A265E1"/>
    <w:rsid w:val="00A27BED"/>
    <w:rsid w:val="00A37C8C"/>
    <w:rsid w:val="00A42B69"/>
    <w:rsid w:val="00A43A8A"/>
    <w:rsid w:val="00A46371"/>
    <w:rsid w:val="00A4641F"/>
    <w:rsid w:val="00A567BB"/>
    <w:rsid w:val="00A71979"/>
    <w:rsid w:val="00A73606"/>
    <w:rsid w:val="00A747EF"/>
    <w:rsid w:val="00A91FCE"/>
    <w:rsid w:val="00A96051"/>
    <w:rsid w:val="00AA1925"/>
    <w:rsid w:val="00AA252E"/>
    <w:rsid w:val="00AA4727"/>
    <w:rsid w:val="00AA55FE"/>
    <w:rsid w:val="00AB4CB4"/>
    <w:rsid w:val="00AB6872"/>
    <w:rsid w:val="00AC26B1"/>
    <w:rsid w:val="00AC36F0"/>
    <w:rsid w:val="00AD5437"/>
    <w:rsid w:val="00AF22B6"/>
    <w:rsid w:val="00AF2F16"/>
    <w:rsid w:val="00AF5804"/>
    <w:rsid w:val="00AF6907"/>
    <w:rsid w:val="00B059ED"/>
    <w:rsid w:val="00B11F05"/>
    <w:rsid w:val="00B13722"/>
    <w:rsid w:val="00B170B0"/>
    <w:rsid w:val="00B177D4"/>
    <w:rsid w:val="00B22A7F"/>
    <w:rsid w:val="00B23293"/>
    <w:rsid w:val="00B30113"/>
    <w:rsid w:val="00B46BDE"/>
    <w:rsid w:val="00B51ECB"/>
    <w:rsid w:val="00B54957"/>
    <w:rsid w:val="00B6097C"/>
    <w:rsid w:val="00B77AF9"/>
    <w:rsid w:val="00B85408"/>
    <w:rsid w:val="00B8610B"/>
    <w:rsid w:val="00B8771E"/>
    <w:rsid w:val="00BA2050"/>
    <w:rsid w:val="00BA415B"/>
    <w:rsid w:val="00BA57B2"/>
    <w:rsid w:val="00BB137C"/>
    <w:rsid w:val="00BB3402"/>
    <w:rsid w:val="00BB3F5B"/>
    <w:rsid w:val="00BB51EA"/>
    <w:rsid w:val="00BC1662"/>
    <w:rsid w:val="00BC478F"/>
    <w:rsid w:val="00BE3D84"/>
    <w:rsid w:val="00BE4494"/>
    <w:rsid w:val="00BF4E14"/>
    <w:rsid w:val="00C05B6D"/>
    <w:rsid w:val="00C13968"/>
    <w:rsid w:val="00C15C55"/>
    <w:rsid w:val="00C16A55"/>
    <w:rsid w:val="00C212A3"/>
    <w:rsid w:val="00C22F22"/>
    <w:rsid w:val="00C26E78"/>
    <w:rsid w:val="00C326DA"/>
    <w:rsid w:val="00C342E2"/>
    <w:rsid w:val="00C3707D"/>
    <w:rsid w:val="00C41514"/>
    <w:rsid w:val="00C41D2B"/>
    <w:rsid w:val="00C5528A"/>
    <w:rsid w:val="00C57DD2"/>
    <w:rsid w:val="00C766A2"/>
    <w:rsid w:val="00C80FFA"/>
    <w:rsid w:val="00C93AC4"/>
    <w:rsid w:val="00CA3184"/>
    <w:rsid w:val="00CA4DE0"/>
    <w:rsid w:val="00CA7A47"/>
    <w:rsid w:val="00CB1661"/>
    <w:rsid w:val="00CB5DD3"/>
    <w:rsid w:val="00CC0A8D"/>
    <w:rsid w:val="00CC34D4"/>
    <w:rsid w:val="00CC4BB6"/>
    <w:rsid w:val="00CC6010"/>
    <w:rsid w:val="00CC72BA"/>
    <w:rsid w:val="00CD316A"/>
    <w:rsid w:val="00CD602C"/>
    <w:rsid w:val="00CE5E6B"/>
    <w:rsid w:val="00CE6990"/>
    <w:rsid w:val="00CF2EF1"/>
    <w:rsid w:val="00CF3650"/>
    <w:rsid w:val="00D01B85"/>
    <w:rsid w:val="00D07DAA"/>
    <w:rsid w:val="00D100B9"/>
    <w:rsid w:val="00D11A40"/>
    <w:rsid w:val="00D120A7"/>
    <w:rsid w:val="00D1237D"/>
    <w:rsid w:val="00D21973"/>
    <w:rsid w:val="00D23A91"/>
    <w:rsid w:val="00D2403D"/>
    <w:rsid w:val="00D250A1"/>
    <w:rsid w:val="00D30519"/>
    <w:rsid w:val="00D3409B"/>
    <w:rsid w:val="00D457B7"/>
    <w:rsid w:val="00D47A69"/>
    <w:rsid w:val="00D47D0E"/>
    <w:rsid w:val="00D538E2"/>
    <w:rsid w:val="00D63078"/>
    <w:rsid w:val="00D637B5"/>
    <w:rsid w:val="00D70B85"/>
    <w:rsid w:val="00D71763"/>
    <w:rsid w:val="00D742CD"/>
    <w:rsid w:val="00D74FD2"/>
    <w:rsid w:val="00D76314"/>
    <w:rsid w:val="00D8045D"/>
    <w:rsid w:val="00D81DF3"/>
    <w:rsid w:val="00D833DD"/>
    <w:rsid w:val="00D83888"/>
    <w:rsid w:val="00D86D3D"/>
    <w:rsid w:val="00D903AB"/>
    <w:rsid w:val="00D90566"/>
    <w:rsid w:val="00D936B0"/>
    <w:rsid w:val="00DA47F8"/>
    <w:rsid w:val="00DA519A"/>
    <w:rsid w:val="00DA7AB2"/>
    <w:rsid w:val="00DB0AC5"/>
    <w:rsid w:val="00DB3AFD"/>
    <w:rsid w:val="00DB574E"/>
    <w:rsid w:val="00DB6C18"/>
    <w:rsid w:val="00DC11DD"/>
    <w:rsid w:val="00DC3BCB"/>
    <w:rsid w:val="00DD019E"/>
    <w:rsid w:val="00DD12A6"/>
    <w:rsid w:val="00DD4104"/>
    <w:rsid w:val="00DD62BC"/>
    <w:rsid w:val="00DE3278"/>
    <w:rsid w:val="00DE5476"/>
    <w:rsid w:val="00DE62BF"/>
    <w:rsid w:val="00DF0711"/>
    <w:rsid w:val="00E00630"/>
    <w:rsid w:val="00E0496D"/>
    <w:rsid w:val="00E04BC2"/>
    <w:rsid w:val="00E15E5D"/>
    <w:rsid w:val="00E216EC"/>
    <w:rsid w:val="00E25EDE"/>
    <w:rsid w:val="00E270CD"/>
    <w:rsid w:val="00E34636"/>
    <w:rsid w:val="00E374E1"/>
    <w:rsid w:val="00E42A27"/>
    <w:rsid w:val="00E47E35"/>
    <w:rsid w:val="00E52E9A"/>
    <w:rsid w:val="00E6595F"/>
    <w:rsid w:val="00E6639B"/>
    <w:rsid w:val="00E66B05"/>
    <w:rsid w:val="00E82705"/>
    <w:rsid w:val="00E86719"/>
    <w:rsid w:val="00E87EC8"/>
    <w:rsid w:val="00E90181"/>
    <w:rsid w:val="00E91353"/>
    <w:rsid w:val="00EA0E87"/>
    <w:rsid w:val="00EA31DD"/>
    <w:rsid w:val="00EA7370"/>
    <w:rsid w:val="00EB2815"/>
    <w:rsid w:val="00EB3ADD"/>
    <w:rsid w:val="00EB4FBB"/>
    <w:rsid w:val="00EB56B7"/>
    <w:rsid w:val="00EC157D"/>
    <w:rsid w:val="00EC3319"/>
    <w:rsid w:val="00EC66A0"/>
    <w:rsid w:val="00ED0778"/>
    <w:rsid w:val="00ED1567"/>
    <w:rsid w:val="00ED71E8"/>
    <w:rsid w:val="00EE1065"/>
    <w:rsid w:val="00EF23D8"/>
    <w:rsid w:val="00F02C48"/>
    <w:rsid w:val="00F02DFF"/>
    <w:rsid w:val="00F041D2"/>
    <w:rsid w:val="00F1084F"/>
    <w:rsid w:val="00F11DF3"/>
    <w:rsid w:val="00F1523D"/>
    <w:rsid w:val="00F16657"/>
    <w:rsid w:val="00F17552"/>
    <w:rsid w:val="00F17DDE"/>
    <w:rsid w:val="00F2741B"/>
    <w:rsid w:val="00F27BAD"/>
    <w:rsid w:val="00F31096"/>
    <w:rsid w:val="00F360B1"/>
    <w:rsid w:val="00F362B3"/>
    <w:rsid w:val="00F423A3"/>
    <w:rsid w:val="00F45197"/>
    <w:rsid w:val="00F456B4"/>
    <w:rsid w:val="00F45E61"/>
    <w:rsid w:val="00F54066"/>
    <w:rsid w:val="00F561C0"/>
    <w:rsid w:val="00F62FEE"/>
    <w:rsid w:val="00F667BA"/>
    <w:rsid w:val="00F736FD"/>
    <w:rsid w:val="00F75E1E"/>
    <w:rsid w:val="00F77EC7"/>
    <w:rsid w:val="00F865D6"/>
    <w:rsid w:val="00F96ADD"/>
    <w:rsid w:val="00FA1547"/>
    <w:rsid w:val="00FA1A1B"/>
    <w:rsid w:val="00FA2DDB"/>
    <w:rsid w:val="00FA3CC6"/>
    <w:rsid w:val="00FA7ADB"/>
    <w:rsid w:val="00FB378C"/>
    <w:rsid w:val="00FB5F68"/>
    <w:rsid w:val="00FC5D59"/>
    <w:rsid w:val="00FD5EB3"/>
    <w:rsid w:val="00FD6396"/>
    <w:rsid w:val="00FD75B4"/>
    <w:rsid w:val="00FE6054"/>
    <w:rsid w:val="00FF44EF"/>
    <w:rsid w:val="00FF5741"/>
    <w:rsid w:val="00FF5918"/>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0422"/>
  <w15:chartTrackingRefBased/>
  <w15:docId w15:val="{2D0F0835-62FF-4528-8F09-6A5B11CE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U" w:eastAsia="en-M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ADD"/>
    <w:rPr>
      <w:rFonts w:ascii="Times New Roman" w:eastAsia="Times New Roman" w:hAnsi="Times New Roman"/>
      <w:lang w:val="en-US" w:eastAsia="en-US"/>
    </w:rPr>
  </w:style>
  <w:style w:type="paragraph" w:styleId="Heading1">
    <w:name w:val="heading 1"/>
    <w:basedOn w:val="Normal"/>
    <w:next w:val="Normal"/>
    <w:link w:val="Heading1Char"/>
    <w:qFormat/>
    <w:rsid w:val="00F96ADD"/>
    <w:pPr>
      <w:keepNext/>
      <w:outlineLvl w:val="0"/>
    </w:pPr>
    <w:rPr>
      <w:sz w:val="24"/>
    </w:rPr>
  </w:style>
  <w:style w:type="paragraph" w:styleId="Heading4">
    <w:name w:val="heading 4"/>
    <w:basedOn w:val="Normal"/>
    <w:next w:val="Normal"/>
    <w:link w:val="Heading4Char"/>
    <w:qFormat/>
    <w:rsid w:val="00F96ADD"/>
    <w:pPr>
      <w:keepNext/>
      <w:tabs>
        <w:tab w:val="num" w:pos="1140"/>
      </w:tabs>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6ADD"/>
    <w:rPr>
      <w:rFonts w:ascii="Times New Roman" w:eastAsia="Times New Roman" w:hAnsi="Times New Roman" w:cs="Times New Roman"/>
      <w:sz w:val="24"/>
      <w:szCs w:val="20"/>
      <w:lang w:val="en-US"/>
    </w:rPr>
  </w:style>
  <w:style w:type="character" w:customStyle="1" w:styleId="Heading4Char">
    <w:name w:val="Heading 4 Char"/>
    <w:link w:val="Heading4"/>
    <w:rsid w:val="00F96ADD"/>
    <w:rPr>
      <w:rFonts w:ascii="Times New Roman" w:eastAsia="Times New Roman" w:hAnsi="Times New Roman" w:cs="Times New Roman"/>
      <w:b/>
      <w:sz w:val="24"/>
      <w:szCs w:val="20"/>
      <w:lang w:val="en-US"/>
    </w:rPr>
  </w:style>
  <w:style w:type="paragraph" w:styleId="BodyTextIndent">
    <w:name w:val="Body Text Indent"/>
    <w:basedOn w:val="Normal"/>
    <w:link w:val="BodyTextIndentChar"/>
    <w:rsid w:val="00F96ADD"/>
    <w:pPr>
      <w:ind w:firstLine="720"/>
    </w:pPr>
    <w:rPr>
      <w:sz w:val="24"/>
    </w:rPr>
  </w:style>
  <w:style w:type="character" w:customStyle="1" w:styleId="BodyTextIndentChar">
    <w:name w:val="Body Text Indent Char"/>
    <w:link w:val="BodyTextIndent"/>
    <w:rsid w:val="00F96ADD"/>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F96ADD"/>
    <w:pPr>
      <w:ind w:firstLine="720"/>
      <w:jc w:val="both"/>
    </w:pPr>
    <w:rPr>
      <w:sz w:val="24"/>
    </w:rPr>
  </w:style>
  <w:style w:type="character" w:customStyle="1" w:styleId="BodyTextIndent2Char">
    <w:name w:val="Body Text Indent 2 Char"/>
    <w:link w:val="BodyTextIndent2"/>
    <w:rsid w:val="00F96ADD"/>
    <w:rPr>
      <w:rFonts w:ascii="Times New Roman" w:eastAsia="Times New Roman" w:hAnsi="Times New Roman" w:cs="Times New Roman"/>
      <w:sz w:val="24"/>
      <w:szCs w:val="20"/>
      <w:lang w:val="en-US"/>
    </w:rPr>
  </w:style>
  <w:style w:type="paragraph" w:styleId="BodyText">
    <w:name w:val="Body Text"/>
    <w:basedOn w:val="Normal"/>
    <w:link w:val="BodyTextChar"/>
    <w:rsid w:val="00F96ADD"/>
    <w:pPr>
      <w:tabs>
        <w:tab w:val="num" w:pos="1140"/>
      </w:tabs>
      <w:jc w:val="both"/>
    </w:pPr>
    <w:rPr>
      <w:sz w:val="24"/>
    </w:rPr>
  </w:style>
  <w:style w:type="character" w:customStyle="1" w:styleId="BodyTextChar">
    <w:name w:val="Body Text Char"/>
    <w:link w:val="BodyText"/>
    <w:rsid w:val="00F96AD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F96ADD"/>
    <w:pPr>
      <w:ind w:left="720"/>
    </w:pPr>
    <w:rPr>
      <w:lang w:val="en-GB"/>
    </w:rPr>
  </w:style>
  <w:style w:type="paragraph" w:styleId="FootnoteText">
    <w:name w:val="footnote text"/>
    <w:basedOn w:val="Normal"/>
    <w:link w:val="FootnoteTextChar"/>
    <w:rsid w:val="00F96ADD"/>
  </w:style>
  <w:style w:type="character" w:customStyle="1" w:styleId="FootnoteTextChar">
    <w:name w:val="Footnote Text Char"/>
    <w:link w:val="FootnoteText"/>
    <w:rsid w:val="00F96ADD"/>
    <w:rPr>
      <w:rFonts w:ascii="Times New Roman" w:eastAsia="Times New Roman" w:hAnsi="Times New Roman" w:cs="Times New Roman"/>
      <w:sz w:val="20"/>
      <w:szCs w:val="20"/>
      <w:lang w:val="en-US"/>
    </w:rPr>
  </w:style>
  <w:style w:type="character" w:styleId="FootnoteReference">
    <w:name w:val="footnote reference"/>
    <w:rsid w:val="00F96ADD"/>
    <w:rPr>
      <w:vertAlign w:val="superscript"/>
    </w:rPr>
  </w:style>
  <w:style w:type="paragraph" w:styleId="Header">
    <w:name w:val="header"/>
    <w:basedOn w:val="Normal"/>
    <w:link w:val="HeaderChar"/>
    <w:uiPriority w:val="99"/>
    <w:rsid w:val="00F96ADD"/>
    <w:pPr>
      <w:tabs>
        <w:tab w:val="center" w:pos="4320"/>
        <w:tab w:val="right" w:pos="8640"/>
      </w:tabs>
    </w:pPr>
  </w:style>
  <w:style w:type="character" w:customStyle="1" w:styleId="HeaderChar">
    <w:name w:val="Header Char"/>
    <w:link w:val="Header"/>
    <w:uiPriority w:val="99"/>
    <w:rsid w:val="00F96AD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44344"/>
    <w:pPr>
      <w:tabs>
        <w:tab w:val="center" w:pos="4513"/>
        <w:tab w:val="right" w:pos="9026"/>
      </w:tabs>
    </w:pPr>
  </w:style>
  <w:style w:type="character" w:customStyle="1" w:styleId="FooterChar">
    <w:name w:val="Footer Char"/>
    <w:link w:val="Footer"/>
    <w:uiPriority w:val="99"/>
    <w:rsid w:val="0004434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44A8F"/>
    <w:rPr>
      <w:rFonts w:ascii="Segoe UI" w:hAnsi="Segoe UI" w:cs="Segoe UI"/>
      <w:sz w:val="18"/>
      <w:szCs w:val="18"/>
    </w:rPr>
  </w:style>
  <w:style w:type="character" w:customStyle="1" w:styleId="BalloonTextChar">
    <w:name w:val="Balloon Text Char"/>
    <w:link w:val="BalloonText"/>
    <w:uiPriority w:val="99"/>
    <w:semiHidden/>
    <w:rsid w:val="00644A8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B5A689-F2CD-484D-A838-8363DF6ACC49}">
  <ds:schemaRefs>
    <ds:schemaRef ds:uri="http://schemas.microsoft.com/sharepoint/v3/contenttype/forms"/>
  </ds:schemaRefs>
</ds:datastoreItem>
</file>

<file path=customXml/itemProps2.xml><?xml version="1.0" encoding="utf-8"?>
<ds:datastoreItem xmlns:ds="http://schemas.openxmlformats.org/officeDocument/2006/customXml" ds:itemID="{22C49C8A-21F4-4B09-B56D-79B68500E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17EFB-383C-4A33-8731-A0512CCCB042}">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microsoft.com/sharepoint/v3"/>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Sookraj</dc:creator>
  <cp:keywords/>
  <cp:lastModifiedBy>Bhavna Ramjus</cp:lastModifiedBy>
  <cp:revision>4</cp:revision>
  <cp:lastPrinted>2026-02-19T11:52:00Z</cp:lastPrinted>
  <dcterms:created xsi:type="dcterms:W3CDTF">2026-02-24T06:19:00Z</dcterms:created>
  <dcterms:modified xsi:type="dcterms:W3CDTF">2026-02-24T06:25:00Z</dcterms:modified>
</cp:coreProperties>
</file>