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AE4D" w14:textId="77777777" w:rsidR="00770568" w:rsidRDefault="00770568" w:rsidP="00B45CF1">
      <w:pPr>
        <w:spacing w:after="120"/>
        <w:jc w:val="center"/>
        <w:rPr>
          <w:b/>
          <w:sz w:val="28"/>
          <w:szCs w:val="28"/>
        </w:rPr>
      </w:pPr>
    </w:p>
    <w:p w14:paraId="45A095C4" w14:textId="77777777" w:rsidR="006F7489" w:rsidRPr="00B45CF1" w:rsidRDefault="006F7489" w:rsidP="00B45CF1">
      <w:pPr>
        <w:spacing w:after="120"/>
        <w:jc w:val="center"/>
        <w:rPr>
          <w:b/>
          <w:sz w:val="28"/>
          <w:szCs w:val="28"/>
        </w:rPr>
      </w:pPr>
      <w:r w:rsidRPr="00B45CF1">
        <w:rPr>
          <w:b/>
          <w:sz w:val="28"/>
          <w:szCs w:val="28"/>
        </w:rPr>
        <w:t>Quarterly Index of Industrial Production (QIIP)</w:t>
      </w:r>
    </w:p>
    <w:p w14:paraId="3C9E5938" w14:textId="77777777" w:rsidR="006F7489" w:rsidRPr="00B45CF1" w:rsidRDefault="00CA0F7D" w:rsidP="00B45CF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</w:t>
      </w:r>
      <w:r w:rsidR="00B47D75">
        <w:rPr>
          <w:b/>
          <w:sz w:val="28"/>
          <w:szCs w:val="28"/>
        </w:rPr>
        <w:t xml:space="preserve"> </w:t>
      </w:r>
      <w:r w:rsidR="007D1C83" w:rsidRPr="00B45CF1">
        <w:rPr>
          <w:b/>
          <w:sz w:val="28"/>
          <w:szCs w:val="28"/>
        </w:rPr>
        <w:t>Q</w:t>
      </w:r>
      <w:r w:rsidR="00494DBD" w:rsidRPr="00B45CF1">
        <w:rPr>
          <w:b/>
          <w:sz w:val="28"/>
          <w:szCs w:val="28"/>
        </w:rPr>
        <w:t>uarter</w:t>
      </w:r>
      <w:r w:rsidR="006F7489" w:rsidRPr="00B45CF1">
        <w:rPr>
          <w:b/>
          <w:sz w:val="28"/>
          <w:szCs w:val="28"/>
        </w:rPr>
        <w:t xml:space="preserve"> </w:t>
      </w:r>
      <w:r w:rsidR="000435E9">
        <w:rPr>
          <w:b/>
          <w:sz w:val="28"/>
          <w:szCs w:val="28"/>
        </w:rPr>
        <w:t>202</w:t>
      </w:r>
      <w:r w:rsidR="002C4414">
        <w:rPr>
          <w:b/>
          <w:sz w:val="28"/>
          <w:szCs w:val="28"/>
        </w:rPr>
        <w:t>5</w:t>
      </w:r>
    </w:p>
    <w:p w14:paraId="21D18B18" w14:textId="77777777" w:rsidR="00B45CF1" w:rsidRPr="00530A79" w:rsidRDefault="00B45CF1" w:rsidP="00B45CF1">
      <w:pPr>
        <w:jc w:val="center"/>
        <w:rPr>
          <w:b/>
          <w:bCs/>
          <w:sz w:val="28"/>
          <w:szCs w:val="28"/>
        </w:rPr>
      </w:pPr>
      <w:r w:rsidRPr="00530A79">
        <w:rPr>
          <w:b/>
          <w:bCs/>
          <w:sz w:val="28"/>
          <w:szCs w:val="28"/>
        </w:rPr>
        <w:t>(Base year: 201</w:t>
      </w:r>
      <w:r w:rsidR="00F74A49">
        <w:rPr>
          <w:b/>
          <w:bCs/>
          <w:sz w:val="28"/>
          <w:szCs w:val="28"/>
        </w:rPr>
        <w:t>8</w:t>
      </w:r>
      <w:r w:rsidRPr="00530A79">
        <w:rPr>
          <w:b/>
          <w:bCs/>
          <w:sz w:val="28"/>
          <w:szCs w:val="28"/>
        </w:rPr>
        <w:t xml:space="preserve"> =100) </w:t>
      </w:r>
    </w:p>
    <w:p w14:paraId="7ED1D1B6" w14:textId="77777777" w:rsidR="00745CA3" w:rsidRDefault="00745CA3">
      <w:pPr>
        <w:jc w:val="center"/>
        <w:rPr>
          <w:b/>
          <w:sz w:val="32"/>
          <w:szCs w:val="32"/>
        </w:rPr>
      </w:pPr>
    </w:p>
    <w:p w14:paraId="52672395" w14:textId="77777777" w:rsidR="006F7489" w:rsidRDefault="006F748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Introduction</w:t>
      </w:r>
    </w:p>
    <w:p w14:paraId="59CCFDB1" w14:textId="77777777" w:rsidR="00A6313A" w:rsidRDefault="007F1602" w:rsidP="00A6313A">
      <w:pPr>
        <w:spacing w:before="200"/>
        <w:jc w:val="both"/>
        <w:rPr>
          <w:sz w:val="24"/>
        </w:rPr>
      </w:pPr>
      <w:r>
        <w:rPr>
          <w:sz w:val="24"/>
        </w:rPr>
        <w:t>The Index of Industrial Production shows the evolution of the volume of output of the Industrial Sector</w:t>
      </w:r>
      <w:r w:rsidR="00ED60A6">
        <w:rPr>
          <w:sz w:val="24"/>
        </w:rPr>
        <w:t>,</w:t>
      </w:r>
      <w:r>
        <w:rPr>
          <w:sz w:val="24"/>
        </w:rPr>
        <w:t xml:space="preserve"> which covers “Mining and quarrying”, “Manufacturing”</w:t>
      </w:r>
      <w:r w:rsidR="00156ED7">
        <w:rPr>
          <w:sz w:val="24"/>
        </w:rPr>
        <w:t>,</w:t>
      </w:r>
      <w:r>
        <w:rPr>
          <w:sz w:val="24"/>
        </w:rPr>
        <w:t xml:space="preserve"> “Electricit</w:t>
      </w:r>
      <w:r w:rsidR="00156ED7">
        <w:rPr>
          <w:sz w:val="24"/>
        </w:rPr>
        <w:t xml:space="preserve">y, gas, steam </w:t>
      </w:r>
      <w:r>
        <w:rPr>
          <w:sz w:val="24"/>
        </w:rPr>
        <w:t xml:space="preserve">and </w:t>
      </w:r>
      <w:r w:rsidR="00156ED7">
        <w:rPr>
          <w:sz w:val="24"/>
        </w:rPr>
        <w:t>air conditioning supply</w:t>
      </w:r>
      <w:r>
        <w:rPr>
          <w:sz w:val="24"/>
        </w:rPr>
        <w:t xml:space="preserve">” </w:t>
      </w:r>
      <w:r w:rsidR="00156ED7">
        <w:rPr>
          <w:sz w:val="24"/>
        </w:rPr>
        <w:t>and “Water supply; sew</w:t>
      </w:r>
      <w:r w:rsidR="007278C2">
        <w:rPr>
          <w:sz w:val="24"/>
        </w:rPr>
        <w:t>e</w:t>
      </w:r>
      <w:r w:rsidR="00156ED7">
        <w:rPr>
          <w:sz w:val="24"/>
        </w:rPr>
        <w:t>rage, waste management and remediation</w:t>
      </w:r>
      <w:r w:rsidR="004710A5">
        <w:rPr>
          <w:sz w:val="24"/>
        </w:rPr>
        <w:t xml:space="preserve"> activities</w:t>
      </w:r>
      <w:r w:rsidR="00156ED7">
        <w:rPr>
          <w:sz w:val="24"/>
        </w:rPr>
        <w:t>”</w:t>
      </w:r>
      <w:r w:rsidR="007661B6">
        <w:rPr>
          <w:sz w:val="24"/>
        </w:rPr>
        <w:t>.  The value added of these activities</w:t>
      </w:r>
      <w:r>
        <w:rPr>
          <w:sz w:val="24"/>
        </w:rPr>
        <w:t xml:space="preserve"> accounts for around </w:t>
      </w:r>
      <w:r w:rsidR="00530A79">
        <w:rPr>
          <w:sz w:val="24"/>
        </w:rPr>
        <w:t>1</w:t>
      </w:r>
      <w:r w:rsidR="00BB463B">
        <w:rPr>
          <w:sz w:val="24"/>
        </w:rPr>
        <w:t>5</w:t>
      </w:r>
      <w:r w:rsidR="00530A79">
        <w:rPr>
          <w:sz w:val="24"/>
        </w:rPr>
        <w:t>%</w:t>
      </w:r>
      <w:r>
        <w:rPr>
          <w:sz w:val="24"/>
        </w:rPr>
        <w:t xml:space="preserve"> of Gross </w:t>
      </w:r>
      <w:r w:rsidR="00664481">
        <w:rPr>
          <w:sz w:val="24"/>
        </w:rPr>
        <w:t>Value Added</w:t>
      </w:r>
      <w:r>
        <w:rPr>
          <w:sz w:val="24"/>
        </w:rPr>
        <w:t xml:space="preserve"> (G</w:t>
      </w:r>
      <w:r w:rsidR="00664481">
        <w:rPr>
          <w:sz w:val="24"/>
        </w:rPr>
        <w:t>VA</w:t>
      </w:r>
      <w:r>
        <w:rPr>
          <w:sz w:val="24"/>
        </w:rPr>
        <w:t>). The index compiled on a quarterly basis is one of the most important industrial short-term indicators, which aims at measuring, on a quarterly basis, the changes in the volume of industrial output.</w:t>
      </w:r>
    </w:p>
    <w:p w14:paraId="282D6517" w14:textId="77777777" w:rsidR="000E0686" w:rsidRPr="000E0686" w:rsidRDefault="0003559A" w:rsidP="00A6313A">
      <w:pPr>
        <w:spacing w:before="200"/>
        <w:jc w:val="both"/>
        <w:rPr>
          <w:b/>
          <w:sz w:val="24"/>
        </w:rPr>
      </w:pPr>
      <w:r>
        <w:rPr>
          <w:b/>
          <w:sz w:val="24"/>
        </w:rPr>
        <w:t>2</w:t>
      </w:r>
      <w:r w:rsidR="000E0686" w:rsidRPr="000E0686">
        <w:rPr>
          <w:b/>
          <w:sz w:val="24"/>
        </w:rPr>
        <w:t>. Contents of publication</w:t>
      </w:r>
    </w:p>
    <w:p w14:paraId="708BEB82" w14:textId="77777777" w:rsidR="00B15B07" w:rsidRDefault="007F1602" w:rsidP="00422285">
      <w:pPr>
        <w:pStyle w:val="BodyText"/>
        <w:spacing w:before="200"/>
        <w:rPr>
          <w:color w:val="auto"/>
        </w:rPr>
      </w:pPr>
      <w:r w:rsidRPr="003429E0">
        <w:rPr>
          <w:color w:val="auto"/>
        </w:rPr>
        <w:t xml:space="preserve">This issue of “Economic and Social Indicators” presents the quarterly indices for the </w:t>
      </w:r>
      <w:r w:rsidR="00BB463B">
        <w:rPr>
          <w:color w:val="auto"/>
        </w:rPr>
        <w:t>first</w:t>
      </w:r>
      <w:r w:rsidR="0017161C">
        <w:rPr>
          <w:color w:val="auto"/>
        </w:rPr>
        <w:t xml:space="preserve"> </w:t>
      </w:r>
      <w:r>
        <w:rPr>
          <w:color w:val="auto"/>
        </w:rPr>
        <w:t>quarter</w:t>
      </w:r>
      <w:r w:rsidRPr="003429E0">
        <w:rPr>
          <w:color w:val="auto"/>
        </w:rPr>
        <w:t xml:space="preserve"> </w:t>
      </w:r>
      <w:r>
        <w:rPr>
          <w:color w:val="auto"/>
        </w:rPr>
        <w:t xml:space="preserve">of </w:t>
      </w:r>
      <w:r w:rsidRPr="003429E0">
        <w:rPr>
          <w:color w:val="auto"/>
        </w:rPr>
        <w:t>20</w:t>
      </w:r>
      <w:r w:rsidR="00D90487">
        <w:rPr>
          <w:color w:val="auto"/>
        </w:rPr>
        <w:t>1</w:t>
      </w:r>
      <w:r w:rsidR="00F035FB">
        <w:rPr>
          <w:color w:val="auto"/>
        </w:rPr>
        <w:t>9</w:t>
      </w:r>
      <w:r w:rsidRPr="003429E0">
        <w:rPr>
          <w:color w:val="auto"/>
        </w:rPr>
        <w:t xml:space="preserve"> to</w:t>
      </w:r>
      <w:r w:rsidRPr="00900C75">
        <w:rPr>
          <w:color w:val="auto"/>
        </w:rPr>
        <w:t xml:space="preserve"> </w:t>
      </w:r>
      <w:r w:rsidR="00530A79">
        <w:rPr>
          <w:color w:val="auto"/>
        </w:rPr>
        <w:t xml:space="preserve">the </w:t>
      </w:r>
      <w:r w:rsidR="00CA0F7D">
        <w:rPr>
          <w:color w:val="auto"/>
        </w:rPr>
        <w:t>second</w:t>
      </w:r>
      <w:r w:rsidR="00B47D75">
        <w:rPr>
          <w:color w:val="auto"/>
        </w:rPr>
        <w:t xml:space="preserve"> </w:t>
      </w:r>
      <w:r>
        <w:rPr>
          <w:color w:val="auto"/>
        </w:rPr>
        <w:t xml:space="preserve">quarter of </w:t>
      </w:r>
      <w:r w:rsidR="0054381E">
        <w:rPr>
          <w:color w:val="auto"/>
        </w:rPr>
        <w:t>20</w:t>
      </w:r>
      <w:r w:rsidR="00377C60">
        <w:rPr>
          <w:color w:val="auto"/>
        </w:rPr>
        <w:t>2</w:t>
      </w:r>
      <w:r w:rsidR="002C4414">
        <w:rPr>
          <w:color w:val="auto"/>
        </w:rPr>
        <w:t>5</w:t>
      </w:r>
      <w:r w:rsidR="00F94AD0">
        <w:rPr>
          <w:color w:val="auto"/>
        </w:rPr>
        <w:t>.</w:t>
      </w:r>
    </w:p>
    <w:p w14:paraId="42D6D75B" w14:textId="77777777" w:rsidR="007F1602" w:rsidRPr="003429E0" w:rsidRDefault="007F1602" w:rsidP="00422285">
      <w:pPr>
        <w:pStyle w:val="BodyText"/>
        <w:spacing w:before="200"/>
        <w:rPr>
          <w:color w:val="auto"/>
        </w:rPr>
      </w:pPr>
      <w:r w:rsidRPr="003429E0">
        <w:rPr>
          <w:color w:val="auto"/>
        </w:rPr>
        <w:t xml:space="preserve">The indices are given separately for the </w:t>
      </w:r>
      <w:r w:rsidR="00274088">
        <w:rPr>
          <w:color w:val="auto"/>
        </w:rPr>
        <w:t>four</w:t>
      </w:r>
      <w:r w:rsidRPr="003429E0">
        <w:rPr>
          <w:color w:val="auto"/>
        </w:rPr>
        <w:t xml:space="preserve"> sections, namely, “Mining and quarrying”, “Manufacturing”</w:t>
      </w:r>
      <w:r w:rsidR="00274088">
        <w:rPr>
          <w:color w:val="auto"/>
        </w:rPr>
        <w:t>,</w:t>
      </w:r>
      <w:r w:rsidRPr="003429E0">
        <w:rPr>
          <w:color w:val="auto"/>
        </w:rPr>
        <w:t xml:space="preserve"> </w:t>
      </w:r>
      <w:r w:rsidR="00274088" w:rsidRPr="00274088">
        <w:rPr>
          <w:color w:val="auto"/>
        </w:rPr>
        <w:t>“Electricity, gas, steam and air conditioning supply” and “Water supply; sew</w:t>
      </w:r>
      <w:r w:rsidR="00536F28">
        <w:rPr>
          <w:color w:val="auto"/>
        </w:rPr>
        <w:t>e</w:t>
      </w:r>
      <w:r w:rsidR="00274088" w:rsidRPr="00274088">
        <w:rPr>
          <w:color w:val="auto"/>
        </w:rPr>
        <w:t>rage, waste management and remediation</w:t>
      </w:r>
      <w:r w:rsidR="004710A5">
        <w:rPr>
          <w:color w:val="auto"/>
        </w:rPr>
        <w:t xml:space="preserve"> activities</w:t>
      </w:r>
      <w:r w:rsidR="00274088" w:rsidRPr="00274088">
        <w:rPr>
          <w:color w:val="auto"/>
        </w:rPr>
        <w:t>”</w:t>
      </w:r>
      <w:r w:rsidRPr="003429E0">
        <w:rPr>
          <w:color w:val="auto"/>
        </w:rPr>
        <w:t xml:space="preserve">. </w:t>
      </w:r>
      <w:r>
        <w:rPr>
          <w:color w:val="auto"/>
        </w:rPr>
        <w:t xml:space="preserve"> </w:t>
      </w:r>
      <w:r w:rsidRPr="003429E0">
        <w:rPr>
          <w:color w:val="auto"/>
        </w:rPr>
        <w:t xml:space="preserve">Within “Manufacturing”, estimates by broad group, namely </w:t>
      </w:r>
      <w:r w:rsidR="00E1760E">
        <w:rPr>
          <w:color w:val="auto"/>
        </w:rPr>
        <w:t>“</w:t>
      </w:r>
      <w:r w:rsidR="006764FF">
        <w:rPr>
          <w:color w:val="auto"/>
        </w:rPr>
        <w:t>Export Oriented Enterprises</w:t>
      </w:r>
      <w:r w:rsidR="00E1760E">
        <w:rPr>
          <w:color w:val="auto"/>
        </w:rPr>
        <w:t>”</w:t>
      </w:r>
      <w:r w:rsidR="006764FF">
        <w:rPr>
          <w:color w:val="auto"/>
        </w:rPr>
        <w:t xml:space="preserve"> (</w:t>
      </w:r>
      <w:r>
        <w:rPr>
          <w:color w:val="auto"/>
        </w:rPr>
        <w:t>EOE</w:t>
      </w:r>
      <w:r w:rsidR="006764FF">
        <w:rPr>
          <w:color w:val="auto"/>
        </w:rPr>
        <w:t>)</w:t>
      </w:r>
      <w:r>
        <w:rPr>
          <w:color w:val="auto"/>
        </w:rPr>
        <w:t>,</w:t>
      </w:r>
      <w:r w:rsidRPr="003429E0">
        <w:rPr>
          <w:color w:val="auto"/>
        </w:rPr>
        <w:t xml:space="preserve"> </w:t>
      </w:r>
      <w:r w:rsidR="00E1760E">
        <w:rPr>
          <w:color w:val="auto"/>
        </w:rPr>
        <w:t>“</w:t>
      </w:r>
      <w:r w:rsidRPr="003429E0">
        <w:rPr>
          <w:color w:val="auto"/>
        </w:rPr>
        <w:t>Non-E</w:t>
      </w:r>
      <w:r>
        <w:rPr>
          <w:color w:val="auto"/>
        </w:rPr>
        <w:t>OE</w:t>
      </w:r>
      <w:r w:rsidR="00E1760E">
        <w:rPr>
          <w:color w:val="auto"/>
        </w:rPr>
        <w:t>”</w:t>
      </w:r>
      <w:r w:rsidRPr="003429E0">
        <w:rPr>
          <w:color w:val="auto"/>
        </w:rPr>
        <w:t xml:space="preserve"> and “Sugar milling” as well as by main industr</w:t>
      </w:r>
      <w:r w:rsidR="008C078C">
        <w:rPr>
          <w:color w:val="auto"/>
        </w:rPr>
        <w:t>y</w:t>
      </w:r>
      <w:r w:rsidRPr="003429E0">
        <w:rPr>
          <w:color w:val="auto"/>
        </w:rPr>
        <w:t xml:space="preserve"> group are given.</w:t>
      </w:r>
      <w:r>
        <w:rPr>
          <w:color w:val="auto"/>
        </w:rPr>
        <w:t xml:space="preserve">  </w:t>
      </w:r>
      <w:r w:rsidRPr="003429E0">
        <w:rPr>
          <w:color w:val="auto"/>
        </w:rPr>
        <w:t>Wherever possible, the annual averages of the quarterly indices have been worked out and included in the tables.</w:t>
      </w:r>
      <w:r>
        <w:rPr>
          <w:color w:val="auto"/>
        </w:rPr>
        <w:t xml:space="preserve"> </w:t>
      </w:r>
      <w:r w:rsidRPr="003429E0">
        <w:rPr>
          <w:color w:val="auto"/>
        </w:rPr>
        <w:t xml:space="preserve"> It is to be noted that, due to incomplete data, indices for </w:t>
      </w:r>
      <w:r>
        <w:rPr>
          <w:color w:val="auto"/>
        </w:rPr>
        <w:t xml:space="preserve">the </w:t>
      </w:r>
      <w:r w:rsidR="00CA0F7D">
        <w:rPr>
          <w:color w:val="auto"/>
        </w:rPr>
        <w:t>second</w:t>
      </w:r>
      <w:r w:rsidR="00B47D75">
        <w:rPr>
          <w:color w:val="auto"/>
        </w:rPr>
        <w:t xml:space="preserve"> </w:t>
      </w:r>
      <w:r>
        <w:rPr>
          <w:color w:val="auto"/>
        </w:rPr>
        <w:t>quarter</w:t>
      </w:r>
      <w:r w:rsidRPr="003429E0">
        <w:rPr>
          <w:color w:val="auto"/>
        </w:rPr>
        <w:t xml:space="preserve"> </w:t>
      </w:r>
      <w:r>
        <w:rPr>
          <w:color w:val="auto"/>
        </w:rPr>
        <w:t xml:space="preserve">of </w:t>
      </w:r>
      <w:r w:rsidR="0054381E">
        <w:rPr>
          <w:color w:val="auto"/>
        </w:rPr>
        <w:t>20</w:t>
      </w:r>
      <w:r w:rsidR="00BB5372">
        <w:rPr>
          <w:color w:val="auto"/>
        </w:rPr>
        <w:t>2</w:t>
      </w:r>
      <w:r w:rsidR="002C4414">
        <w:rPr>
          <w:color w:val="auto"/>
        </w:rPr>
        <w:t>5</w:t>
      </w:r>
      <w:r w:rsidRPr="003429E0">
        <w:rPr>
          <w:color w:val="auto"/>
        </w:rPr>
        <w:t xml:space="preserve"> are provisional and published at section and broad group level only. They are therefore subject to revision in future issues of the </w:t>
      </w:r>
      <w:r>
        <w:rPr>
          <w:color w:val="auto"/>
        </w:rPr>
        <w:t>Economic and Social I</w:t>
      </w:r>
      <w:r w:rsidRPr="003429E0">
        <w:rPr>
          <w:color w:val="auto"/>
        </w:rPr>
        <w:t>ndicator</w:t>
      </w:r>
      <w:r w:rsidR="0096066C">
        <w:rPr>
          <w:color w:val="auto"/>
        </w:rPr>
        <w:t>s</w:t>
      </w:r>
      <w:r>
        <w:rPr>
          <w:color w:val="auto"/>
        </w:rPr>
        <w:t xml:space="preserve"> </w:t>
      </w:r>
      <w:r w:rsidR="00451710">
        <w:rPr>
          <w:color w:val="auto"/>
        </w:rPr>
        <w:t>on</w:t>
      </w:r>
      <w:r>
        <w:rPr>
          <w:color w:val="auto"/>
        </w:rPr>
        <w:t xml:space="preserve"> QIIP</w:t>
      </w:r>
      <w:r w:rsidRPr="003429E0">
        <w:rPr>
          <w:color w:val="auto"/>
        </w:rPr>
        <w:t>.</w:t>
      </w:r>
    </w:p>
    <w:p w14:paraId="4710A516" w14:textId="77777777" w:rsidR="007F1602" w:rsidRDefault="007F1602" w:rsidP="00422285">
      <w:pPr>
        <w:spacing w:before="200"/>
        <w:jc w:val="both"/>
        <w:rPr>
          <w:sz w:val="24"/>
        </w:rPr>
      </w:pPr>
      <w:r>
        <w:rPr>
          <w:sz w:val="24"/>
        </w:rPr>
        <w:t>The published indices are not seasonally adjusted.  The user is therefore advised to base comparisons for a particular quarter of a year on the corresponding quarter of the previous year.</w:t>
      </w:r>
    </w:p>
    <w:p w14:paraId="649A0D77" w14:textId="77777777" w:rsidR="007F1602" w:rsidRDefault="000F4982" w:rsidP="00422285">
      <w:pPr>
        <w:spacing w:before="200"/>
        <w:jc w:val="both"/>
        <w:rPr>
          <w:sz w:val="24"/>
        </w:rPr>
      </w:pPr>
      <w:r>
        <w:rPr>
          <w:sz w:val="24"/>
        </w:rPr>
        <w:t>The methodology used for the computation of QIIP including its limitations, are given at Annex.</w:t>
      </w:r>
    </w:p>
    <w:p w14:paraId="05036B38" w14:textId="77777777" w:rsidR="00ED6632" w:rsidRDefault="00ED6632" w:rsidP="00422285">
      <w:pPr>
        <w:spacing w:before="200"/>
        <w:jc w:val="both"/>
        <w:rPr>
          <w:b/>
          <w:sz w:val="24"/>
        </w:rPr>
      </w:pPr>
    </w:p>
    <w:p w14:paraId="6F3506C7" w14:textId="77777777" w:rsidR="006F7489" w:rsidRDefault="006C4137" w:rsidP="004672E3">
      <w:pPr>
        <w:spacing w:before="360"/>
        <w:ind w:right="-2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F7489">
        <w:rPr>
          <w:b/>
          <w:sz w:val="24"/>
          <w:szCs w:val="24"/>
        </w:rPr>
        <w:t>.</w:t>
      </w:r>
      <w:r w:rsidR="006F7489">
        <w:rPr>
          <w:b/>
          <w:sz w:val="24"/>
          <w:szCs w:val="24"/>
        </w:rPr>
        <w:tab/>
      </w:r>
      <w:r w:rsidR="00A320E3">
        <w:rPr>
          <w:b/>
          <w:sz w:val="24"/>
          <w:szCs w:val="24"/>
        </w:rPr>
        <w:t>O</w:t>
      </w:r>
      <w:r w:rsidR="006F7489">
        <w:rPr>
          <w:b/>
          <w:sz w:val="24"/>
          <w:szCs w:val="24"/>
        </w:rPr>
        <w:t>verall index - Industrial Sector</w:t>
      </w:r>
    </w:p>
    <w:p w14:paraId="6051EC6A" w14:textId="77777777" w:rsidR="001A06A4" w:rsidRPr="00A84E9A" w:rsidRDefault="00B645CF" w:rsidP="0093772E">
      <w:pPr>
        <w:spacing w:before="200"/>
        <w:jc w:val="both"/>
        <w:rPr>
          <w:sz w:val="24"/>
          <w:szCs w:val="24"/>
        </w:rPr>
      </w:pPr>
      <w:bookmarkStart w:id="0" w:name="_Hlk138148253"/>
      <w:r w:rsidRPr="00A84E9A">
        <w:rPr>
          <w:sz w:val="24"/>
          <w:szCs w:val="24"/>
        </w:rPr>
        <w:t xml:space="preserve">In the </w:t>
      </w:r>
      <w:r w:rsidR="00CA0F7D" w:rsidRPr="00A84E9A">
        <w:rPr>
          <w:sz w:val="24"/>
          <w:szCs w:val="24"/>
        </w:rPr>
        <w:t>second</w:t>
      </w:r>
      <w:r w:rsidR="00B47D75" w:rsidRPr="00A84E9A">
        <w:rPr>
          <w:sz w:val="24"/>
          <w:szCs w:val="24"/>
        </w:rPr>
        <w:t xml:space="preserve"> </w:t>
      </w:r>
      <w:r w:rsidRPr="00A84E9A">
        <w:rPr>
          <w:sz w:val="24"/>
          <w:szCs w:val="24"/>
        </w:rPr>
        <w:t xml:space="preserve">quarter </w:t>
      </w:r>
      <w:r w:rsidR="0048002E" w:rsidRPr="00A84E9A">
        <w:rPr>
          <w:sz w:val="24"/>
          <w:szCs w:val="24"/>
        </w:rPr>
        <w:t xml:space="preserve">of </w:t>
      </w:r>
      <w:r w:rsidR="00CF576C" w:rsidRPr="00A84E9A">
        <w:rPr>
          <w:sz w:val="24"/>
          <w:szCs w:val="24"/>
        </w:rPr>
        <w:t>202</w:t>
      </w:r>
      <w:r w:rsidR="002C4414" w:rsidRPr="00A84E9A">
        <w:rPr>
          <w:sz w:val="24"/>
          <w:szCs w:val="24"/>
        </w:rPr>
        <w:t>5</w:t>
      </w:r>
      <w:r w:rsidR="00A845EF" w:rsidRPr="00A84E9A">
        <w:rPr>
          <w:sz w:val="24"/>
          <w:szCs w:val="24"/>
        </w:rPr>
        <w:t>,</w:t>
      </w:r>
      <w:r w:rsidRPr="00A84E9A">
        <w:rPr>
          <w:sz w:val="24"/>
          <w:szCs w:val="24"/>
        </w:rPr>
        <w:t xml:space="preserve"> the overall index of industrial production </w:t>
      </w:r>
      <w:r w:rsidR="00CA0F7D" w:rsidRPr="00A84E9A">
        <w:rPr>
          <w:sz w:val="24"/>
          <w:szCs w:val="24"/>
        </w:rPr>
        <w:t>increased</w:t>
      </w:r>
      <w:r w:rsidR="002D15B3" w:rsidRPr="00A84E9A">
        <w:rPr>
          <w:sz w:val="24"/>
          <w:szCs w:val="24"/>
        </w:rPr>
        <w:t xml:space="preserve"> by</w:t>
      </w:r>
      <w:r w:rsidR="0066789F" w:rsidRPr="00A84E9A">
        <w:rPr>
          <w:sz w:val="24"/>
          <w:szCs w:val="24"/>
        </w:rPr>
        <w:t xml:space="preserve"> </w:t>
      </w:r>
      <w:r w:rsidR="002C4414" w:rsidRPr="00A84E9A">
        <w:rPr>
          <w:sz w:val="24"/>
          <w:szCs w:val="24"/>
        </w:rPr>
        <w:t>5.0</w:t>
      </w:r>
      <w:r w:rsidR="0066789F" w:rsidRPr="00A84E9A">
        <w:rPr>
          <w:sz w:val="24"/>
          <w:szCs w:val="24"/>
        </w:rPr>
        <w:t>%</w:t>
      </w:r>
      <w:r w:rsidR="0017798F" w:rsidRPr="00A84E9A">
        <w:rPr>
          <w:sz w:val="24"/>
          <w:szCs w:val="24"/>
        </w:rPr>
        <w:t xml:space="preserve"> </w:t>
      </w:r>
      <w:r w:rsidR="001336A6" w:rsidRPr="00A84E9A">
        <w:rPr>
          <w:sz w:val="24"/>
          <w:szCs w:val="24"/>
        </w:rPr>
        <w:t xml:space="preserve">compared to </w:t>
      </w:r>
      <w:r w:rsidRPr="00A84E9A">
        <w:rPr>
          <w:sz w:val="24"/>
          <w:szCs w:val="24"/>
        </w:rPr>
        <w:t xml:space="preserve">the previous quarter </w:t>
      </w:r>
      <w:r w:rsidR="00F45E28" w:rsidRPr="00A84E9A">
        <w:rPr>
          <w:sz w:val="24"/>
          <w:szCs w:val="24"/>
        </w:rPr>
        <w:t>and</w:t>
      </w:r>
      <w:r w:rsidR="000619D2" w:rsidRPr="00A84E9A">
        <w:rPr>
          <w:sz w:val="24"/>
          <w:szCs w:val="24"/>
        </w:rPr>
        <w:t xml:space="preserve"> </w:t>
      </w:r>
      <w:r w:rsidR="00384CD3" w:rsidRPr="00A84E9A">
        <w:rPr>
          <w:sz w:val="24"/>
          <w:szCs w:val="24"/>
        </w:rPr>
        <w:t>by</w:t>
      </w:r>
      <w:r w:rsidR="00DB496F" w:rsidRPr="00A84E9A">
        <w:rPr>
          <w:sz w:val="24"/>
          <w:szCs w:val="24"/>
        </w:rPr>
        <w:t xml:space="preserve"> </w:t>
      </w:r>
      <w:r w:rsidR="002C4414" w:rsidRPr="00A84E9A">
        <w:rPr>
          <w:sz w:val="24"/>
          <w:szCs w:val="24"/>
        </w:rPr>
        <w:t>1.7</w:t>
      </w:r>
      <w:r w:rsidR="00DB496F" w:rsidRPr="00A84E9A">
        <w:rPr>
          <w:sz w:val="24"/>
          <w:szCs w:val="24"/>
        </w:rPr>
        <w:t>%</w:t>
      </w:r>
      <w:r w:rsidR="001336A6" w:rsidRPr="00A84E9A">
        <w:rPr>
          <w:sz w:val="24"/>
          <w:szCs w:val="24"/>
        </w:rPr>
        <w:t xml:space="preserve"> </w:t>
      </w:r>
      <w:r w:rsidR="00F22234" w:rsidRPr="00A84E9A">
        <w:rPr>
          <w:sz w:val="24"/>
          <w:szCs w:val="24"/>
        </w:rPr>
        <w:t xml:space="preserve">when </w:t>
      </w:r>
      <w:r w:rsidR="004E690F" w:rsidRPr="00A84E9A">
        <w:rPr>
          <w:sz w:val="24"/>
          <w:szCs w:val="24"/>
        </w:rPr>
        <w:t>compared to</w:t>
      </w:r>
      <w:r w:rsidRPr="00A84E9A">
        <w:rPr>
          <w:sz w:val="24"/>
          <w:szCs w:val="24"/>
        </w:rPr>
        <w:t xml:space="preserve"> the corresponding quarter of</w:t>
      </w:r>
      <w:r w:rsidR="00BF09A8" w:rsidRPr="00A84E9A">
        <w:rPr>
          <w:sz w:val="24"/>
          <w:szCs w:val="24"/>
        </w:rPr>
        <w:t xml:space="preserve"> </w:t>
      </w:r>
      <w:r w:rsidR="00CF576C" w:rsidRPr="00A84E9A">
        <w:rPr>
          <w:sz w:val="24"/>
          <w:szCs w:val="24"/>
        </w:rPr>
        <w:t>202</w:t>
      </w:r>
      <w:r w:rsidR="002C4414" w:rsidRPr="00A84E9A">
        <w:rPr>
          <w:sz w:val="24"/>
          <w:szCs w:val="24"/>
        </w:rPr>
        <w:t>4</w:t>
      </w:r>
      <w:r w:rsidRPr="00A84E9A">
        <w:rPr>
          <w:sz w:val="24"/>
          <w:szCs w:val="24"/>
        </w:rPr>
        <w:t xml:space="preserve">. </w:t>
      </w:r>
      <w:r w:rsidR="006C7CBC" w:rsidRPr="00A84E9A">
        <w:rPr>
          <w:sz w:val="24"/>
          <w:szCs w:val="24"/>
        </w:rPr>
        <w:t xml:space="preserve"> </w:t>
      </w:r>
      <w:bookmarkEnd w:id="0"/>
    </w:p>
    <w:p w14:paraId="41E77C8B" w14:textId="77777777" w:rsidR="00745CA3" w:rsidRPr="00B87C02" w:rsidRDefault="009B5012" w:rsidP="0024770E">
      <w:pPr>
        <w:spacing w:before="200"/>
        <w:jc w:val="both"/>
        <w:rPr>
          <w:sz w:val="24"/>
          <w:szCs w:val="24"/>
        </w:rPr>
      </w:pPr>
      <w:bookmarkStart w:id="1" w:name="_Hlk129956692"/>
      <w:bookmarkStart w:id="2" w:name="_Hlk138147792"/>
      <w:bookmarkStart w:id="3" w:name="_Hlk138148489"/>
      <w:r w:rsidRPr="00A84E9A">
        <w:rPr>
          <w:sz w:val="24"/>
          <w:szCs w:val="24"/>
        </w:rPr>
        <w:t xml:space="preserve">The index for the </w:t>
      </w:r>
      <w:r w:rsidR="008366FE" w:rsidRPr="00A84E9A">
        <w:rPr>
          <w:sz w:val="24"/>
          <w:szCs w:val="24"/>
        </w:rPr>
        <w:t>year</w:t>
      </w:r>
      <w:r w:rsidR="000435E9" w:rsidRPr="00A84E9A">
        <w:rPr>
          <w:sz w:val="24"/>
          <w:szCs w:val="24"/>
        </w:rPr>
        <w:t xml:space="preserve"> ending </w:t>
      </w:r>
      <w:r w:rsidR="00CA0F7D" w:rsidRPr="00A84E9A">
        <w:rPr>
          <w:sz w:val="24"/>
          <w:szCs w:val="24"/>
        </w:rPr>
        <w:t>second</w:t>
      </w:r>
      <w:r w:rsidR="000435E9" w:rsidRPr="00A84E9A">
        <w:rPr>
          <w:sz w:val="24"/>
          <w:szCs w:val="24"/>
        </w:rPr>
        <w:t xml:space="preserve"> quarter</w:t>
      </w:r>
      <w:r w:rsidR="008366FE" w:rsidRPr="00A84E9A">
        <w:rPr>
          <w:sz w:val="24"/>
          <w:szCs w:val="24"/>
        </w:rPr>
        <w:t xml:space="preserve"> 202</w:t>
      </w:r>
      <w:r w:rsidR="002C4414" w:rsidRPr="00A84E9A">
        <w:rPr>
          <w:sz w:val="24"/>
          <w:szCs w:val="24"/>
        </w:rPr>
        <w:t>5</w:t>
      </w:r>
      <w:r w:rsidR="008366FE" w:rsidRPr="00A84E9A">
        <w:rPr>
          <w:sz w:val="24"/>
          <w:szCs w:val="24"/>
        </w:rPr>
        <w:t xml:space="preserve">, </w:t>
      </w:r>
      <w:r w:rsidR="008130BE" w:rsidRPr="00A84E9A">
        <w:rPr>
          <w:sz w:val="24"/>
          <w:szCs w:val="24"/>
        </w:rPr>
        <w:t>which is</w:t>
      </w:r>
      <w:r w:rsidRPr="00A84E9A">
        <w:rPr>
          <w:sz w:val="24"/>
          <w:szCs w:val="24"/>
        </w:rPr>
        <w:t xml:space="preserve"> the average of quarterly indices</w:t>
      </w:r>
      <w:bookmarkEnd w:id="1"/>
      <w:r w:rsidR="008130BE" w:rsidRPr="00A84E9A">
        <w:rPr>
          <w:sz w:val="24"/>
          <w:szCs w:val="24"/>
        </w:rPr>
        <w:t xml:space="preserve"> for the period under review</w:t>
      </w:r>
      <w:r w:rsidR="005374D2" w:rsidRPr="00A84E9A">
        <w:rPr>
          <w:sz w:val="24"/>
          <w:szCs w:val="24"/>
        </w:rPr>
        <w:t>,</w:t>
      </w:r>
      <w:r w:rsidR="008366FE" w:rsidRPr="00A84E9A">
        <w:rPr>
          <w:sz w:val="24"/>
          <w:szCs w:val="24"/>
        </w:rPr>
        <w:t xml:space="preserve"> </w:t>
      </w:r>
      <w:r w:rsidR="000619D2" w:rsidRPr="00A84E9A">
        <w:rPr>
          <w:sz w:val="24"/>
          <w:szCs w:val="24"/>
        </w:rPr>
        <w:t xml:space="preserve">grew by </w:t>
      </w:r>
      <w:r w:rsidR="002C4414" w:rsidRPr="00A84E9A">
        <w:rPr>
          <w:sz w:val="24"/>
          <w:szCs w:val="24"/>
        </w:rPr>
        <w:t>1.8</w:t>
      </w:r>
      <w:r w:rsidR="000619D2" w:rsidRPr="00A84E9A">
        <w:rPr>
          <w:sz w:val="24"/>
          <w:szCs w:val="24"/>
        </w:rPr>
        <w:t>%.</w:t>
      </w:r>
      <w:r w:rsidR="002D15B3" w:rsidRPr="00A84E9A">
        <w:rPr>
          <w:sz w:val="24"/>
          <w:szCs w:val="24"/>
        </w:rPr>
        <w:t xml:space="preserve"> </w:t>
      </w:r>
      <w:r w:rsidR="00C84444" w:rsidRPr="00A84E9A">
        <w:rPr>
          <w:sz w:val="24"/>
          <w:szCs w:val="24"/>
        </w:rPr>
        <w:t xml:space="preserve"> This is explained </w:t>
      </w:r>
      <w:r w:rsidR="007661B6" w:rsidRPr="00A84E9A">
        <w:rPr>
          <w:sz w:val="24"/>
          <w:szCs w:val="24"/>
        </w:rPr>
        <w:t xml:space="preserve">by </w:t>
      </w:r>
      <w:r w:rsidR="0024770E" w:rsidRPr="00A84E9A">
        <w:rPr>
          <w:sz w:val="24"/>
          <w:szCs w:val="24"/>
        </w:rPr>
        <w:t>expansions</w:t>
      </w:r>
      <w:r w:rsidR="007661B6" w:rsidRPr="00A84E9A">
        <w:rPr>
          <w:sz w:val="24"/>
          <w:szCs w:val="24"/>
        </w:rPr>
        <w:t xml:space="preserve"> in</w:t>
      </w:r>
      <w:r w:rsidR="003044A0" w:rsidRPr="00A84E9A">
        <w:rPr>
          <w:sz w:val="24"/>
          <w:szCs w:val="24"/>
        </w:rPr>
        <w:t xml:space="preserve"> “Mining and quarrying” (5.4%),</w:t>
      </w:r>
      <w:r w:rsidR="0024770E" w:rsidRPr="00A84E9A">
        <w:rPr>
          <w:sz w:val="24"/>
          <w:szCs w:val="24"/>
        </w:rPr>
        <w:t xml:space="preserve"> </w:t>
      </w:r>
      <w:r w:rsidR="00D65104" w:rsidRPr="00A84E9A">
        <w:rPr>
          <w:sz w:val="24"/>
          <w:szCs w:val="24"/>
        </w:rPr>
        <w:t>“Electricity, gas, steam and air conditioning supply” (+</w:t>
      </w:r>
      <w:r w:rsidR="002C4414" w:rsidRPr="00A84E9A">
        <w:rPr>
          <w:sz w:val="24"/>
          <w:szCs w:val="24"/>
        </w:rPr>
        <w:t>4.6</w:t>
      </w:r>
      <w:r w:rsidR="00D65104" w:rsidRPr="00A84E9A">
        <w:rPr>
          <w:sz w:val="24"/>
          <w:szCs w:val="24"/>
        </w:rPr>
        <w:t>%)</w:t>
      </w:r>
      <w:r w:rsidR="00636B91" w:rsidRPr="00A84E9A">
        <w:rPr>
          <w:sz w:val="24"/>
          <w:szCs w:val="24"/>
        </w:rPr>
        <w:t>,</w:t>
      </w:r>
      <w:r w:rsidR="00585E53" w:rsidRPr="00A84E9A">
        <w:rPr>
          <w:sz w:val="24"/>
          <w:szCs w:val="24"/>
        </w:rPr>
        <w:t xml:space="preserve"> </w:t>
      </w:r>
      <w:r w:rsidR="003C0283" w:rsidRPr="00A84E9A">
        <w:rPr>
          <w:sz w:val="24"/>
          <w:szCs w:val="24"/>
        </w:rPr>
        <w:t>“Water supply; sewerage, waste management and remediation activities” (+</w:t>
      </w:r>
      <w:r w:rsidR="002C4414" w:rsidRPr="00A84E9A">
        <w:rPr>
          <w:sz w:val="24"/>
          <w:szCs w:val="24"/>
        </w:rPr>
        <w:t>1.5</w:t>
      </w:r>
      <w:r w:rsidR="003C0283" w:rsidRPr="00A84E9A">
        <w:rPr>
          <w:sz w:val="24"/>
          <w:szCs w:val="24"/>
        </w:rPr>
        <w:t>%) and</w:t>
      </w:r>
      <w:r w:rsidR="00573722" w:rsidRPr="00A84E9A">
        <w:rPr>
          <w:sz w:val="24"/>
          <w:szCs w:val="24"/>
        </w:rPr>
        <w:t xml:space="preserve"> </w:t>
      </w:r>
      <w:r w:rsidR="007073C4" w:rsidRPr="00A84E9A">
        <w:rPr>
          <w:sz w:val="24"/>
          <w:szCs w:val="24"/>
        </w:rPr>
        <w:t>“Manufacturing” (</w:t>
      </w:r>
      <w:r w:rsidR="0024770E" w:rsidRPr="00A84E9A">
        <w:rPr>
          <w:sz w:val="24"/>
          <w:szCs w:val="24"/>
        </w:rPr>
        <w:t>+</w:t>
      </w:r>
      <w:r w:rsidR="003044A0" w:rsidRPr="00A84E9A">
        <w:rPr>
          <w:sz w:val="24"/>
          <w:szCs w:val="24"/>
        </w:rPr>
        <w:t>1.5</w:t>
      </w:r>
      <w:r w:rsidR="0024770E" w:rsidRPr="00A84E9A">
        <w:rPr>
          <w:sz w:val="24"/>
          <w:szCs w:val="24"/>
        </w:rPr>
        <w:t>%)</w:t>
      </w:r>
      <w:r w:rsidR="003C0283">
        <w:rPr>
          <w:sz w:val="24"/>
          <w:szCs w:val="24"/>
        </w:rPr>
        <w:t xml:space="preserve"> </w:t>
      </w:r>
    </w:p>
    <w:bookmarkEnd w:id="2"/>
    <w:p w14:paraId="68A1B8C2" w14:textId="77777777" w:rsidR="00530A79" w:rsidRDefault="00530A79" w:rsidP="00B73F49">
      <w:pPr>
        <w:tabs>
          <w:tab w:val="left" w:pos="8640"/>
        </w:tabs>
        <w:spacing w:before="120"/>
        <w:jc w:val="both"/>
        <w:rPr>
          <w:sz w:val="24"/>
          <w:szCs w:val="24"/>
        </w:rPr>
      </w:pPr>
    </w:p>
    <w:bookmarkEnd w:id="3"/>
    <w:p w14:paraId="1F39E9A2" w14:textId="77777777" w:rsidR="00741472" w:rsidRDefault="00741472" w:rsidP="00BF09A8">
      <w:pPr>
        <w:spacing w:before="120"/>
        <w:jc w:val="both"/>
        <w:rPr>
          <w:sz w:val="24"/>
          <w:szCs w:val="24"/>
        </w:rPr>
      </w:pPr>
    </w:p>
    <w:p w14:paraId="0BC4A8B2" w14:textId="77777777" w:rsidR="00F01F8C" w:rsidRDefault="00F01F8C" w:rsidP="00BF09A8">
      <w:pPr>
        <w:spacing w:before="120"/>
        <w:jc w:val="both"/>
        <w:rPr>
          <w:sz w:val="24"/>
          <w:szCs w:val="24"/>
        </w:rPr>
      </w:pPr>
    </w:p>
    <w:p w14:paraId="12887B06" w14:textId="6CFD89D1" w:rsidR="00741472" w:rsidRDefault="0016480C" w:rsidP="000D09EF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7133BB" wp14:editId="52504896">
            <wp:extent cx="5944235" cy="3035935"/>
            <wp:effectExtent l="0" t="0" r="0" b="0"/>
            <wp:docPr id="1312" name="Picture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45E2A" w14:textId="77777777" w:rsidR="00C64E54" w:rsidRDefault="00C64E54" w:rsidP="008F1738">
      <w:pPr>
        <w:jc w:val="both"/>
        <w:rPr>
          <w:b/>
          <w:sz w:val="24"/>
          <w:szCs w:val="24"/>
        </w:rPr>
      </w:pPr>
    </w:p>
    <w:p w14:paraId="0BFD2197" w14:textId="77777777" w:rsidR="00D3163A" w:rsidRDefault="00D3163A" w:rsidP="008F1738">
      <w:pPr>
        <w:jc w:val="both"/>
        <w:rPr>
          <w:b/>
          <w:sz w:val="24"/>
          <w:szCs w:val="24"/>
        </w:rPr>
      </w:pPr>
    </w:p>
    <w:p w14:paraId="08FE5767" w14:textId="77777777" w:rsidR="0056301E" w:rsidRDefault="0056301E" w:rsidP="008F1738">
      <w:pPr>
        <w:jc w:val="both"/>
        <w:rPr>
          <w:b/>
          <w:sz w:val="24"/>
          <w:szCs w:val="24"/>
        </w:rPr>
      </w:pPr>
    </w:p>
    <w:p w14:paraId="206BD114" w14:textId="77777777" w:rsidR="006F7489" w:rsidRDefault="006C4137" w:rsidP="008F17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F7489">
        <w:rPr>
          <w:b/>
          <w:sz w:val="24"/>
          <w:szCs w:val="24"/>
        </w:rPr>
        <w:t>.</w:t>
      </w:r>
      <w:r w:rsidR="006F7489">
        <w:rPr>
          <w:b/>
          <w:sz w:val="24"/>
          <w:szCs w:val="24"/>
        </w:rPr>
        <w:tab/>
        <w:t>Changes by section</w:t>
      </w:r>
    </w:p>
    <w:p w14:paraId="6340AAC1" w14:textId="77777777" w:rsidR="00D54197" w:rsidRDefault="00D54197" w:rsidP="008F1738">
      <w:pPr>
        <w:jc w:val="both"/>
        <w:rPr>
          <w:b/>
          <w:sz w:val="24"/>
          <w:szCs w:val="24"/>
        </w:rPr>
      </w:pPr>
    </w:p>
    <w:p w14:paraId="42E39AAF" w14:textId="77777777" w:rsidR="00005A1B" w:rsidRDefault="006C4137" w:rsidP="00BA6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F7489">
        <w:rPr>
          <w:b/>
          <w:sz w:val="24"/>
          <w:szCs w:val="24"/>
        </w:rPr>
        <w:t>.1</w:t>
      </w:r>
      <w:r w:rsidR="006F7489">
        <w:rPr>
          <w:b/>
          <w:sz w:val="24"/>
          <w:szCs w:val="24"/>
        </w:rPr>
        <w:tab/>
        <w:t>Mining and quarrying</w:t>
      </w:r>
    </w:p>
    <w:p w14:paraId="30B20CFB" w14:textId="77777777" w:rsidR="00B73F49" w:rsidRDefault="00B73F49" w:rsidP="00BA655D">
      <w:pPr>
        <w:rPr>
          <w:b/>
          <w:sz w:val="24"/>
          <w:szCs w:val="24"/>
        </w:rPr>
      </w:pPr>
    </w:p>
    <w:p w14:paraId="39A8D81E" w14:textId="77777777" w:rsidR="00514FCE" w:rsidRDefault="00B645CF" w:rsidP="00BA655D">
      <w:pPr>
        <w:jc w:val="both"/>
        <w:rPr>
          <w:sz w:val="24"/>
          <w:szCs w:val="24"/>
        </w:rPr>
      </w:pPr>
      <w:r w:rsidRPr="00A84E9A">
        <w:rPr>
          <w:sz w:val="24"/>
          <w:szCs w:val="24"/>
        </w:rPr>
        <w:t xml:space="preserve">“Mining and quarrying” </w:t>
      </w:r>
      <w:r w:rsidR="00A06A01" w:rsidRPr="00A84E9A">
        <w:rPr>
          <w:sz w:val="24"/>
          <w:szCs w:val="24"/>
        </w:rPr>
        <w:t>comprise</w:t>
      </w:r>
      <w:r w:rsidRPr="00A84E9A">
        <w:rPr>
          <w:sz w:val="24"/>
          <w:szCs w:val="24"/>
        </w:rPr>
        <w:t xml:space="preserve"> activities relating to quarrying of decorative stones, sand and salt extraction </w:t>
      </w:r>
      <w:r w:rsidR="00080695" w:rsidRPr="00A84E9A">
        <w:rPr>
          <w:sz w:val="24"/>
          <w:szCs w:val="24"/>
        </w:rPr>
        <w:t xml:space="preserve">as well as stone crushing </w:t>
      </w:r>
      <w:r w:rsidRPr="00A84E9A">
        <w:rPr>
          <w:sz w:val="24"/>
          <w:szCs w:val="24"/>
        </w:rPr>
        <w:t xml:space="preserve">and represents only </w:t>
      </w:r>
      <w:r w:rsidR="007F1602" w:rsidRPr="00A84E9A">
        <w:rPr>
          <w:sz w:val="24"/>
          <w:szCs w:val="24"/>
        </w:rPr>
        <w:t>2</w:t>
      </w:r>
      <w:r w:rsidR="0048002E" w:rsidRPr="00A84E9A">
        <w:rPr>
          <w:sz w:val="24"/>
          <w:szCs w:val="24"/>
        </w:rPr>
        <w:t xml:space="preserve">% </w:t>
      </w:r>
      <w:r w:rsidRPr="00A84E9A">
        <w:rPr>
          <w:sz w:val="24"/>
          <w:szCs w:val="24"/>
        </w:rPr>
        <w:t xml:space="preserve">of the </w:t>
      </w:r>
      <w:r w:rsidR="00916012" w:rsidRPr="00A84E9A">
        <w:rPr>
          <w:sz w:val="24"/>
          <w:szCs w:val="24"/>
        </w:rPr>
        <w:t>output of the</w:t>
      </w:r>
      <w:r w:rsidRPr="00A84E9A">
        <w:rPr>
          <w:sz w:val="24"/>
          <w:szCs w:val="24"/>
        </w:rPr>
        <w:t xml:space="preserve"> industrial sector. </w:t>
      </w:r>
      <w:r w:rsidR="00590C71" w:rsidRPr="00A84E9A">
        <w:rPr>
          <w:sz w:val="24"/>
          <w:szCs w:val="24"/>
        </w:rPr>
        <w:t xml:space="preserve"> </w:t>
      </w:r>
      <w:r w:rsidRPr="00A84E9A">
        <w:rPr>
          <w:sz w:val="24"/>
          <w:szCs w:val="24"/>
        </w:rPr>
        <w:t xml:space="preserve">In </w:t>
      </w:r>
      <w:r w:rsidR="00582D1B" w:rsidRPr="00A84E9A">
        <w:rPr>
          <w:sz w:val="24"/>
          <w:szCs w:val="24"/>
        </w:rPr>
        <w:t xml:space="preserve">the </w:t>
      </w:r>
      <w:r w:rsidR="00CA0F7D" w:rsidRPr="00A84E9A">
        <w:rPr>
          <w:sz w:val="24"/>
          <w:szCs w:val="24"/>
        </w:rPr>
        <w:t>second</w:t>
      </w:r>
      <w:r w:rsidR="006E244C" w:rsidRPr="00A84E9A">
        <w:rPr>
          <w:sz w:val="24"/>
          <w:szCs w:val="24"/>
        </w:rPr>
        <w:t xml:space="preserve"> </w:t>
      </w:r>
      <w:r w:rsidR="00494DBD" w:rsidRPr="00A84E9A">
        <w:rPr>
          <w:sz w:val="24"/>
          <w:szCs w:val="24"/>
        </w:rPr>
        <w:t>quarter</w:t>
      </w:r>
      <w:r w:rsidRPr="00A84E9A">
        <w:rPr>
          <w:sz w:val="24"/>
          <w:szCs w:val="24"/>
        </w:rPr>
        <w:t xml:space="preserve"> </w:t>
      </w:r>
      <w:r w:rsidR="0048002E" w:rsidRPr="00A84E9A">
        <w:rPr>
          <w:sz w:val="24"/>
          <w:szCs w:val="24"/>
        </w:rPr>
        <w:t xml:space="preserve">of </w:t>
      </w:r>
      <w:r w:rsidR="00CF576C" w:rsidRPr="00A84E9A">
        <w:rPr>
          <w:sz w:val="24"/>
          <w:szCs w:val="24"/>
        </w:rPr>
        <w:t>202</w:t>
      </w:r>
      <w:r w:rsidR="003044A0" w:rsidRPr="00A84E9A">
        <w:rPr>
          <w:sz w:val="24"/>
          <w:szCs w:val="24"/>
        </w:rPr>
        <w:t>5</w:t>
      </w:r>
      <w:r w:rsidRPr="00A84E9A">
        <w:rPr>
          <w:sz w:val="24"/>
          <w:szCs w:val="24"/>
        </w:rPr>
        <w:t xml:space="preserve">, </w:t>
      </w:r>
      <w:r w:rsidR="001078E4" w:rsidRPr="00A84E9A">
        <w:rPr>
          <w:sz w:val="24"/>
          <w:szCs w:val="24"/>
        </w:rPr>
        <w:t xml:space="preserve">real output </w:t>
      </w:r>
      <w:r w:rsidR="0067478E" w:rsidRPr="00A84E9A">
        <w:rPr>
          <w:sz w:val="24"/>
          <w:szCs w:val="24"/>
        </w:rPr>
        <w:t>grew</w:t>
      </w:r>
      <w:r w:rsidR="00A2271E" w:rsidRPr="00A84E9A">
        <w:rPr>
          <w:sz w:val="24"/>
          <w:szCs w:val="24"/>
        </w:rPr>
        <w:t xml:space="preserve"> </w:t>
      </w:r>
      <w:r w:rsidR="00507767" w:rsidRPr="00A84E9A">
        <w:rPr>
          <w:sz w:val="24"/>
          <w:szCs w:val="24"/>
        </w:rPr>
        <w:t xml:space="preserve">by </w:t>
      </w:r>
      <w:r w:rsidR="003044A0" w:rsidRPr="00A84E9A">
        <w:rPr>
          <w:sz w:val="24"/>
          <w:szCs w:val="24"/>
        </w:rPr>
        <w:t>21.7</w:t>
      </w:r>
      <w:r w:rsidR="002A1F29" w:rsidRPr="00A84E9A">
        <w:rPr>
          <w:sz w:val="24"/>
          <w:szCs w:val="24"/>
        </w:rPr>
        <w:t xml:space="preserve">% </w:t>
      </w:r>
      <w:r w:rsidR="00172253" w:rsidRPr="00A84E9A">
        <w:rPr>
          <w:sz w:val="24"/>
          <w:szCs w:val="24"/>
        </w:rPr>
        <w:t>compared to the previous quarter</w:t>
      </w:r>
      <w:r w:rsidR="000619D2" w:rsidRPr="00A84E9A">
        <w:rPr>
          <w:sz w:val="24"/>
          <w:szCs w:val="24"/>
        </w:rPr>
        <w:t xml:space="preserve"> </w:t>
      </w:r>
      <w:r w:rsidR="003044A0" w:rsidRPr="00A84E9A">
        <w:rPr>
          <w:sz w:val="24"/>
          <w:szCs w:val="24"/>
        </w:rPr>
        <w:t xml:space="preserve">but </w:t>
      </w:r>
      <w:r w:rsidR="0067478E" w:rsidRPr="00A84E9A">
        <w:rPr>
          <w:sz w:val="24"/>
          <w:szCs w:val="24"/>
        </w:rPr>
        <w:t>declined</w:t>
      </w:r>
      <w:r w:rsidR="00B60D9E" w:rsidRPr="00A84E9A">
        <w:rPr>
          <w:sz w:val="24"/>
          <w:szCs w:val="24"/>
        </w:rPr>
        <w:t xml:space="preserve"> </w:t>
      </w:r>
      <w:r w:rsidR="000619D2" w:rsidRPr="00A84E9A">
        <w:rPr>
          <w:sz w:val="24"/>
          <w:szCs w:val="24"/>
        </w:rPr>
        <w:t xml:space="preserve">by </w:t>
      </w:r>
      <w:r w:rsidR="003044A0" w:rsidRPr="00A84E9A">
        <w:rPr>
          <w:sz w:val="24"/>
          <w:szCs w:val="24"/>
        </w:rPr>
        <w:t>2.4</w:t>
      </w:r>
      <w:r w:rsidR="000619D2" w:rsidRPr="00A84E9A">
        <w:rPr>
          <w:sz w:val="24"/>
          <w:szCs w:val="24"/>
        </w:rPr>
        <w:t>%</w:t>
      </w:r>
      <w:r w:rsidR="003D58BA" w:rsidRPr="00A84E9A">
        <w:rPr>
          <w:sz w:val="24"/>
          <w:szCs w:val="24"/>
        </w:rPr>
        <w:t xml:space="preserve"> </w:t>
      </w:r>
      <w:r w:rsidR="005D7F34" w:rsidRPr="00A84E9A">
        <w:rPr>
          <w:sz w:val="24"/>
          <w:szCs w:val="24"/>
        </w:rPr>
        <w:t xml:space="preserve">compared to the corresponding quarter of </w:t>
      </w:r>
      <w:r w:rsidR="00CF576C" w:rsidRPr="00A84E9A">
        <w:rPr>
          <w:sz w:val="24"/>
          <w:szCs w:val="24"/>
        </w:rPr>
        <w:t>202</w:t>
      </w:r>
      <w:r w:rsidR="003044A0" w:rsidRPr="00A84E9A">
        <w:rPr>
          <w:sz w:val="24"/>
          <w:szCs w:val="24"/>
        </w:rPr>
        <w:t>4</w:t>
      </w:r>
      <w:r w:rsidR="001078E4" w:rsidRPr="00A84E9A">
        <w:rPr>
          <w:sz w:val="24"/>
          <w:szCs w:val="24"/>
        </w:rPr>
        <w:t>.</w:t>
      </w:r>
      <w:r w:rsidR="00B06EF2" w:rsidRPr="00A84E9A">
        <w:rPr>
          <w:sz w:val="24"/>
          <w:szCs w:val="24"/>
        </w:rPr>
        <w:t xml:space="preserve"> </w:t>
      </w:r>
      <w:r w:rsidR="00585E53" w:rsidRPr="00A84E9A">
        <w:rPr>
          <w:sz w:val="24"/>
          <w:szCs w:val="24"/>
        </w:rPr>
        <w:t>However, in</w:t>
      </w:r>
      <w:r w:rsidR="002A1F29" w:rsidRPr="00A84E9A">
        <w:rPr>
          <w:sz w:val="24"/>
          <w:szCs w:val="24"/>
        </w:rPr>
        <w:t xml:space="preserve"> </w:t>
      </w:r>
      <w:r w:rsidR="007824AF" w:rsidRPr="00A84E9A">
        <w:rPr>
          <w:sz w:val="24"/>
          <w:szCs w:val="24"/>
        </w:rPr>
        <w:t>year</w:t>
      </w:r>
      <w:r w:rsidR="00A2271E" w:rsidRPr="00A84E9A">
        <w:rPr>
          <w:sz w:val="24"/>
          <w:szCs w:val="24"/>
        </w:rPr>
        <w:t xml:space="preserve"> </w:t>
      </w:r>
      <w:r w:rsidR="00B60D9E" w:rsidRPr="00A84E9A">
        <w:rPr>
          <w:sz w:val="24"/>
          <w:szCs w:val="24"/>
        </w:rPr>
        <w:t xml:space="preserve">ending </w:t>
      </w:r>
      <w:r w:rsidR="00CA0F7D" w:rsidRPr="00A84E9A">
        <w:rPr>
          <w:sz w:val="24"/>
          <w:szCs w:val="24"/>
        </w:rPr>
        <w:t>second</w:t>
      </w:r>
      <w:r w:rsidR="00B60D9E" w:rsidRPr="00A84E9A">
        <w:rPr>
          <w:sz w:val="24"/>
          <w:szCs w:val="24"/>
        </w:rPr>
        <w:t xml:space="preserve"> quarter </w:t>
      </w:r>
      <w:r w:rsidR="00297BD8" w:rsidRPr="00A84E9A">
        <w:rPr>
          <w:sz w:val="24"/>
          <w:szCs w:val="24"/>
        </w:rPr>
        <w:t>202</w:t>
      </w:r>
      <w:r w:rsidR="00101210" w:rsidRPr="00A84E9A">
        <w:rPr>
          <w:sz w:val="24"/>
          <w:szCs w:val="24"/>
        </w:rPr>
        <w:t>5</w:t>
      </w:r>
      <w:r w:rsidR="00297BD8" w:rsidRPr="00A84E9A">
        <w:rPr>
          <w:sz w:val="24"/>
          <w:szCs w:val="24"/>
        </w:rPr>
        <w:t>,</w:t>
      </w:r>
      <w:r w:rsidR="00F179D7" w:rsidRPr="00A84E9A">
        <w:rPr>
          <w:sz w:val="24"/>
          <w:szCs w:val="24"/>
        </w:rPr>
        <w:t xml:space="preserve"> </w:t>
      </w:r>
      <w:r w:rsidR="008A317E" w:rsidRPr="00A84E9A">
        <w:rPr>
          <w:sz w:val="24"/>
          <w:szCs w:val="24"/>
        </w:rPr>
        <w:t xml:space="preserve">a growth of </w:t>
      </w:r>
      <w:r w:rsidR="00473E0B" w:rsidRPr="00A84E9A">
        <w:rPr>
          <w:sz w:val="24"/>
          <w:szCs w:val="24"/>
        </w:rPr>
        <w:t>5.</w:t>
      </w:r>
      <w:r w:rsidR="00101210" w:rsidRPr="00A84E9A">
        <w:rPr>
          <w:sz w:val="24"/>
          <w:szCs w:val="24"/>
        </w:rPr>
        <w:t>4</w:t>
      </w:r>
      <w:r w:rsidR="008A317E" w:rsidRPr="00A84E9A">
        <w:rPr>
          <w:sz w:val="24"/>
          <w:szCs w:val="24"/>
        </w:rPr>
        <w:t>% was noted</w:t>
      </w:r>
      <w:r w:rsidR="002A5ECC" w:rsidRPr="00A84E9A">
        <w:rPr>
          <w:sz w:val="24"/>
          <w:szCs w:val="24"/>
        </w:rPr>
        <w:t xml:space="preserve"> (Table 1).</w:t>
      </w:r>
    </w:p>
    <w:p w14:paraId="1D77D60F" w14:textId="77777777" w:rsidR="00FC7D29" w:rsidRDefault="00FC7D29" w:rsidP="00BA655D">
      <w:pPr>
        <w:jc w:val="both"/>
        <w:rPr>
          <w:sz w:val="24"/>
          <w:szCs w:val="24"/>
        </w:rPr>
      </w:pPr>
    </w:p>
    <w:p w14:paraId="195BCB27" w14:textId="77777777" w:rsidR="00DC0959" w:rsidRDefault="00DC0959" w:rsidP="00BA655D">
      <w:pPr>
        <w:jc w:val="both"/>
        <w:rPr>
          <w:sz w:val="24"/>
          <w:szCs w:val="24"/>
        </w:rPr>
      </w:pPr>
    </w:p>
    <w:p w14:paraId="718D5881" w14:textId="36C9F75E" w:rsidR="00FC7D29" w:rsidRDefault="0016480C" w:rsidP="000D09E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B4C481" wp14:editId="4383EA8D">
            <wp:extent cx="5492750" cy="2956560"/>
            <wp:effectExtent l="0" t="0" r="0" b="0"/>
            <wp:docPr id="1313" name="Picture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935B0" w14:textId="77777777" w:rsidR="00FC7D29" w:rsidRDefault="00FC7D29" w:rsidP="00BA655D">
      <w:pPr>
        <w:jc w:val="both"/>
        <w:rPr>
          <w:sz w:val="24"/>
          <w:szCs w:val="24"/>
        </w:rPr>
      </w:pPr>
    </w:p>
    <w:p w14:paraId="68DD7F45" w14:textId="77777777" w:rsidR="00FF5DC2" w:rsidRDefault="00FF5DC2" w:rsidP="00C313E0">
      <w:pPr>
        <w:spacing w:before="120"/>
        <w:jc w:val="both"/>
      </w:pPr>
    </w:p>
    <w:p w14:paraId="14686E35" w14:textId="77777777" w:rsidR="009F4D6B" w:rsidRDefault="009F4D6B" w:rsidP="00C313E0">
      <w:pPr>
        <w:spacing w:before="120"/>
        <w:jc w:val="both"/>
      </w:pPr>
    </w:p>
    <w:p w14:paraId="0558AF90" w14:textId="2CB20383" w:rsidR="006F7489" w:rsidRDefault="0016480C" w:rsidP="00C313E0">
      <w:pPr>
        <w:spacing w:before="12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0C4143F" wp14:editId="0D7A6CF1">
            <wp:simplePos x="0" y="0"/>
            <wp:positionH relativeFrom="column">
              <wp:posOffset>2962275</wp:posOffset>
            </wp:positionH>
            <wp:positionV relativeFrom="paragraph">
              <wp:posOffset>76200</wp:posOffset>
            </wp:positionV>
            <wp:extent cx="3196590" cy="2239645"/>
            <wp:effectExtent l="0" t="0" r="0" b="0"/>
            <wp:wrapTight wrapText="bothSides">
              <wp:wrapPolygon edited="0">
                <wp:start x="0" y="0"/>
                <wp:lineTo x="0" y="21496"/>
                <wp:lineTo x="21497" y="21496"/>
                <wp:lineTo x="21497" y="0"/>
                <wp:lineTo x="0" y="0"/>
              </wp:wrapPolygon>
            </wp:wrapTight>
            <wp:docPr id="1314" name="Picture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BFA" w:rsidRPr="008D1BFA">
        <w:t xml:space="preserve"> </w:t>
      </w:r>
      <w:r w:rsidR="00C313E0">
        <w:rPr>
          <w:b/>
          <w:sz w:val="24"/>
          <w:szCs w:val="24"/>
        </w:rPr>
        <w:t>4</w:t>
      </w:r>
      <w:r w:rsidR="007F1602">
        <w:rPr>
          <w:b/>
          <w:sz w:val="24"/>
          <w:szCs w:val="24"/>
        </w:rPr>
        <w:t>.</w:t>
      </w:r>
      <w:r w:rsidR="006F7489">
        <w:rPr>
          <w:b/>
          <w:sz w:val="24"/>
          <w:szCs w:val="24"/>
        </w:rPr>
        <w:t>2</w:t>
      </w:r>
      <w:r w:rsidR="00741472">
        <w:rPr>
          <w:b/>
          <w:sz w:val="24"/>
          <w:szCs w:val="24"/>
        </w:rPr>
        <w:tab/>
        <w:t>M</w:t>
      </w:r>
      <w:r w:rsidR="006F7489">
        <w:rPr>
          <w:b/>
          <w:sz w:val="24"/>
          <w:szCs w:val="24"/>
        </w:rPr>
        <w:t>anufacturing</w:t>
      </w:r>
    </w:p>
    <w:p w14:paraId="3653E5A7" w14:textId="77777777" w:rsidR="00B645CF" w:rsidRDefault="00B645CF" w:rsidP="00B645C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Manufacturing output, which covers the production of a wide range of goods, represent</w:t>
      </w:r>
      <w:r w:rsidR="00C750F7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2C5B17" w:rsidRPr="008C078C">
        <w:rPr>
          <w:sz w:val="24"/>
          <w:szCs w:val="24"/>
        </w:rPr>
        <w:t>8</w:t>
      </w:r>
      <w:r w:rsidR="00A2271E">
        <w:rPr>
          <w:sz w:val="24"/>
          <w:szCs w:val="24"/>
        </w:rPr>
        <w:t>5</w:t>
      </w:r>
      <w:r w:rsidRPr="008C078C">
        <w:rPr>
          <w:sz w:val="24"/>
          <w:szCs w:val="24"/>
        </w:rPr>
        <w:t>%</w:t>
      </w:r>
      <w:r>
        <w:rPr>
          <w:sz w:val="24"/>
          <w:szCs w:val="24"/>
        </w:rPr>
        <w:t xml:space="preserve"> of the output of the industrial sector</w:t>
      </w:r>
      <w:r w:rsidR="00C750F7">
        <w:rPr>
          <w:sz w:val="24"/>
          <w:szCs w:val="24"/>
        </w:rPr>
        <w:t xml:space="preserve"> in </w:t>
      </w:r>
      <w:r w:rsidR="003B657E" w:rsidRPr="008C078C">
        <w:rPr>
          <w:sz w:val="24"/>
          <w:szCs w:val="24"/>
        </w:rPr>
        <w:t>201</w:t>
      </w:r>
      <w:r w:rsidR="00A4658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590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For analysis purposes, “Manufacturing” is broken down into the following </w:t>
      </w:r>
      <w:r w:rsidRPr="008C078C">
        <w:rPr>
          <w:sz w:val="24"/>
          <w:szCs w:val="24"/>
        </w:rPr>
        <w:t>broad groups</w:t>
      </w:r>
      <w:r>
        <w:rPr>
          <w:sz w:val="24"/>
          <w:szCs w:val="24"/>
        </w:rPr>
        <w:t>:</w:t>
      </w:r>
    </w:p>
    <w:p w14:paraId="4B9E164D" w14:textId="77777777" w:rsidR="00B645CF" w:rsidRDefault="00B645CF" w:rsidP="00B645CF">
      <w:pPr>
        <w:numPr>
          <w:ilvl w:val="0"/>
          <w:numId w:val="1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Sugar milling representing </w:t>
      </w:r>
      <w:r w:rsidR="00A46586">
        <w:rPr>
          <w:sz w:val="24"/>
          <w:szCs w:val="24"/>
        </w:rPr>
        <w:t>1.3</w:t>
      </w:r>
      <w:r>
        <w:rPr>
          <w:sz w:val="24"/>
          <w:szCs w:val="24"/>
        </w:rPr>
        <w:t>% of manufacturing output</w:t>
      </w:r>
    </w:p>
    <w:p w14:paraId="0ACA71A0" w14:textId="77777777" w:rsidR="00B645CF" w:rsidRDefault="00B645CF" w:rsidP="00B645C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7E0D87">
        <w:rPr>
          <w:sz w:val="24"/>
          <w:szCs w:val="24"/>
        </w:rPr>
        <w:t>OE</w:t>
      </w:r>
      <w:r>
        <w:rPr>
          <w:sz w:val="24"/>
          <w:szCs w:val="24"/>
        </w:rPr>
        <w:t xml:space="preserve"> (</w:t>
      </w:r>
      <w:r w:rsidR="00A46586">
        <w:rPr>
          <w:sz w:val="24"/>
          <w:szCs w:val="24"/>
        </w:rPr>
        <w:t>40</w:t>
      </w:r>
      <w:r>
        <w:rPr>
          <w:sz w:val="24"/>
          <w:szCs w:val="24"/>
        </w:rPr>
        <w:t>%)</w:t>
      </w:r>
    </w:p>
    <w:p w14:paraId="1375BEF3" w14:textId="77777777" w:rsidR="00ED7AD5" w:rsidRDefault="00B645CF" w:rsidP="00541E0E">
      <w:pPr>
        <w:numPr>
          <w:ilvl w:val="0"/>
          <w:numId w:val="1"/>
        </w:numPr>
        <w:rPr>
          <w:sz w:val="24"/>
          <w:szCs w:val="24"/>
        </w:rPr>
      </w:pPr>
      <w:r w:rsidRPr="00786FCC">
        <w:rPr>
          <w:sz w:val="24"/>
          <w:szCs w:val="24"/>
        </w:rPr>
        <w:t>Non–E</w:t>
      </w:r>
      <w:r w:rsidR="007E0D87" w:rsidRPr="00786FCC">
        <w:rPr>
          <w:sz w:val="24"/>
          <w:szCs w:val="24"/>
        </w:rPr>
        <w:t>OE</w:t>
      </w:r>
      <w:r w:rsidRPr="00786FCC">
        <w:rPr>
          <w:sz w:val="24"/>
          <w:szCs w:val="24"/>
        </w:rPr>
        <w:t xml:space="preserve"> (</w:t>
      </w:r>
      <w:r w:rsidR="00F936A3">
        <w:rPr>
          <w:sz w:val="24"/>
          <w:szCs w:val="24"/>
        </w:rPr>
        <w:t>59</w:t>
      </w:r>
      <w:r w:rsidR="00035D53">
        <w:rPr>
          <w:sz w:val="24"/>
          <w:szCs w:val="24"/>
        </w:rPr>
        <w:t>%</w:t>
      </w:r>
      <w:r w:rsidRPr="00786FCC">
        <w:rPr>
          <w:sz w:val="24"/>
          <w:szCs w:val="24"/>
        </w:rPr>
        <w:t>)</w:t>
      </w:r>
    </w:p>
    <w:p w14:paraId="272B301E" w14:textId="77777777" w:rsidR="005C66B1" w:rsidRDefault="005C66B1" w:rsidP="005C66B1">
      <w:pPr>
        <w:ind w:left="720"/>
        <w:rPr>
          <w:sz w:val="24"/>
          <w:szCs w:val="24"/>
        </w:rPr>
      </w:pPr>
    </w:p>
    <w:p w14:paraId="3EE1BF72" w14:textId="7D8785EF" w:rsidR="006F7489" w:rsidRDefault="0016480C" w:rsidP="00FD656A">
      <w:pPr>
        <w:tabs>
          <w:tab w:val="left" w:pos="4590"/>
        </w:tabs>
        <w:contextualSpacing/>
        <w:jc w:val="both"/>
        <w:rPr>
          <w:sz w:val="24"/>
          <w:szCs w:val="24"/>
        </w:rPr>
      </w:pPr>
      <w:r w:rsidRPr="00A84E9A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2D49B5FD" wp14:editId="41F20A72">
            <wp:simplePos x="0" y="0"/>
            <wp:positionH relativeFrom="column">
              <wp:posOffset>2962275</wp:posOffset>
            </wp:positionH>
            <wp:positionV relativeFrom="paragraph">
              <wp:posOffset>6350</wp:posOffset>
            </wp:positionV>
            <wp:extent cx="3196590" cy="2277745"/>
            <wp:effectExtent l="0" t="0" r="0" b="0"/>
            <wp:wrapTight wrapText="bothSides">
              <wp:wrapPolygon edited="0">
                <wp:start x="0" y="0"/>
                <wp:lineTo x="0" y="21498"/>
                <wp:lineTo x="21497" y="21498"/>
                <wp:lineTo x="21497" y="0"/>
                <wp:lineTo x="0" y="0"/>
              </wp:wrapPolygon>
            </wp:wrapTight>
            <wp:docPr id="1315" name="Picture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5CF" w:rsidRPr="00A84E9A">
        <w:rPr>
          <w:sz w:val="24"/>
          <w:szCs w:val="24"/>
        </w:rPr>
        <w:t>Manufact</w:t>
      </w:r>
      <w:r w:rsidR="009E3E22" w:rsidRPr="00A84E9A">
        <w:rPr>
          <w:sz w:val="24"/>
          <w:szCs w:val="24"/>
        </w:rPr>
        <w:t xml:space="preserve">uring output in the </w:t>
      </w:r>
      <w:r w:rsidR="00CA0F7D" w:rsidRPr="00A84E9A">
        <w:rPr>
          <w:sz w:val="24"/>
          <w:szCs w:val="24"/>
        </w:rPr>
        <w:t>second</w:t>
      </w:r>
      <w:r w:rsidR="006E244C" w:rsidRPr="00A84E9A">
        <w:rPr>
          <w:sz w:val="24"/>
          <w:szCs w:val="24"/>
        </w:rPr>
        <w:t xml:space="preserve"> </w:t>
      </w:r>
      <w:r w:rsidR="00494DBD" w:rsidRPr="00A84E9A">
        <w:rPr>
          <w:sz w:val="24"/>
          <w:szCs w:val="24"/>
        </w:rPr>
        <w:t>quarter</w:t>
      </w:r>
      <w:r w:rsidR="009E3E22" w:rsidRPr="00A84E9A">
        <w:rPr>
          <w:sz w:val="24"/>
          <w:szCs w:val="24"/>
        </w:rPr>
        <w:t xml:space="preserve"> of </w:t>
      </w:r>
      <w:r w:rsidR="00CF576C" w:rsidRPr="00A84E9A">
        <w:rPr>
          <w:sz w:val="24"/>
          <w:szCs w:val="24"/>
        </w:rPr>
        <w:t>202</w:t>
      </w:r>
      <w:r w:rsidR="00E865C2" w:rsidRPr="00A84E9A">
        <w:rPr>
          <w:sz w:val="24"/>
          <w:szCs w:val="24"/>
        </w:rPr>
        <w:t>5</w:t>
      </w:r>
      <w:r w:rsidR="00B645CF" w:rsidRPr="00A84E9A">
        <w:rPr>
          <w:sz w:val="24"/>
          <w:szCs w:val="24"/>
        </w:rPr>
        <w:t xml:space="preserve"> </w:t>
      </w:r>
      <w:r w:rsidR="00CA0F7D" w:rsidRPr="00A84E9A">
        <w:rPr>
          <w:sz w:val="24"/>
          <w:szCs w:val="24"/>
        </w:rPr>
        <w:t xml:space="preserve">grew </w:t>
      </w:r>
      <w:r w:rsidR="00CE230F" w:rsidRPr="00A84E9A">
        <w:rPr>
          <w:sz w:val="24"/>
          <w:szCs w:val="24"/>
        </w:rPr>
        <w:t xml:space="preserve">by </w:t>
      </w:r>
      <w:r w:rsidR="00A02556" w:rsidRPr="00A84E9A">
        <w:rPr>
          <w:sz w:val="24"/>
          <w:szCs w:val="24"/>
        </w:rPr>
        <w:t>9.7</w:t>
      </w:r>
      <w:r w:rsidR="005422B0" w:rsidRPr="00A84E9A">
        <w:rPr>
          <w:sz w:val="24"/>
          <w:szCs w:val="24"/>
        </w:rPr>
        <w:t>%</w:t>
      </w:r>
      <w:r w:rsidR="00B645CF" w:rsidRPr="00A84E9A">
        <w:rPr>
          <w:sz w:val="24"/>
          <w:szCs w:val="24"/>
        </w:rPr>
        <w:t xml:space="preserve"> compared to the previous quarter </w:t>
      </w:r>
      <w:r w:rsidR="00EA6AD7" w:rsidRPr="00A84E9A">
        <w:rPr>
          <w:sz w:val="24"/>
          <w:szCs w:val="24"/>
        </w:rPr>
        <w:t xml:space="preserve">and </w:t>
      </w:r>
      <w:r w:rsidR="00CA0F7D" w:rsidRPr="00A84E9A">
        <w:rPr>
          <w:sz w:val="24"/>
          <w:szCs w:val="24"/>
        </w:rPr>
        <w:t xml:space="preserve">by </w:t>
      </w:r>
      <w:r w:rsidR="00A02556" w:rsidRPr="00A84E9A">
        <w:rPr>
          <w:sz w:val="24"/>
          <w:szCs w:val="24"/>
        </w:rPr>
        <w:t>1.5</w:t>
      </w:r>
      <w:r w:rsidR="00CA0F7D" w:rsidRPr="00A84E9A">
        <w:rPr>
          <w:sz w:val="24"/>
          <w:szCs w:val="24"/>
        </w:rPr>
        <w:t>%</w:t>
      </w:r>
      <w:r w:rsidR="004E72BF" w:rsidRPr="00A84E9A">
        <w:rPr>
          <w:sz w:val="24"/>
          <w:szCs w:val="24"/>
        </w:rPr>
        <w:t xml:space="preserve"> </w:t>
      </w:r>
      <w:r w:rsidR="00B645CF" w:rsidRPr="00A84E9A">
        <w:rPr>
          <w:sz w:val="24"/>
          <w:szCs w:val="24"/>
        </w:rPr>
        <w:t xml:space="preserve">compared to the </w:t>
      </w:r>
      <w:r w:rsidR="009E3E22" w:rsidRPr="00A84E9A">
        <w:rPr>
          <w:sz w:val="24"/>
          <w:szCs w:val="24"/>
        </w:rPr>
        <w:t>corresponding</w:t>
      </w:r>
      <w:r w:rsidR="00B645CF" w:rsidRPr="00A84E9A">
        <w:rPr>
          <w:sz w:val="24"/>
          <w:szCs w:val="24"/>
        </w:rPr>
        <w:t xml:space="preserve"> quarter </w:t>
      </w:r>
      <w:r w:rsidR="00916012" w:rsidRPr="00A84E9A">
        <w:rPr>
          <w:sz w:val="24"/>
          <w:szCs w:val="24"/>
        </w:rPr>
        <w:t xml:space="preserve">of </w:t>
      </w:r>
      <w:r w:rsidR="00CF576C" w:rsidRPr="00A84E9A">
        <w:rPr>
          <w:sz w:val="24"/>
          <w:szCs w:val="24"/>
        </w:rPr>
        <w:t>202</w:t>
      </w:r>
      <w:r w:rsidR="00A02556" w:rsidRPr="00A84E9A">
        <w:rPr>
          <w:sz w:val="24"/>
          <w:szCs w:val="24"/>
        </w:rPr>
        <w:t>4</w:t>
      </w:r>
      <w:r w:rsidR="009C263D" w:rsidRPr="00A84E9A">
        <w:rPr>
          <w:sz w:val="24"/>
          <w:szCs w:val="24"/>
        </w:rPr>
        <w:t xml:space="preserve"> </w:t>
      </w:r>
      <w:r w:rsidR="00B645CF" w:rsidRPr="00A84E9A">
        <w:rPr>
          <w:sz w:val="24"/>
          <w:szCs w:val="24"/>
        </w:rPr>
        <w:t>(Table</w:t>
      </w:r>
      <w:r w:rsidR="00274574" w:rsidRPr="00A84E9A">
        <w:rPr>
          <w:sz w:val="24"/>
          <w:szCs w:val="24"/>
        </w:rPr>
        <w:t xml:space="preserve"> 1).</w:t>
      </w:r>
      <w:r w:rsidR="00590C71" w:rsidRPr="00A84E9A">
        <w:rPr>
          <w:sz w:val="24"/>
          <w:szCs w:val="24"/>
        </w:rPr>
        <w:t xml:space="preserve"> </w:t>
      </w:r>
      <w:r w:rsidR="00572F64" w:rsidRPr="00A84E9A">
        <w:rPr>
          <w:sz w:val="24"/>
          <w:szCs w:val="24"/>
        </w:rPr>
        <w:t>In</w:t>
      </w:r>
      <w:r w:rsidR="00F4673B" w:rsidRPr="00A84E9A">
        <w:rPr>
          <w:sz w:val="24"/>
          <w:szCs w:val="24"/>
        </w:rPr>
        <w:t xml:space="preserve"> </w:t>
      </w:r>
      <w:r w:rsidR="00027A75" w:rsidRPr="00A84E9A">
        <w:rPr>
          <w:sz w:val="24"/>
          <w:szCs w:val="24"/>
        </w:rPr>
        <w:t>year</w:t>
      </w:r>
      <w:r w:rsidR="00CE230F" w:rsidRPr="00A84E9A">
        <w:rPr>
          <w:sz w:val="24"/>
          <w:szCs w:val="24"/>
        </w:rPr>
        <w:t xml:space="preserve"> ending </w:t>
      </w:r>
      <w:r w:rsidR="00CA0F7D" w:rsidRPr="00A84E9A">
        <w:rPr>
          <w:sz w:val="24"/>
          <w:szCs w:val="24"/>
        </w:rPr>
        <w:t>second</w:t>
      </w:r>
      <w:r w:rsidR="00CE230F" w:rsidRPr="00A84E9A">
        <w:rPr>
          <w:sz w:val="24"/>
          <w:szCs w:val="24"/>
        </w:rPr>
        <w:t xml:space="preserve"> quarter</w:t>
      </w:r>
      <w:r w:rsidR="007824AF" w:rsidRPr="00A84E9A">
        <w:rPr>
          <w:sz w:val="24"/>
          <w:szCs w:val="24"/>
        </w:rPr>
        <w:t xml:space="preserve"> </w:t>
      </w:r>
      <w:r w:rsidR="00CF576C" w:rsidRPr="00A84E9A">
        <w:rPr>
          <w:sz w:val="24"/>
          <w:szCs w:val="24"/>
        </w:rPr>
        <w:t>202</w:t>
      </w:r>
      <w:r w:rsidR="00A02556" w:rsidRPr="00A84E9A">
        <w:rPr>
          <w:sz w:val="24"/>
          <w:szCs w:val="24"/>
        </w:rPr>
        <w:t>5</w:t>
      </w:r>
      <w:r w:rsidR="00572F64" w:rsidRPr="00A84E9A">
        <w:rPr>
          <w:sz w:val="24"/>
          <w:szCs w:val="24"/>
        </w:rPr>
        <w:t xml:space="preserve">, </w:t>
      </w:r>
      <w:r w:rsidR="003D58BA" w:rsidRPr="00A84E9A">
        <w:rPr>
          <w:sz w:val="24"/>
          <w:szCs w:val="24"/>
        </w:rPr>
        <w:t>a</w:t>
      </w:r>
      <w:r w:rsidR="0044411E" w:rsidRPr="00A84E9A">
        <w:rPr>
          <w:sz w:val="24"/>
          <w:szCs w:val="24"/>
        </w:rPr>
        <w:t xml:space="preserve"> growth of </w:t>
      </w:r>
      <w:r w:rsidR="00A02556" w:rsidRPr="00A84E9A">
        <w:rPr>
          <w:sz w:val="24"/>
          <w:szCs w:val="24"/>
        </w:rPr>
        <w:t>1.5</w:t>
      </w:r>
      <w:r w:rsidR="0044411E" w:rsidRPr="00A84E9A">
        <w:rPr>
          <w:sz w:val="24"/>
          <w:szCs w:val="24"/>
        </w:rPr>
        <w:t xml:space="preserve">% </w:t>
      </w:r>
      <w:r w:rsidR="00A115E0" w:rsidRPr="00A84E9A">
        <w:rPr>
          <w:sz w:val="24"/>
          <w:szCs w:val="24"/>
        </w:rPr>
        <w:t xml:space="preserve">was noted in </w:t>
      </w:r>
      <w:r w:rsidR="00572F64" w:rsidRPr="00A84E9A">
        <w:rPr>
          <w:sz w:val="24"/>
          <w:szCs w:val="24"/>
        </w:rPr>
        <w:t xml:space="preserve">real </w:t>
      </w:r>
      <w:r w:rsidR="00A115E0" w:rsidRPr="00A84E9A">
        <w:rPr>
          <w:sz w:val="24"/>
          <w:szCs w:val="24"/>
        </w:rPr>
        <w:t xml:space="preserve">manufacturing </w:t>
      </w:r>
      <w:r w:rsidR="00572F64" w:rsidRPr="00A84E9A">
        <w:rPr>
          <w:sz w:val="24"/>
          <w:szCs w:val="24"/>
        </w:rPr>
        <w:t xml:space="preserve">output.  </w:t>
      </w:r>
      <w:r w:rsidR="00B645CF" w:rsidRPr="00A84E9A">
        <w:rPr>
          <w:sz w:val="24"/>
          <w:szCs w:val="24"/>
        </w:rPr>
        <w:t xml:space="preserve">This is </w:t>
      </w:r>
      <w:r w:rsidR="00C7448E" w:rsidRPr="00A84E9A">
        <w:rPr>
          <w:sz w:val="24"/>
          <w:szCs w:val="24"/>
        </w:rPr>
        <w:t>due</w:t>
      </w:r>
      <w:r w:rsidR="00EF65B4" w:rsidRPr="00A84E9A">
        <w:rPr>
          <w:sz w:val="24"/>
          <w:szCs w:val="24"/>
        </w:rPr>
        <w:t xml:space="preserve"> to </w:t>
      </w:r>
      <w:r w:rsidR="003D58BA" w:rsidRPr="00A84E9A">
        <w:rPr>
          <w:sz w:val="24"/>
          <w:szCs w:val="24"/>
        </w:rPr>
        <w:t>positive growth</w:t>
      </w:r>
      <w:r w:rsidR="007A5904" w:rsidRPr="00A84E9A">
        <w:rPr>
          <w:sz w:val="24"/>
          <w:szCs w:val="24"/>
        </w:rPr>
        <w:t>s</w:t>
      </w:r>
      <w:r w:rsidR="003D58BA" w:rsidRPr="00A84E9A">
        <w:rPr>
          <w:sz w:val="24"/>
          <w:szCs w:val="24"/>
        </w:rPr>
        <w:t xml:space="preserve"> in “</w:t>
      </w:r>
      <w:r w:rsidR="00CA0F7D" w:rsidRPr="00A84E9A">
        <w:rPr>
          <w:sz w:val="24"/>
          <w:szCs w:val="24"/>
        </w:rPr>
        <w:t>Non-</w:t>
      </w:r>
      <w:r w:rsidR="003D58BA" w:rsidRPr="00A84E9A">
        <w:rPr>
          <w:sz w:val="24"/>
          <w:szCs w:val="24"/>
        </w:rPr>
        <w:t>EOE” (+</w:t>
      </w:r>
      <w:r w:rsidR="003435F8" w:rsidRPr="00A84E9A">
        <w:rPr>
          <w:sz w:val="24"/>
          <w:szCs w:val="24"/>
        </w:rPr>
        <w:t>1.7</w:t>
      </w:r>
      <w:r w:rsidR="003D58BA" w:rsidRPr="00A84E9A">
        <w:rPr>
          <w:sz w:val="24"/>
          <w:szCs w:val="24"/>
        </w:rPr>
        <w:t>%) partly offset by negative</w:t>
      </w:r>
      <w:r w:rsidR="00246649" w:rsidRPr="00A84E9A">
        <w:rPr>
          <w:sz w:val="24"/>
          <w:szCs w:val="24"/>
        </w:rPr>
        <w:t xml:space="preserve"> growth </w:t>
      </w:r>
      <w:r w:rsidR="007A5904" w:rsidRPr="00A84E9A">
        <w:rPr>
          <w:sz w:val="24"/>
          <w:szCs w:val="24"/>
        </w:rPr>
        <w:t xml:space="preserve">of </w:t>
      </w:r>
      <w:r w:rsidR="003435F8" w:rsidRPr="00A84E9A">
        <w:rPr>
          <w:sz w:val="24"/>
          <w:szCs w:val="24"/>
        </w:rPr>
        <w:t>5.5</w:t>
      </w:r>
      <w:r w:rsidR="00CA0F7D" w:rsidRPr="00A84E9A">
        <w:rPr>
          <w:sz w:val="24"/>
          <w:szCs w:val="24"/>
        </w:rPr>
        <w:t>% in</w:t>
      </w:r>
      <w:r w:rsidR="003435F8" w:rsidRPr="00A84E9A">
        <w:rPr>
          <w:sz w:val="24"/>
          <w:szCs w:val="24"/>
        </w:rPr>
        <w:t xml:space="preserve"> “Sugar milling” and 1.4% </w:t>
      </w:r>
      <w:r w:rsidR="00E865C2" w:rsidRPr="00A84E9A">
        <w:rPr>
          <w:sz w:val="24"/>
          <w:szCs w:val="24"/>
        </w:rPr>
        <w:t xml:space="preserve">in </w:t>
      </w:r>
      <w:r w:rsidR="00CA0F7D" w:rsidRPr="00A84E9A">
        <w:rPr>
          <w:sz w:val="24"/>
          <w:szCs w:val="24"/>
        </w:rPr>
        <w:t>“EOE”</w:t>
      </w:r>
      <w:r w:rsidR="007A5904" w:rsidRPr="00A84E9A">
        <w:rPr>
          <w:sz w:val="24"/>
          <w:szCs w:val="24"/>
        </w:rPr>
        <w:t>.</w:t>
      </w:r>
      <w:r w:rsidR="007D53A3" w:rsidRPr="00A84E9A">
        <w:rPr>
          <w:sz w:val="24"/>
          <w:szCs w:val="24"/>
        </w:rPr>
        <w:t xml:space="preserve"> </w:t>
      </w:r>
      <w:r w:rsidR="00B645CF" w:rsidRPr="00A84E9A">
        <w:rPr>
          <w:sz w:val="24"/>
          <w:szCs w:val="24"/>
        </w:rPr>
        <w:t>The performances of</w:t>
      </w:r>
      <w:r w:rsidR="00A17B7F" w:rsidRPr="00A84E9A">
        <w:rPr>
          <w:sz w:val="24"/>
          <w:szCs w:val="24"/>
        </w:rPr>
        <w:t xml:space="preserve"> </w:t>
      </w:r>
      <w:r w:rsidR="005A530B" w:rsidRPr="00A84E9A">
        <w:rPr>
          <w:sz w:val="24"/>
          <w:szCs w:val="24"/>
        </w:rPr>
        <w:t>“</w:t>
      </w:r>
      <w:r w:rsidR="00B645CF" w:rsidRPr="00A84E9A">
        <w:rPr>
          <w:sz w:val="24"/>
          <w:szCs w:val="24"/>
        </w:rPr>
        <w:t>E</w:t>
      </w:r>
      <w:r w:rsidR="007E0D87" w:rsidRPr="00A84E9A">
        <w:rPr>
          <w:sz w:val="24"/>
          <w:szCs w:val="24"/>
        </w:rPr>
        <w:t>OE</w:t>
      </w:r>
      <w:r w:rsidR="005A530B" w:rsidRPr="00A84E9A">
        <w:rPr>
          <w:sz w:val="24"/>
          <w:szCs w:val="24"/>
        </w:rPr>
        <w:t>”</w:t>
      </w:r>
      <w:r w:rsidR="00B645CF" w:rsidRPr="00A84E9A">
        <w:rPr>
          <w:sz w:val="24"/>
          <w:szCs w:val="24"/>
        </w:rPr>
        <w:t xml:space="preserve"> and </w:t>
      </w:r>
      <w:r w:rsidR="005A530B" w:rsidRPr="00A84E9A">
        <w:rPr>
          <w:sz w:val="24"/>
          <w:szCs w:val="24"/>
        </w:rPr>
        <w:t>“</w:t>
      </w:r>
      <w:r w:rsidR="00B645CF" w:rsidRPr="00A84E9A">
        <w:rPr>
          <w:sz w:val="24"/>
          <w:szCs w:val="24"/>
        </w:rPr>
        <w:t>Non-E</w:t>
      </w:r>
      <w:r w:rsidR="007E0D87" w:rsidRPr="00A84E9A">
        <w:rPr>
          <w:sz w:val="24"/>
          <w:szCs w:val="24"/>
        </w:rPr>
        <w:t>OE</w:t>
      </w:r>
      <w:r w:rsidR="007F3F0B" w:rsidRPr="00A84E9A">
        <w:rPr>
          <w:sz w:val="24"/>
          <w:szCs w:val="24"/>
        </w:rPr>
        <w:t>”</w:t>
      </w:r>
      <w:r w:rsidR="00B645CF" w:rsidRPr="00A84E9A">
        <w:rPr>
          <w:sz w:val="24"/>
          <w:szCs w:val="24"/>
        </w:rPr>
        <w:t xml:space="preserve"> by detailed industry group up to </w:t>
      </w:r>
      <w:r w:rsidR="00CA0F7D" w:rsidRPr="00A84E9A">
        <w:rPr>
          <w:sz w:val="24"/>
          <w:szCs w:val="24"/>
        </w:rPr>
        <w:t>first</w:t>
      </w:r>
      <w:r w:rsidR="003659D1" w:rsidRPr="00A84E9A">
        <w:rPr>
          <w:sz w:val="24"/>
          <w:szCs w:val="24"/>
        </w:rPr>
        <w:t xml:space="preserve"> </w:t>
      </w:r>
      <w:r w:rsidR="00582D1B" w:rsidRPr="00A84E9A">
        <w:rPr>
          <w:sz w:val="24"/>
          <w:szCs w:val="24"/>
        </w:rPr>
        <w:t xml:space="preserve">quarter </w:t>
      </w:r>
      <w:r w:rsidR="00CF576C" w:rsidRPr="00A84E9A">
        <w:rPr>
          <w:sz w:val="24"/>
          <w:szCs w:val="24"/>
        </w:rPr>
        <w:t>202</w:t>
      </w:r>
      <w:r w:rsidR="003435F8" w:rsidRPr="00A84E9A">
        <w:rPr>
          <w:sz w:val="24"/>
          <w:szCs w:val="24"/>
        </w:rPr>
        <w:t>5</w:t>
      </w:r>
      <w:r w:rsidR="00201B09" w:rsidRPr="00A84E9A">
        <w:rPr>
          <w:sz w:val="24"/>
          <w:szCs w:val="24"/>
        </w:rPr>
        <w:t xml:space="preserve"> </w:t>
      </w:r>
      <w:r w:rsidR="00B645CF" w:rsidRPr="00A84E9A">
        <w:rPr>
          <w:sz w:val="24"/>
          <w:szCs w:val="24"/>
        </w:rPr>
        <w:t>are analysed separately in Section</w:t>
      </w:r>
      <w:r w:rsidR="00B645CF">
        <w:rPr>
          <w:sz w:val="24"/>
          <w:szCs w:val="24"/>
        </w:rPr>
        <w:t xml:space="preserve"> </w:t>
      </w:r>
      <w:r w:rsidR="002D1112">
        <w:rPr>
          <w:sz w:val="24"/>
          <w:szCs w:val="24"/>
        </w:rPr>
        <w:t>5</w:t>
      </w:r>
      <w:r w:rsidR="00B645CF">
        <w:rPr>
          <w:sz w:val="24"/>
          <w:szCs w:val="24"/>
        </w:rPr>
        <w:t>.</w:t>
      </w:r>
      <w:r w:rsidR="00590C71">
        <w:rPr>
          <w:sz w:val="24"/>
          <w:szCs w:val="24"/>
        </w:rPr>
        <w:t xml:space="preserve"> </w:t>
      </w:r>
      <w:r w:rsidR="00B645CF">
        <w:rPr>
          <w:sz w:val="24"/>
          <w:szCs w:val="24"/>
        </w:rPr>
        <w:t xml:space="preserve"> </w:t>
      </w:r>
    </w:p>
    <w:p w14:paraId="757A5C5E" w14:textId="77777777" w:rsidR="00884EB0" w:rsidRDefault="00884EB0">
      <w:pPr>
        <w:spacing w:before="360"/>
        <w:ind w:right="-259"/>
        <w:jc w:val="both"/>
        <w:rPr>
          <w:b/>
          <w:sz w:val="24"/>
          <w:szCs w:val="24"/>
        </w:rPr>
      </w:pPr>
    </w:p>
    <w:p w14:paraId="723667D3" w14:textId="77777777" w:rsidR="006F7489" w:rsidRDefault="006C4137">
      <w:pPr>
        <w:spacing w:before="360"/>
        <w:ind w:right="-2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F7489">
        <w:rPr>
          <w:b/>
          <w:sz w:val="24"/>
          <w:szCs w:val="24"/>
        </w:rPr>
        <w:t>.3</w:t>
      </w:r>
      <w:r w:rsidR="006F7489">
        <w:rPr>
          <w:b/>
          <w:sz w:val="24"/>
          <w:szCs w:val="24"/>
        </w:rPr>
        <w:tab/>
      </w:r>
      <w:r w:rsidR="00F25D3C" w:rsidRPr="00532819">
        <w:rPr>
          <w:b/>
          <w:sz w:val="24"/>
        </w:rPr>
        <w:t>Electricity, gas, steam and air conditioning supply</w:t>
      </w:r>
    </w:p>
    <w:p w14:paraId="2C39F63A" w14:textId="77777777" w:rsidR="000D09EF" w:rsidRDefault="00B645CF" w:rsidP="00C75787">
      <w:pPr>
        <w:spacing w:before="120"/>
        <w:jc w:val="both"/>
      </w:pPr>
      <w:r w:rsidRPr="00A84E9A">
        <w:rPr>
          <w:sz w:val="24"/>
          <w:szCs w:val="24"/>
        </w:rPr>
        <w:t>“</w:t>
      </w:r>
      <w:r w:rsidR="00F25D3C" w:rsidRPr="00A84E9A">
        <w:rPr>
          <w:sz w:val="24"/>
        </w:rPr>
        <w:t>Electricity, gas, steam and air conditioning supply</w:t>
      </w:r>
      <w:r w:rsidRPr="00A84E9A">
        <w:rPr>
          <w:sz w:val="24"/>
          <w:szCs w:val="24"/>
        </w:rPr>
        <w:t xml:space="preserve">” accounts for </w:t>
      </w:r>
      <w:r w:rsidR="00A2271E" w:rsidRPr="00A84E9A">
        <w:rPr>
          <w:sz w:val="24"/>
          <w:szCs w:val="24"/>
        </w:rPr>
        <w:t>10.5</w:t>
      </w:r>
      <w:r w:rsidRPr="00A84E9A">
        <w:rPr>
          <w:sz w:val="24"/>
          <w:szCs w:val="24"/>
        </w:rPr>
        <w:t xml:space="preserve">% of the output of the industrial sector. </w:t>
      </w:r>
      <w:r w:rsidR="006C7CBC" w:rsidRPr="00A84E9A">
        <w:rPr>
          <w:sz w:val="24"/>
          <w:szCs w:val="24"/>
        </w:rPr>
        <w:t xml:space="preserve"> </w:t>
      </w:r>
      <w:r w:rsidRPr="00A84E9A">
        <w:rPr>
          <w:sz w:val="24"/>
          <w:szCs w:val="24"/>
        </w:rPr>
        <w:t xml:space="preserve">In the </w:t>
      </w:r>
      <w:r w:rsidR="00CA0F7D" w:rsidRPr="00A84E9A">
        <w:rPr>
          <w:sz w:val="24"/>
          <w:szCs w:val="24"/>
        </w:rPr>
        <w:t>second</w:t>
      </w:r>
      <w:r w:rsidR="006E244C" w:rsidRPr="00A84E9A">
        <w:rPr>
          <w:sz w:val="24"/>
          <w:szCs w:val="24"/>
        </w:rPr>
        <w:t xml:space="preserve"> </w:t>
      </w:r>
      <w:r w:rsidR="00494DBD" w:rsidRPr="00A84E9A">
        <w:rPr>
          <w:sz w:val="24"/>
          <w:szCs w:val="24"/>
        </w:rPr>
        <w:t>quarter</w:t>
      </w:r>
      <w:r w:rsidRPr="00A84E9A">
        <w:rPr>
          <w:sz w:val="24"/>
          <w:szCs w:val="24"/>
        </w:rPr>
        <w:t xml:space="preserve"> </w:t>
      </w:r>
      <w:r w:rsidR="009E3E22" w:rsidRPr="00A84E9A">
        <w:rPr>
          <w:sz w:val="24"/>
          <w:szCs w:val="24"/>
        </w:rPr>
        <w:t xml:space="preserve">of </w:t>
      </w:r>
      <w:r w:rsidR="00CF576C" w:rsidRPr="00A84E9A">
        <w:rPr>
          <w:sz w:val="24"/>
          <w:szCs w:val="24"/>
        </w:rPr>
        <w:t>202</w:t>
      </w:r>
      <w:r w:rsidR="00EF51FA" w:rsidRPr="00A84E9A">
        <w:rPr>
          <w:sz w:val="24"/>
          <w:szCs w:val="24"/>
        </w:rPr>
        <w:t>5</w:t>
      </w:r>
      <w:r w:rsidRPr="00A84E9A">
        <w:rPr>
          <w:sz w:val="24"/>
          <w:szCs w:val="24"/>
        </w:rPr>
        <w:t>, real output of this sect</w:t>
      </w:r>
      <w:r w:rsidR="00C6539D" w:rsidRPr="00A84E9A">
        <w:rPr>
          <w:sz w:val="24"/>
          <w:szCs w:val="24"/>
        </w:rPr>
        <w:t xml:space="preserve">or </w:t>
      </w:r>
      <w:r w:rsidR="00CA0F7D" w:rsidRPr="00A84E9A">
        <w:rPr>
          <w:sz w:val="24"/>
          <w:szCs w:val="24"/>
        </w:rPr>
        <w:t>decreased</w:t>
      </w:r>
      <w:r w:rsidR="00A46586" w:rsidRPr="00A84E9A">
        <w:rPr>
          <w:sz w:val="24"/>
          <w:szCs w:val="24"/>
        </w:rPr>
        <w:t xml:space="preserve"> </w:t>
      </w:r>
      <w:r w:rsidR="008D1BFA" w:rsidRPr="00A84E9A">
        <w:rPr>
          <w:sz w:val="24"/>
          <w:szCs w:val="24"/>
        </w:rPr>
        <w:t>by</w:t>
      </w:r>
      <w:r w:rsidR="00AE151A" w:rsidRPr="00A84E9A">
        <w:rPr>
          <w:sz w:val="24"/>
          <w:szCs w:val="24"/>
        </w:rPr>
        <w:t xml:space="preserve"> </w:t>
      </w:r>
      <w:r w:rsidR="00EF51FA" w:rsidRPr="00A84E9A">
        <w:rPr>
          <w:sz w:val="24"/>
          <w:szCs w:val="24"/>
        </w:rPr>
        <w:t>29.4</w:t>
      </w:r>
      <w:r w:rsidR="00AE151A" w:rsidRPr="00A84E9A">
        <w:rPr>
          <w:sz w:val="24"/>
          <w:szCs w:val="24"/>
        </w:rPr>
        <w:t>%</w:t>
      </w:r>
      <w:r w:rsidRPr="00A84E9A">
        <w:rPr>
          <w:sz w:val="24"/>
          <w:szCs w:val="24"/>
        </w:rPr>
        <w:t xml:space="preserve"> compared to the previous quarter </w:t>
      </w:r>
      <w:r w:rsidR="00E16892" w:rsidRPr="00A84E9A">
        <w:rPr>
          <w:sz w:val="24"/>
          <w:szCs w:val="24"/>
        </w:rPr>
        <w:t>and</w:t>
      </w:r>
      <w:r w:rsidR="00F804B2" w:rsidRPr="00A84E9A">
        <w:rPr>
          <w:sz w:val="24"/>
          <w:szCs w:val="24"/>
        </w:rPr>
        <w:t xml:space="preserve"> </w:t>
      </w:r>
      <w:r w:rsidR="00CA0F7D" w:rsidRPr="00A84E9A">
        <w:rPr>
          <w:sz w:val="24"/>
          <w:szCs w:val="24"/>
        </w:rPr>
        <w:t xml:space="preserve">increased </w:t>
      </w:r>
      <w:r w:rsidR="008D1BFA" w:rsidRPr="00A84E9A">
        <w:rPr>
          <w:sz w:val="24"/>
          <w:szCs w:val="24"/>
        </w:rPr>
        <w:t xml:space="preserve">by </w:t>
      </w:r>
      <w:r w:rsidR="00EF51FA" w:rsidRPr="00A84E9A">
        <w:rPr>
          <w:sz w:val="24"/>
          <w:szCs w:val="24"/>
        </w:rPr>
        <w:t>5.4</w:t>
      </w:r>
      <w:r w:rsidR="002A3A1E" w:rsidRPr="00A84E9A">
        <w:rPr>
          <w:sz w:val="24"/>
          <w:szCs w:val="24"/>
        </w:rPr>
        <w:t xml:space="preserve">% </w:t>
      </w:r>
      <w:r w:rsidR="003C1924" w:rsidRPr="00A84E9A">
        <w:rPr>
          <w:sz w:val="24"/>
          <w:szCs w:val="24"/>
        </w:rPr>
        <w:t xml:space="preserve">compared to </w:t>
      </w:r>
      <w:r w:rsidR="0016389C" w:rsidRPr="00A84E9A">
        <w:rPr>
          <w:sz w:val="24"/>
          <w:szCs w:val="24"/>
        </w:rPr>
        <w:t xml:space="preserve">the corresponding quarter of </w:t>
      </w:r>
      <w:r w:rsidR="00CF576C" w:rsidRPr="00A84E9A">
        <w:rPr>
          <w:sz w:val="24"/>
          <w:szCs w:val="24"/>
        </w:rPr>
        <w:t>202</w:t>
      </w:r>
      <w:r w:rsidR="00EF51FA" w:rsidRPr="00A84E9A">
        <w:rPr>
          <w:sz w:val="24"/>
          <w:szCs w:val="24"/>
        </w:rPr>
        <w:t>4</w:t>
      </w:r>
      <w:r w:rsidRPr="00A84E9A">
        <w:rPr>
          <w:sz w:val="24"/>
          <w:szCs w:val="24"/>
        </w:rPr>
        <w:t xml:space="preserve">. </w:t>
      </w:r>
      <w:r w:rsidR="006C7CBC" w:rsidRPr="00A84E9A">
        <w:rPr>
          <w:sz w:val="24"/>
          <w:szCs w:val="24"/>
        </w:rPr>
        <w:t xml:space="preserve"> </w:t>
      </w:r>
      <w:r w:rsidR="00C75787" w:rsidRPr="00A84E9A">
        <w:rPr>
          <w:sz w:val="24"/>
          <w:szCs w:val="24"/>
        </w:rPr>
        <w:t>In</w:t>
      </w:r>
      <w:r w:rsidR="00D07F63" w:rsidRPr="00A84E9A">
        <w:rPr>
          <w:sz w:val="24"/>
          <w:szCs w:val="24"/>
        </w:rPr>
        <w:t xml:space="preserve"> year</w:t>
      </w:r>
      <w:r w:rsidR="00BF4DC7" w:rsidRPr="00A84E9A">
        <w:rPr>
          <w:sz w:val="24"/>
          <w:szCs w:val="24"/>
        </w:rPr>
        <w:t xml:space="preserve"> </w:t>
      </w:r>
      <w:r w:rsidR="00CE230F" w:rsidRPr="00A84E9A">
        <w:rPr>
          <w:sz w:val="24"/>
          <w:szCs w:val="24"/>
        </w:rPr>
        <w:t xml:space="preserve">ending </w:t>
      </w:r>
      <w:r w:rsidR="00CA0F7D" w:rsidRPr="00A84E9A">
        <w:rPr>
          <w:sz w:val="24"/>
          <w:szCs w:val="24"/>
        </w:rPr>
        <w:t>second</w:t>
      </w:r>
      <w:r w:rsidR="00CE230F" w:rsidRPr="00A84E9A">
        <w:rPr>
          <w:sz w:val="24"/>
          <w:szCs w:val="24"/>
        </w:rPr>
        <w:t xml:space="preserve"> quarter </w:t>
      </w:r>
      <w:r w:rsidR="00CF576C" w:rsidRPr="00A84E9A">
        <w:rPr>
          <w:sz w:val="24"/>
          <w:szCs w:val="24"/>
        </w:rPr>
        <w:t>202</w:t>
      </w:r>
      <w:r w:rsidR="00EF51FA" w:rsidRPr="00A84E9A">
        <w:rPr>
          <w:sz w:val="24"/>
          <w:szCs w:val="24"/>
        </w:rPr>
        <w:t>5</w:t>
      </w:r>
      <w:r w:rsidR="00C75787" w:rsidRPr="00A84E9A">
        <w:rPr>
          <w:sz w:val="24"/>
          <w:szCs w:val="24"/>
        </w:rPr>
        <w:t xml:space="preserve">, </w:t>
      </w:r>
      <w:r w:rsidR="00C766BF" w:rsidRPr="00A84E9A">
        <w:rPr>
          <w:sz w:val="24"/>
          <w:szCs w:val="24"/>
        </w:rPr>
        <w:t>production</w:t>
      </w:r>
      <w:r w:rsidR="00AA7EE3" w:rsidRPr="00A84E9A">
        <w:rPr>
          <w:sz w:val="24"/>
          <w:szCs w:val="24"/>
        </w:rPr>
        <w:t xml:space="preserve"> </w:t>
      </w:r>
      <w:r w:rsidR="00FC6929" w:rsidRPr="00A84E9A">
        <w:rPr>
          <w:sz w:val="24"/>
          <w:szCs w:val="24"/>
        </w:rPr>
        <w:t>grew</w:t>
      </w:r>
      <w:r w:rsidR="00AA7EE3" w:rsidRPr="00A84E9A">
        <w:rPr>
          <w:sz w:val="24"/>
          <w:szCs w:val="24"/>
        </w:rPr>
        <w:t xml:space="preserve"> by </w:t>
      </w:r>
      <w:r w:rsidR="00EF51FA" w:rsidRPr="00A84E9A">
        <w:rPr>
          <w:sz w:val="24"/>
          <w:szCs w:val="24"/>
        </w:rPr>
        <w:t>4.6</w:t>
      </w:r>
      <w:r w:rsidR="00AA7EE3" w:rsidRPr="00A84E9A">
        <w:rPr>
          <w:sz w:val="24"/>
          <w:szCs w:val="24"/>
        </w:rPr>
        <w:t>%</w:t>
      </w:r>
      <w:r w:rsidR="00C75787" w:rsidRPr="00A84E9A">
        <w:rPr>
          <w:sz w:val="24"/>
          <w:szCs w:val="24"/>
        </w:rPr>
        <w:t xml:space="preserve"> (Table</w:t>
      </w:r>
      <w:r w:rsidR="00E865C2" w:rsidRPr="00A84E9A">
        <w:rPr>
          <w:sz w:val="24"/>
          <w:szCs w:val="24"/>
        </w:rPr>
        <w:t xml:space="preserve"> </w:t>
      </w:r>
      <w:r w:rsidR="00C75787" w:rsidRPr="00A84E9A">
        <w:rPr>
          <w:sz w:val="24"/>
          <w:szCs w:val="24"/>
        </w:rPr>
        <w:t>1).</w:t>
      </w:r>
      <w:r w:rsidR="00F469FD" w:rsidRPr="00F469FD">
        <w:t xml:space="preserve"> </w:t>
      </w:r>
    </w:p>
    <w:p w14:paraId="46A7CA30" w14:textId="6C92B514" w:rsidR="00DC3CF4" w:rsidRDefault="0016480C" w:rsidP="000D09EF">
      <w:pPr>
        <w:spacing w:before="120"/>
        <w:jc w:val="center"/>
      </w:pPr>
      <w:r>
        <w:rPr>
          <w:noProof/>
        </w:rPr>
        <w:drawing>
          <wp:inline distT="0" distB="0" distL="0" distR="0" wp14:anchorId="7FD7838C" wp14:editId="3FC4663B">
            <wp:extent cx="5660390" cy="2828925"/>
            <wp:effectExtent l="0" t="0" r="0" b="0"/>
            <wp:docPr id="1316" name="Picture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47957" w14:textId="77777777" w:rsidR="002377D7" w:rsidRDefault="002377D7" w:rsidP="00C2283E">
      <w:pPr>
        <w:spacing w:after="120"/>
        <w:ind w:right="-259"/>
        <w:jc w:val="both"/>
      </w:pPr>
    </w:p>
    <w:p w14:paraId="7CAFD9A4" w14:textId="77777777" w:rsidR="002377D7" w:rsidRDefault="002377D7" w:rsidP="00C2283E">
      <w:pPr>
        <w:spacing w:after="120"/>
        <w:ind w:right="-259"/>
        <w:jc w:val="both"/>
      </w:pPr>
    </w:p>
    <w:p w14:paraId="013D5D05" w14:textId="77777777" w:rsidR="00F25D3C" w:rsidRPr="00741F25" w:rsidRDefault="004558BF" w:rsidP="00C2283E">
      <w:pPr>
        <w:spacing w:after="120"/>
        <w:ind w:right="-2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 w:rsidR="00741472">
        <w:rPr>
          <w:b/>
          <w:sz w:val="24"/>
          <w:szCs w:val="24"/>
        </w:rPr>
        <w:tab/>
      </w:r>
      <w:r w:rsidR="00F25D3C" w:rsidRPr="00741F25">
        <w:rPr>
          <w:b/>
          <w:sz w:val="24"/>
        </w:rPr>
        <w:t>Water supply; sew</w:t>
      </w:r>
      <w:r w:rsidR="007278C2" w:rsidRPr="00741F25">
        <w:rPr>
          <w:b/>
          <w:sz w:val="24"/>
        </w:rPr>
        <w:t>e</w:t>
      </w:r>
      <w:r w:rsidR="00F25D3C" w:rsidRPr="00741F25">
        <w:rPr>
          <w:b/>
          <w:sz w:val="24"/>
        </w:rPr>
        <w:t>rage, waste management and remediation</w:t>
      </w:r>
      <w:r w:rsidR="004710A5">
        <w:rPr>
          <w:b/>
          <w:sz w:val="24"/>
        </w:rPr>
        <w:t xml:space="preserve"> activities</w:t>
      </w:r>
    </w:p>
    <w:p w14:paraId="2A2646C9" w14:textId="77777777" w:rsidR="00F25D3C" w:rsidRDefault="00F25D3C" w:rsidP="00F25D3C">
      <w:pPr>
        <w:spacing w:before="120"/>
        <w:jc w:val="both"/>
        <w:rPr>
          <w:sz w:val="24"/>
          <w:szCs w:val="24"/>
        </w:rPr>
      </w:pPr>
      <w:r w:rsidRPr="00A84E9A">
        <w:rPr>
          <w:sz w:val="24"/>
          <w:szCs w:val="24"/>
        </w:rPr>
        <w:t>“</w:t>
      </w:r>
      <w:r w:rsidRPr="00A84E9A">
        <w:rPr>
          <w:sz w:val="24"/>
        </w:rPr>
        <w:t>Water supply; sew</w:t>
      </w:r>
      <w:r w:rsidR="007278C2" w:rsidRPr="00A84E9A">
        <w:rPr>
          <w:sz w:val="24"/>
        </w:rPr>
        <w:t>e</w:t>
      </w:r>
      <w:r w:rsidRPr="00A84E9A">
        <w:rPr>
          <w:sz w:val="24"/>
        </w:rPr>
        <w:t>rage, waste management and remediation</w:t>
      </w:r>
      <w:r w:rsidR="004710A5" w:rsidRPr="00A84E9A">
        <w:rPr>
          <w:sz w:val="24"/>
        </w:rPr>
        <w:t xml:space="preserve"> activities</w:t>
      </w:r>
      <w:r w:rsidRPr="00A84E9A">
        <w:rPr>
          <w:sz w:val="24"/>
          <w:szCs w:val="24"/>
        </w:rPr>
        <w:t>” accounts for around 2</w:t>
      </w:r>
      <w:r w:rsidR="00A46586" w:rsidRPr="00A84E9A">
        <w:rPr>
          <w:sz w:val="24"/>
          <w:szCs w:val="24"/>
        </w:rPr>
        <w:t>.4</w:t>
      </w:r>
      <w:r w:rsidRPr="00A84E9A">
        <w:rPr>
          <w:sz w:val="24"/>
          <w:szCs w:val="24"/>
        </w:rPr>
        <w:t xml:space="preserve">% of the output of the industrial sector.  In the </w:t>
      </w:r>
      <w:r w:rsidR="00CA0F7D" w:rsidRPr="00A84E9A">
        <w:rPr>
          <w:sz w:val="24"/>
          <w:szCs w:val="24"/>
        </w:rPr>
        <w:t xml:space="preserve">second </w:t>
      </w:r>
      <w:r w:rsidRPr="00A84E9A">
        <w:rPr>
          <w:sz w:val="24"/>
          <w:szCs w:val="24"/>
        </w:rPr>
        <w:t xml:space="preserve">quarter of </w:t>
      </w:r>
      <w:r w:rsidR="00CF576C" w:rsidRPr="00A84E9A">
        <w:rPr>
          <w:sz w:val="24"/>
          <w:szCs w:val="24"/>
        </w:rPr>
        <w:t>202</w:t>
      </w:r>
      <w:r w:rsidR="00EF51FA" w:rsidRPr="00A84E9A">
        <w:rPr>
          <w:sz w:val="24"/>
          <w:szCs w:val="24"/>
        </w:rPr>
        <w:t>5</w:t>
      </w:r>
      <w:r w:rsidRPr="00A84E9A">
        <w:rPr>
          <w:sz w:val="24"/>
          <w:szCs w:val="24"/>
        </w:rPr>
        <w:t>, real output of this sector</w:t>
      </w:r>
      <w:r w:rsidR="00C565C7" w:rsidRPr="00A84E9A">
        <w:rPr>
          <w:sz w:val="24"/>
          <w:szCs w:val="24"/>
        </w:rPr>
        <w:t xml:space="preserve"> </w:t>
      </w:r>
      <w:r w:rsidR="00CA0F7D" w:rsidRPr="00A84E9A">
        <w:rPr>
          <w:sz w:val="24"/>
          <w:szCs w:val="24"/>
        </w:rPr>
        <w:t>increased</w:t>
      </w:r>
      <w:r w:rsidR="00CE230F" w:rsidRPr="00A84E9A">
        <w:rPr>
          <w:sz w:val="24"/>
          <w:szCs w:val="24"/>
        </w:rPr>
        <w:t xml:space="preserve"> by </w:t>
      </w:r>
      <w:r w:rsidR="00CA0F7D" w:rsidRPr="00A84E9A">
        <w:rPr>
          <w:sz w:val="24"/>
          <w:szCs w:val="24"/>
        </w:rPr>
        <w:t>5.</w:t>
      </w:r>
      <w:r w:rsidR="00EF51FA" w:rsidRPr="00A84E9A">
        <w:rPr>
          <w:sz w:val="24"/>
          <w:szCs w:val="24"/>
        </w:rPr>
        <w:t>1</w:t>
      </w:r>
      <w:r w:rsidR="00C565C7" w:rsidRPr="00A84E9A">
        <w:rPr>
          <w:sz w:val="24"/>
          <w:szCs w:val="24"/>
        </w:rPr>
        <w:t>%</w:t>
      </w:r>
      <w:r w:rsidRPr="00A84E9A">
        <w:rPr>
          <w:sz w:val="24"/>
          <w:szCs w:val="24"/>
        </w:rPr>
        <w:t xml:space="preserve"> compared to the previous quarter </w:t>
      </w:r>
      <w:r w:rsidR="00776B03" w:rsidRPr="00A84E9A">
        <w:rPr>
          <w:sz w:val="24"/>
          <w:szCs w:val="24"/>
        </w:rPr>
        <w:t>and</w:t>
      </w:r>
      <w:r w:rsidR="00E0738C" w:rsidRPr="00A84E9A">
        <w:rPr>
          <w:sz w:val="24"/>
          <w:szCs w:val="24"/>
        </w:rPr>
        <w:t xml:space="preserve"> </w:t>
      </w:r>
      <w:r w:rsidR="00495647" w:rsidRPr="00A84E9A">
        <w:rPr>
          <w:sz w:val="24"/>
          <w:szCs w:val="24"/>
        </w:rPr>
        <w:t xml:space="preserve">by </w:t>
      </w:r>
      <w:r w:rsidR="00EF51FA" w:rsidRPr="00A84E9A">
        <w:rPr>
          <w:sz w:val="24"/>
          <w:szCs w:val="24"/>
        </w:rPr>
        <w:t>1.0</w:t>
      </w:r>
      <w:r w:rsidR="00495647" w:rsidRPr="00A84E9A">
        <w:rPr>
          <w:sz w:val="24"/>
          <w:szCs w:val="24"/>
        </w:rPr>
        <w:t>%</w:t>
      </w:r>
      <w:r w:rsidR="009D0D83" w:rsidRPr="00A84E9A">
        <w:rPr>
          <w:sz w:val="24"/>
          <w:szCs w:val="24"/>
        </w:rPr>
        <w:t xml:space="preserve"> when </w:t>
      </w:r>
      <w:r w:rsidRPr="00A84E9A">
        <w:rPr>
          <w:sz w:val="24"/>
          <w:szCs w:val="24"/>
        </w:rPr>
        <w:t xml:space="preserve">compared to the corresponding quarter of </w:t>
      </w:r>
      <w:r w:rsidR="00CF576C" w:rsidRPr="00A84E9A">
        <w:rPr>
          <w:sz w:val="24"/>
          <w:szCs w:val="24"/>
        </w:rPr>
        <w:t>202</w:t>
      </w:r>
      <w:r w:rsidR="00EF51FA" w:rsidRPr="00A84E9A">
        <w:rPr>
          <w:sz w:val="24"/>
          <w:szCs w:val="24"/>
        </w:rPr>
        <w:t>4</w:t>
      </w:r>
      <w:r w:rsidRPr="00A84E9A">
        <w:rPr>
          <w:sz w:val="24"/>
          <w:szCs w:val="24"/>
        </w:rPr>
        <w:t>. In</w:t>
      </w:r>
      <w:r w:rsidR="00E4188D" w:rsidRPr="00A84E9A">
        <w:rPr>
          <w:sz w:val="24"/>
          <w:szCs w:val="24"/>
        </w:rPr>
        <w:t xml:space="preserve"> </w:t>
      </w:r>
      <w:r w:rsidR="00A4245C" w:rsidRPr="00A84E9A">
        <w:rPr>
          <w:sz w:val="24"/>
          <w:szCs w:val="24"/>
        </w:rPr>
        <w:t>year</w:t>
      </w:r>
      <w:r w:rsidR="005338CF" w:rsidRPr="00A84E9A">
        <w:rPr>
          <w:sz w:val="24"/>
          <w:szCs w:val="24"/>
        </w:rPr>
        <w:t xml:space="preserve"> </w:t>
      </w:r>
      <w:r w:rsidR="00820E83" w:rsidRPr="00A84E9A">
        <w:rPr>
          <w:sz w:val="24"/>
          <w:szCs w:val="24"/>
        </w:rPr>
        <w:t xml:space="preserve">ending </w:t>
      </w:r>
      <w:r w:rsidR="009F501E" w:rsidRPr="00A84E9A">
        <w:rPr>
          <w:sz w:val="24"/>
          <w:szCs w:val="24"/>
        </w:rPr>
        <w:t>second</w:t>
      </w:r>
      <w:r w:rsidR="00820E83" w:rsidRPr="00A84E9A">
        <w:rPr>
          <w:sz w:val="24"/>
          <w:szCs w:val="24"/>
        </w:rPr>
        <w:t xml:space="preserve"> quarter </w:t>
      </w:r>
      <w:r w:rsidR="00CF576C" w:rsidRPr="00A84E9A">
        <w:rPr>
          <w:sz w:val="24"/>
          <w:szCs w:val="24"/>
        </w:rPr>
        <w:t>202</w:t>
      </w:r>
      <w:r w:rsidR="00EF51FA" w:rsidRPr="00A84E9A">
        <w:rPr>
          <w:sz w:val="24"/>
          <w:szCs w:val="24"/>
        </w:rPr>
        <w:t>5</w:t>
      </w:r>
      <w:r w:rsidRPr="00A84E9A">
        <w:rPr>
          <w:sz w:val="24"/>
          <w:szCs w:val="24"/>
        </w:rPr>
        <w:t xml:space="preserve">, </w:t>
      </w:r>
      <w:r w:rsidR="005338CF" w:rsidRPr="00A84E9A">
        <w:rPr>
          <w:sz w:val="24"/>
          <w:szCs w:val="24"/>
        </w:rPr>
        <w:t xml:space="preserve">real output </w:t>
      </w:r>
      <w:r w:rsidR="00E0738C" w:rsidRPr="00A84E9A">
        <w:rPr>
          <w:sz w:val="24"/>
          <w:szCs w:val="24"/>
        </w:rPr>
        <w:t>went up</w:t>
      </w:r>
      <w:r w:rsidR="009A5E8D" w:rsidRPr="00A84E9A">
        <w:rPr>
          <w:sz w:val="24"/>
          <w:szCs w:val="24"/>
        </w:rPr>
        <w:t xml:space="preserve"> by </w:t>
      </w:r>
      <w:r w:rsidR="00EF51FA" w:rsidRPr="00A84E9A">
        <w:rPr>
          <w:sz w:val="24"/>
          <w:szCs w:val="24"/>
        </w:rPr>
        <w:t>1.5</w:t>
      </w:r>
      <w:r w:rsidR="009A5E8D" w:rsidRPr="00A84E9A">
        <w:rPr>
          <w:sz w:val="24"/>
          <w:szCs w:val="24"/>
        </w:rPr>
        <w:t>%</w:t>
      </w:r>
      <w:r w:rsidR="009F0B6F" w:rsidRPr="00A84E9A">
        <w:rPr>
          <w:sz w:val="24"/>
          <w:szCs w:val="24"/>
        </w:rPr>
        <w:t xml:space="preserve"> </w:t>
      </w:r>
      <w:r w:rsidRPr="00A84E9A">
        <w:rPr>
          <w:sz w:val="24"/>
          <w:szCs w:val="24"/>
        </w:rPr>
        <w:t>(</w:t>
      </w:r>
      <w:r w:rsidR="009042F1" w:rsidRPr="00A84E9A">
        <w:rPr>
          <w:sz w:val="24"/>
          <w:szCs w:val="24"/>
        </w:rPr>
        <w:t>Table1)</w:t>
      </w:r>
      <w:r w:rsidR="009F0B6F" w:rsidRPr="00A84E9A">
        <w:rPr>
          <w:sz w:val="24"/>
          <w:szCs w:val="24"/>
        </w:rPr>
        <w:t>.</w:t>
      </w:r>
    </w:p>
    <w:p w14:paraId="197648D1" w14:textId="0F175A4E" w:rsidR="001E5056" w:rsidRDefault="0016480C" w:rsidP="00CD22A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E6E986" wp14:editId="7863288B">
            <wp:extent cx="5834380" cy="2967990"/>
            <wp:effectExtent l="0" t="0" r="0" b="0"/>
            <wp:docPr id="1317" name="Picture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296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436F4" w14:textId="77777777" w:rsidR="00812AF8" w:rsidRDefault="00812AF8" w:rsidP="00982599">
      <w:pPr>
        <w:spacing w:before="120"/>
        <w:jc w:val="both"/>
        <w:rPr>
          <w:b/>
          <w:sz w:val="24"/>
          <w:szCs w:val="24"/>
        </w:rPr>
      </w:pPr>
    </w:p>
    <w:p w14:paraId="0D4D199B" w14:textId="77777777" w:rsidR="006F7489" w:rsidRDefault="006C4137" w:rsidP="00982599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F7489">
        <w:rPr>
          <w:b/>
          <w:sz w:val="24"/>
          <w:szCs w:val="24"/>
        </w:rPr>
        <w:t>.</w:t>
      </w:r>
      <w:r w:rsidR="006F7489">
        <w:rPr>
          <w:b/>
          <w:sz w:val="24"/>
          <w:szCs w:val="24"/>
        </w:rPr>
        <w:tab/>
        <w:t>Changes by broad group</w:t>
      </w:r>
    </w:p>
    <w:p w14:paraId="61DBFAC4" w14:textId="77777777" w:rsidR="006F7489" w:rsidRDefault="006C4137" w:rsidP="004558BF">
      <w:pPr>
        <w:spacing w:before="120"/>
        <w:ind w:right="432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F7489">
        <w:rPr>
          <w:b/>
          <w:sz w:val="24"/>
          <w:szCs w:val="24"/>
        </w:rPr>
        <w:t>.1</w:t>
      </w:r>
      <w:r w:rsidR="006F7489">
        <w:rPr>
          <w:b/>
          <w:sz w:val="24"/>
          <w:szCs w:val="24"/>
        </w:rPr>
        <w:tab/>
      </w:r>
      <w:r w:rsidR="008C078C">
        <w:rPr>
          <w:b/>
          <w:sz w:val="24"/>
          <w:szCs w:val="24"/>
        </w:rPr>
        <w:t>Export Oriented Enterprises (</w:t>
      </w:r>
      <w:r w:rsidR="006F7489">
        <w:rPr>
          <w:b/>
          <w:sz w:val="24"/>
          <w:szCs w:val="24"/>
        </w:rPr>
        <w:t>E</w:t>
      </w:r>
      <w:r w:rsidR="007E0D87">
        <w:rPr>
          <w:b/>
          <w:sz w:val="24"/>
          <w:szCs w:val="24"/>
        </w:rPr>
        <w:t>OE</w:t>
      </w:r>
      <w:r w:rsidR="008C078C">
        <w:rPr>
          <w:b/>
          <w:sz w:val="24"/>
          <w:szCs w:val="24"/>
        </w:rPr>
        <w:t>)</w:t>
      </w:r>
    </w:p>
    <w:p w14:paraId="4F301887" w14:textId="77777777" w:rsidR="005338CF" w:rsidRDefault="00B645CF" w:rsidP="005E0CAB">
      <w:pPr>
        <w:spacing w:before="120"/>
        <w:ind w:right="-61"/>
        <w:jc w:val="both"/>
        <w:rPr>
          <w:sz w:val="24"/>
          <w:szCs w:val="24"/>
        </w:rPr>
      </w:pPr>
      <w:r w:rsidRPr="00A84E9A">
        <w:rPr>
          <w:sz w:val="24"/>
          <w:szCs w:val="24"/>
        </w:rPr>
        <w:t>Real output</w:t>
      </w:r>
      <w:r w:rsidR="004710A5" w:rsidRPr="00A84E9A">
        <w:rPr>
          <w:sz w:val="24"/>
          <w:szCs w:val="24"/>
        </w:rPr>
        <w:t xml:space="preserve"> </w:t>
      </w:r>
      <w:r w:rsidRPr="00A84E9A">
        <w:rPr>
          <w:sz w:val="24"/>
          <w:szCs w:val="24"/>
        </w:rPr>
        <w:t>of E</w:t>
      </w:r>
      <w:r w:rsidR="007E0D87" w:rsidRPr="00A84E9A">
        <w:rPr>
          <w:sz w:val="24"/>
          <w:szCs w:val="24"/>
        </w:rPr>
        <w:t>OE</w:t>
      </w:r>
      <w:r w:rsidRPr="00A84E9A">
        <w:rPr>
          <w:sz w:val="24"/>
          <w:szCs w:val="24"/>
        </w:rPr>
        <w:t xml:space="preserve"> </w:t>
      </w:r>
      <w:r w:rsidR="007F3F0B" w:rsidRPr="00A84E9A">
        <w:rPr>
          <w:sz w:val="24"/>
          <w:szCs w:val="24"/>
        </w:rPr>
        <w:t xml:space="preserve">sector </w:t>
      </w:r>
      <w:r w:rsidR="009F501E" w:rsidRPr="00A84E9A">
        <w:rPr>
          <w:sz w:val="24"/>
          <w:szCs w:val="24"/>
        </w:rPr>
        <w:t>increased</w:t>
      </w:r>
      <w:r w:rsidR="00F552E9" w:rsidRPr="00A84E9A">
        <w:rPr>
          <w:sz w:val="24"/>
          <w:szCs w:val="24"/>
        </w:rPr>
        <w:t xml:space="preserve"> </w:t>
      </w:r>
      <w:r w:rsidR="00811D89" w:rsidRPr="00A84E9A">
        <w:rPr>
          <w:sz w:val="24"/>
          <w:szCs w:val="24"/>
        </w:rPr>
        <w:t xml:space="preserve">by </w:t>
      </w:r>
      <w:r w:rsidR="009F501E" w:rsidRPr="00A84E9A">
        <w:rPr>
          <w:sz w:val="24"/>
          <w:szCs w:val="24"/>
        </w:rPr>
        <w:t>9.</w:t>
      </w:r>
      <w:r w:rsidR="00EF51FA" w:rsidRPr="00A84E9A">
        <w:rPr>
          <w:sz w:val="24"/>
          <w:szCs w:val="24"/>
        </w:rPr>
        <w:t>7</w:t>
      </w:r>
      <w:r w:rsidR="0016389C" w:rsidRPr="00A84E9A">
        <w:rPr>
          <w:sz w:val="24"/>
          <w:szCs w:val="24"/>
        </w:rPr>
        <w:t>%</w:t>
      </w:r>
      <w:r w:rsidRPr="00A84E9A">
        <w:rPr>
          <w:sz w:val="24"/>
          <w:szCs w:val="24"/>
        </w:rPr>
        <w:t xml:space="preserve"> in the </w:t>
      </w:r>
      <w:r w:rsidR="009F501E" w:rsidRPr="00A84E9A">
        <w:rPr>
          <w:sz w:val="24"/>
          <w:szCs w:val="24"/>
        </w:rPr>
        <w:t>second</w:t>
      </w:r>
      <w:r w:rsidR="006E244C" w:rsidRPr="00A84E9A">
        <w:rPr>
          <w:sz w:val="24"/>
          <w:szCs w:val="24"/>
        </w:rPr>
        <w:t xml:space="preserve"> </w:t>
      </w:r>
      <w:r w:rsidR="00494DBD" w:rsidRPr="00A84E9A">
        <w:rPr>
          <w:sz w:val="24"/>
          <w:szCs w:val="24"/>
        </w:rPr>
        <w:t>quarter</w:t>
      </w:r>
      <w:r w:rsidRPr="00A84E9A">
        <w:rPr>
          <w:sz w:val="24"/>
          <w:szCs w:val="24"/>
        </w:rPr>
        <w:t xml:space="preserve"> </w:t>
      </w:r>
      <w:r w:rsidR="009E3E22" w:rsidRPr="00A84E9A">
        <w:rPr>
          <w:sz w:val="24"/>
          <w:szCs w:val="24"/>
        </w:rPr>
        <w:t xml:space="preserve">of </w:t>
      </w:r>
      <w:r w:rsidR="00CF576C" w:rsidRPr="00A84E9A">
        <w:rPr>
          <w:sz w:val="24"/>
          <w:szCs w:val="24"/>
        </w:rPr>
        <w:t>202</w:t>
      </w:r>
      <w:r w:rsidR="00EF51FA" w:rsidRPr="00A84E9A">
        <w:rPr>
          <w:sz w:val="24"/>
          <w:szCs w:val="24"/>
        </w:rPr>
        <w:t>5</w:t>
      </w:r>
      <w:r w:rsidRPr="00A84E9A">
        <w:rPr>
          <w:sz w:val="24"/>
          <w:szCs w:val="24"/>
        </w:rPr>
        <w:t xml:space="preserve"> compared to the </w:t>
      </w:r>
      <w:r w:rsidR="00AB0F97" w:rsidRPr="00A84E9A">
        <w:rPr>
          <w:sz w:val="24"/>
          <w:szCs w:val="24"/>
        </w:rPr>
        <w:t>previous</w:t>
      </w:r>
      <w:r w:rsidR="0016389C" w:rsidRPr="00A84E9A">
        <w:rPr>
          <w:sz w:val="24"/>
          <w:szCs w:val="24"/>
        </w:rPr>
        <w:t xml:space="preserve"> </w:t>
      </w:r>
      <w:r w:rsidR="00C6539D" w:rsidRPr="00A84E9A">
        <w:rPr>
          <w:sz w:val="24"/>
          <w:szCs w:val="24"/>
        </w:rPr>
        <w:t>qua</w:t>
      </w:r>
      <w:r w:rsidRPr="00A84E9A">
        <w:rPr>
          <w:sz w:val="24"/>
          <w:szCs w:val="24"/>
        </w:rPr>
        <w:t>rter</w:t>
      </w:r>
      <w:r w:rsidR="00457018" w:rsidRPr="00A84E9A">
        <w:rPr>
          <w:sz w:val="24"/>
          <w:szCs w:val="24"/>
        </w:rPr>
        <w:t xml:space="preserve"> </w:t>
      </w:r>
      <w:r w:rsidR="009F501E" w:rsidRPr="00A84E9A">
        <w:rPr>
          <w:sz w:val="24"/>
          <w:szCs w:val="24"/>
        </w:rPr>
        <w:t>but</w:t>
      </w:r>
      <w:r w:rsidR="008F7D4D" w:rsidRPr="00A84E9A">
        <w:rPr>
          <w:sz w:val="24"/>
          <w:szCs w:val="24"/>
        </w:rPr>
        <w:t xml:space="preserve"> </w:t>
      </w:r>
      <w:r w:rsidR="009F501E" w:rsidRPr="00A84E9A">
        <w:rPr>
          <w:sz w:val="24"/>
          <w:szCs w:val="24"/>
        </w:rPr>
        <w:t xml:space="preserve">contracted </w:t>
      </w:r>
      <w:r w:rsidR="005338CF" w:rsidRPr="00A84E9A">
        <w:rPr>
          <w:sz w:val="24"/>
          <w:szCs w:val="24"/>
        </w:rPr>
        <w:t>by</w:t>
      </w:r>
      <w:r w:rsidR="00834FDB" w:rsidRPr="00A84E9A">
        <w:rPr>
          <w:sz w:val="24"/>
          <w:szCs w:val="24"/>
        </w:rPr>
        <w:t xml:space="preserve"> </w:t>
      </w:r>
      <w:r w:rsidR="00EF51FA" w:rsidRPr="00A84E9A">
        <w:rPr>
          <w:sz w:val="24"/>
          <w:szCs w:val="24"/>
        </w:rPr>
        <w:t>1.0</w:t>
      </w:r>
      <w:r w:rsidR="00457018" w:rsidRPr="00A84E9A">
        <w:rPr>
          <w:sz w:val="24"/>
          <w:szCs w:val="24"/>
        </w:rPr>
        <w:t>% c</w:t>
      </w:r>
      <w:r w:rsidR="00686507" w:rsidRPr="00A84E9A">
        <w:rPr>
          <w:sz w:val="24"/>
          <w:szCs w:val="24"/>
        </w:rPr>
        <w:t xml:space="preserve">ompared to the corresponding quarter of </w:t>
      </w:r>
      <w:r w:rsidR="00CF576C" w:rsidRPr="00A84E9A">
        <w:rPr>
          <w:sz w:val="24"/>
          <w:szCs w:val="24"/>
        </w:rPr>
        <w:t>202</w:t>
      </w:r>
      <w:r w:rsidR="00CD6D3D" w:rsidRPr="00A84E9A">
        <w:rPr>
          <w:sz w:val="24"/>
          <w:szCs w:val="24"/>
        </w:rPr>
        <w:t>4</w:t>
      </w:r>
      <w:r w:rsidRPr="00A84E9A">
        <w:rPr>
          <w:sz w:val="24"/>
          <w:szCs w:val="24"/>
        </w:rPr>
        <w:t>.</w:t>
      </w:r>
      <w:r w:rsidR="00EB3DDA" w:rsidRPr="00A84E9A">
        <w:rPr>
          <w:sz w:val="24"/>
          <w:szCs w:val="24"/>
        </w:rPr>
        <w:t xml:space="preserve"> </w:t>
      </w:r>
      <w:r w:rsidR="00C75787" w:rsidRPr="00A84E9A">
        <w:rPr>
          <w:sz w:val="24"/>
          <w:szCs w:val="24"/>
        </w:rPr>
        <w:t xml:space="preserve">In </w:t>
      </w:r>
      <w:r w:rsidR="00D07F63" w:rsidRPr="00A84E9A">
        <w:rPr>
          <w:sz w:val="24"/>
          <w:szCs w:val="24"/>
        </w:rPr>
        <w:t xml:space="preserve">year </w:t>
      </w:r>
      <w:r w:rsidR="00820E83" w:rsidRPr="00A84E9A">
        <w:rPr>
          <w:sz w:val="24"/>
          <w:szCs w:val="24"/>
        </w:rPr>
        <w:t xml:space="preserve">ending </w:t>
      </w:r>
      <w:r w:rsidR="009F501E" w:rsidRPr="00A84E9A">
        <w:rPr>
          <w:sz w:val="24"/>
          <w:szCs w:val="24"/>
        </w:rPr>
        <w:t>second</w:t>
      </w:r>
      <w:r w:rsidR="00820E83" w:rsidRPr="00A84E9A">
        <w:rPr>
          <w:sz w:val="24"/>
          <w:szCs w:val="24"/>
        </w:rPr>
        <w:t xml:space="preserve"> quarter </w:t>
      </w:r>
      <w:r w:rsidR="00CF576C" w:rsidRPr="00A84E9A">
        <w:rPr>
          <w:sz w:val="24"/>
          <w:szCs w:val="24"/>
        </w:rPr>
        <w:t>202</w:t>
      </w:r>
      <w:r w:rsidR="00CD6D3D" w:rsidRPr="00A84E9A">
        <w:rPr>
          <w:sz w:val="24"/>
          <w:szCs w:val="24"/>
        </w:rPr>
        <w:t>5</w:t>
      </w:r>
      <w:r w:rsidR="00C75787" w:rsidRPr="00A84E9A">
        <w:rPr>
          <w:sz w:val="24"/>
          <w:szCs w:val="24"/>
        </w:rPr>
        <w:t xml:space="preserve">, the EOE </w:t>
      </w:r>
      <w:r w:rsidR="00EE7396" w:rsidRPr="00A84E9A">
        <w:rPr>
          <w:sz w:val="24"/>
          <w:szCs w:val="24"/>
        </w:rPr>
        <w:t xml:space="preserve">sector </w:t>
      </w:r>
      <w:r w:rsidR="009F501E" w:rsidRPr="00A84E9A">
        <w:rPr>
          <w:sz w:val="24"/>
          <w:szCs w:val="24"/>
        </w:rPr>
        <w:t>decreased</w:t>
      </w:r>
      <w:r w:rsidR="003D27A6" w:rsidRPr="00A84E9A">
        <w:rPr>
          <w:sz w:val="24"/>
          <w:szCs w:val="24"/>
        </w:rPr>
        <w:t xml:space="preserve"> by </w:t>
      </w:r>
      <w:r w:rsidR="00CD6D3D" w:rsidRPr="00A84E9A">
        <w:rPr>
          <w:sz w:val="24"/>
          <w:szCs w:val="24"/>
        </w:rPr>
        <w:t>1.4</w:t>
      </w:r>
      <w:r w:rsidR="003D27A6" w:rsidRPr="00A84E9A">
        <w:rPr>
          <w:sz w:val="24"/>
          <w:szCs w:val="24"/>
        </w:rPr>
        <w:t>%</w:t>
      </w:r>
      <w:r w:rsidR="00EE7396" w:rsidRPr="00A84E9A">
        <w:rPr>
          <w:sz w:val="24"/>
          <w:szCs w:val="24"/>
        </w:rPr>
        <w:t xml:space="preserve"> </w:t>
      </w:r>
      <w:r w:rsidR="00C75787" w:rsidRPr="00A84E9A">
        <w:rPr>
          <w:sz w:val="24"/>
          <w:szCs w:val="24"/>
        </w:rPr>
        <w:t>(Table</w:t>
      </w:r>
      <w:r w:rsidR="00E47DCB" w:rsidRPr="00A84E9A">
        <w:rPr>
          <w:sz w:val="24"/>
          <w:szCs w:val="24"/>
        </w:rPr>
        <w:t xml:space="preserve"> </w:t>
      </w:r>
      <w:r w:rsidR="00C75787" w:rsidRPr="00A84E9A">
        <w:rPr>
          <w:sz w:val="24"/>
          <w:szCs w:val="24"/>
        </w:rPr>
        <w:t>1).</w:t>
      </w:r>
      <w:r w:rsidR="007E5567" w:rsidRPr="007E5567">
        <w:rPr>
          <w:sz w:val="24"/>
          <w:szCs w:val="24"/>
        </w:rPr>
        <w:t xml:space="preserve"> </w:t>
      </w:r>
    </w:p>
    <w:p w14:paraId="0329DF65" w14:textId="77777777" w:rsidR="00473C63" w:rsidRDefault="00473C63" w:rsidP="005E0CAB">
      <w:pPr>
        <w:spacing w:before="120"/>
        <w:ind w:right="-61"/>
        <w:jc w:val="both"/>
        <w:rPr>
          <w:sz w:val="24"/>
          <w:szCs w:val="24"/>
        </w:rPr>
      </w:pPr>
    </w:p>
    <w:p w14:paraId="786BCBD4" w14:textId="5BB94884" w:rsidR="005338CF" w:rsidRDefault="0016480C" w:rsidP="000D09EF">
      <w:pPr>
        <w:spacing w:before="120"/>
        <w:ind w:right="-6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304D54" wp14:editId="6394BA3B">
            <wp:extent cx="5541645" cy="2690495"/>
            <wp:effectExtent l="0" t="0" r="0" b="0"/>
            <wp:docPr id="1318" name="Picture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69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76F50" w14:textId="77777777" w:rsidR="004F4800" w:rsidRDefault="004F4800" w:rsidP="005E0CAB">
      <w:pPr>
        <w:spacing w:before="120"/>
        <w:ind w:right="-61"/>
        <w:jc w:val="both"/>
        <w:rPr>
          <w:sz w:val="24"/>
          <w:szCs w:val="24"/>
        </w:rPr>
      </w:pPr>
    </w:p>
    <w:p w14:paraId="32F6452D" w14:textId="00426E3F" w:rsidR="006E475C" w:rsidRPr="00A84E9A" w:rsidRDefault="0016480C" w:rsidP="009C281E">
      <w:pPr>
        <w:spacing w:before="120"/>
        <w:jc w:val="both"/>
        <w:rPr>
          <w:sz w:val="24"/>
          <w:szCs w:val="24"/>
        </w:rPr>
      </w:pPr>
      <w:r w:rsidRPr="00A84E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70AB44" wp14:editId="2ED6C4A3">
                <wp:simplePos x="0" y="0"/>
                <wp:positionH relativeFrom="column">
                  <wp:posOffset>-3220720</wp:posOffset>
                </wp:positionH>
                <wp:positionV relativeFrom="paragraph">
                  <wp:posOffset>23495</wp:posOffset>
                </wp:positionV>
                <wp:extent cx="1445895" cy="244475"/>
                <wp:effectExtent l="0" t="0" r="3175" b="0"/>
                <wp:wrapNone/>
                <wp:docPr id="3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53026" w14:textId="77777777" w:rsidR="00BA3B04" w:rsidRPr="002957A7" w:rsidRDefault="00BA3B04" w:rsidP="00607A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57A7">
                              <w:rPr>
                                <w:b/>
                              </w:rPr>
                              <w:t>Year and quarter</w:t>
                            </w:r>
                          </w:p>
                          <w:p w14:paraId="6E04E730" w14:textId="77777777" w:rsidR="00BA3B04" w:rsidRDefault="00BA3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0AB44" id="_x0000_t202" coordsize="21600,21600" o:spt="202" path="m,l,21600r21600,l21600,xe">
                <v:stroke joinstyle="miter"/>
                <v:path gradientshapeok="t" o:connecttype="rect"/>
              </v:shapetype>
              <v:shape id="Text Box 658" o:spid="_x0000_s1026" type="#_x0000_t202" style="position:absolute;left:0;text-align:left;margin-left:-253.6pt;margin-top:1.85pt;width:113.85pt;height:1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" stroked="f">
                <v:textbox>
                  <w:txbxContent>
                    <w:p w14:paraId="1CB53026" w14:textId="77777777" w:rsidR="00BA3B04" w:rsidRPr="002957A7" w:rsidRDefault="00BA3B04" w:rsidP="00607AFF">
                      <w:pPr>
                        <w:jc w:val="center"/>
                        <w:rPr>
                          <w:b/>
                        </w:rPr>
                      </w:pPr>
                      <w:r w:rsidRPr="002957A7">
                        <w:rPr>
                          <w:b/>
                        </w:rPr>
                        <w:t>Year and quarter</w:t>
                      </w:r>
                    </w:p>
                    <w:p w14:paraId="6E04E730" w14:textId="77777777" w:rsidR="00BA3B04" w:rsidRDefault="00BA3B04"/>
                  </w:txbxContent>
                </v:textbox>
              </v:shape>
            </w:pict>
          </mc:Fallback>
        </mc:AlternateContent>
      </w:r>
      <w:r w:rsidR="003C39F2" w:rsidRPr="00A84E9A">
        <w:rPr>
          <w:sz w:val="24"/>
          <w:szCs w:val="24"/>
        </w:rPr>
        <w:t>Lo</w:t>
      </w:r>
      <w:r w:rsidR="00451710" w:rsidRPr="00A84E9A">
        <w:rPr>
          <w:sz w:val="24"/>
          <w:szCs w:val="24"/>
        </w:rPr>
        <w:t>wer</w:t>
      </w:r>
      <w:r w:rsidR="000F308D" w:rsidRPr="00A84E9A">
        <w:rPr>
          <w:sz w:val="24"/>
          <w:szCs w:val="24"/>
        </w:rPr>
        <w:t>-</w:t>
      </w:r>
      <w:r w:rsidR="00451710" w:rsidRPr="00A84E9A">
        <w:rPr>
          <w:sz w:val="24"/>
          <w:szCs w:val="24"/>
        </w:rPr>
        <w:t>level i</w:t>
      </w:r>
      <w:r w:rsidR="00B645CF" w:rsidRPr="00A84E9A">
        <w:rPr>
          <w:sz w:val="24"/>
          <w:szCs w:val="24"/>
        </w:rPr>
        <w:t xml:space="preserve">ndices for the </w:t>
      </w:r>
      <w:r w:rsidR="009F501E" w:rsidRPr="00A84E9A">
        <w:rPr>
          <w:sz w:val="24"/>
          <w:szCs w:val="24"/>
        </w:rPr>
        <w:t>second</w:t>
      </w:r>
      <w:r w:rsidR="006E244C" w:rsidRPr="00A84E9A">
        <w:rPr>
          <w:sz w:val="24"/>
          <w:szCs w:val="24"/>
        </w:rPr>
        <w:t xml:space="preserve"> </w:t>
      </w:r>
      <w:r w:rsidR="00494DBD" w:rsidRPr="00A84E9A">
        <w:rPr>
          <w:sz w:val="24"/>
          <w:szCs w:val="24"/>
        </w:rPr>
        <w:t>quarter</w:t>
      </w:r>
      <w:r w:rsidR="00B645CF" w:rsidRPr="00A84E9A">
        <w:rPr>
          <w:sz w:val="24"/>
          <w:szCs w:val="24"/>
        </w:rPr>
        <w:t xml:space="preserve"> of </w:t>
      </w:r>
      <w:r w:rsidR="00CF576C" w:rsidRPr="00A84E9A">
        <w:rPr>
          <w:sz w:val="24"/>
          <w:szCs w:val="24"/>
        </w:rPr>
        <w:t>202</w:t>
      </w:r>
      <w:r w:rsidR="008E0F43" w:rsidRPr="00A84E9A">
        <w:rPr>
          <w:sz w:val="24"/>
          <w:szCs w:val="24"/>
        </w:rPr>
        <w:t>5</w:t>
      </w:r>
      <w:r w:rsidR="00B645CF" w:rsidRPr="00A84E9A">
        <w:rPr>
          <w:sz w:val="24"/>
          <w:szCs w:val="24"/>
        </w:rPr>
        <w:t xml:space="preserve"> are not </w:t>
      </w:r>
      <w:r w:rsidR="00080695" w:rsidRPr="00A84E9A">
        <w:rPr>
          <w:sz w:val="24"/>
          <w:szCs w:val="24"/>
        </w:rPr>
        <w:t xml:space="preserve">yet </w:t>
      </w:r>
      <w:r w:rsidR="00B645CF" w:rsidRPr="00A84E9A">
        <w:rPr>
          <w:sz w:val="24"/>
          <w:szCs w:val="24"/>
        </w:rPr>
        <w:t xml:space="preserve">available. However, an indication of the annual performance at </w:t>
      </w:r>
      <w:r w:rsidR="00451710" w:rsidRPr="00A84E9A">
        <w:rPr>
          <w:sz w:val="24"/>
          <w:szCs w:val="24"/>
        </w:rPr>
        <w:t>sub</w:t>
      </w:r>
      <w:r w:rsidR="00C2283E" w:rsidRPr="00A84E9A">
        <w:rPr>
          <w:sz w:val="24"/>
          <w:szCs w:val="24"/>
        </w:rPr>
        <w:t>-</w:t>
      </w:r>
      <w:r w:rsidR="00451710" w:rsidRPr="00A84E9A">
        <w:rPr>
          <w:sz w:val="24"/>
          <w:szCs w:val="24"/>
        </w:rPr>
        <w:t>group</w:t>
      </w:r>
      <w:r w:rsidR="00B645CF" w:rsidRPr="00A84E9A">
        <w:rPr>
          <w:sz w:val="24"/>
          <w:szCs w:val="24"/>
        </w:rPr>
        <w:t xml:space="preserve"> level</w:t>
      </w:r>
      <w:r w:rsidR="00C2283E" w:rsidRPr="00A84E9A">
        <w:rPr>
          <w:sz w:val="24"/>
          <w:szCs w:val="24"/>
        </w:rPr>
        <w:t>s</w:t>
      </w:r>
      <w:r w:rsidR="00B645CF" w:rsidRPr="00A84E9A">
        <w:rPr>
          <w:sz w:val="24"/>
          <w:szCs w:val="24"/>
        </w:rPr>
        <w:t xml:space="preserve"> can be obtained by comparing indices available for </w:t>
      </w:r>
      <w:r w:rsidR="003D27A6" w:rsidRPr="00A84E9A">
        <w:rPr>
          <w:sz w:val="24"/>
          <w:szCs w:val="24"/>
        </w:rPr>
        <w:t xml:space="preserve">year </w:t>
      </w:r>
      <w:r w:rsidR="009F501E" w:rsidRPr="00A84E9A">
        <w:rPr>
          <w:sz w:val="24"/>
          <w:szCs w:val="24"/>
        </w:rPr>
        <w:t xml:space="preserve">ending first quarter </w:t>
      </w:r>
      <w:r w:rsidR="003D27A6" w:rsidRPr="00A84E9A">
        <w:rPr>
          <w:sz w:val="24"/>
          <w:szCs w:val="24"/>
        </w:rPr>
        <w:t>202</w:t>
      </w:r>
      <w:r w:rsidR="008E0F43" w:rsidRPr="00A84E9A">
        <w:rPr>
          <w:sz w:val="24"/>
          <w:szCs w:val="24"/>
        </w:rPr>
        <w:t>5</w:t>
      </w:r>
      <w:r w:rsidR="003D27A6" w:rsidRPr="00A84E9A">
        <w:rPr>
          <w:sz w:val="24"/>
          <w:szCs w:val="24"/>
        </w:rPr>
        <w:t xml:space="preserve"> </w:t>
      </w:r>
      <w:r w:rsidR="00B645CF" w:rsidRPr="00A84E9A">
        <w:rPr>
          <w:sz w:val="24"/>
          <w:szCs w:val="24"/>
        </w:rPr>
        <w:t xml:space="preserve">to </w:t>
      </w:r>
      <w:r w:rsidR="00C6539D" w:rsidRPr="00A84E9A">
        <w:rPr>
          <w:sz w:val="24"/>
          <w:szCs w:val="24"/>
        </w:rPr>
        <w:t>those for</w:t>
      </w:r>
      <w:r w:rsidR="003D27A6" w:rsidRPr="00A84E9A">
        <w:rPr>
          <w:sz w:val="24"/>
          <w:szCs w:val="24"/>
        </w:rPr>
        <w:t xml:space="preserve"> year</w:t>
      </w:r>
      <w:r w:rsidR="009F501E" w:rsidRPr="00A84E9A">
        <w:rPr>
          <w:sz w:val="24"/>
          <w:szCs w:val="24"/>
        </w:rPr>
        <w:t xml:space="preserve"> ending first quarter</w:t>
      </w:r>
      <w:r w:rsidR="003D27A6" w:rsidRPr="00A84E9A">
        <w:rPr>
          <w:sz w:val="24"/>
          <w:szCs w:val="24"/>
        </w:rPr>
        <w:t xml:space="preserve"> </w:t>
      </w:r>
      <w:r w:rsidR="00CF576C" w:rsidRPr="00A84E9A">
        <w:rPr>
          <w:sz w:val="24"/>
          <w:szCs w:val="24"/>
        </w:rPr>
        <w:t>20</w:t>
      </w:r>
      <w:r w:rsidR="003D27A6" w:rsidRPr="00A84E9A">
        <w:rPr>
          <w:sz w:val="24"/>
          <w:szCs w:val="24"/>
        </w:rPr>
        <w:t>2</w:t>
      </w:r>
      <w:r w:rsidR="008E0F43" w:rsidRPr="00A84E9A">
        <w:rPr>
          <w:sz w:val="24"/>
          <w:szCs w:val="24"/>
        </w:rPr>
        <w:t>4</w:t>
      </w:r>
      <w:r w:rsidR="009A0627" w:rsidRPr="00A84E9A">
        <w:rPr>
          <w:sz w:val="24"/>
          <w:szCs w:val="24"/>
        </w:rPr>
        <w:t xml:space="preserve"> </w:t>
      </w:r>
      <w:r w:rsidR="004A2FC2" w:rsidRPr="00A84E9A">
        <w:rPr>
          <w:sz w:val="24"/>
          <w:szCs w:val="24"/>
        </w:rPr>
        <w:t>(</w:t>
      </w:r>
      <w:r w:rsidR="00B645CF" w:rsidRPr="00A84E9A">
        <w:rPr>
          <w:sz w:val="24"/>
          <w:szCs w:val="24"/>
        </w:rPr>
        <w:t>Table 3)</w:t>
      </w:r>
      <w:r w:rsidR="00CF1612" w:rsidRPr="00A84E9A">
        <w:rPr>
          <w:sz w:val="24"/>
          <w:szCs w:val="24"/>
        </w:rPr>
        <w:t xml:space="preserve">. </w:t>
      </w:r>
      <w:r w:rsidR="0067478E" w:rsidRPr="00A84E9A">
        <w:rPr>
          <w:sz w:val="24"/>
          <w:szCs w:val="24"/>
        </w:rPr>
        <w:t>The real output of “Wearing apparel,” the largest industry group within the EOE, declined by 12.0%, while “Textiles” experienced a growth of 10.3%. Together, these two sub-groups represent nearly 63% of the total weight assigned to the EOE.</w:t>
      </w:r>
      <w:r w:rsidR="008175AF" w:rsidRPr="00A84E9A">
        <w:rPr>
          <w:sz w:val="24"/>
          <w:szCs w:val="24"/>
        </w:rPr>
        <w:t xml:space="preserve"> </w:t>
      </w:r>
    </w:p>
    <w:p w14:paraId="2CC8A584" w14:textId="77777777" w:rsidR="0067478E" w:rsidRPr="0067478E" w:rsidRDefault="0067478E" w:rsidP="0067478E">
      <w:pPr>
        <w:spacing w:before="120"/>
        <w:jc w:val="both"/>
        <w:rPr>
          <w:sz w:val="24"/>
          <w:szCs w:val="24"/>
        </w:rPr>
      </w:pPr>
      <w:r w:rsidRPr="00A84E9A">
        <w:rPr>
          <w:sz w:val="24"/>
          <w:szCs w:val="24"/>
        </w:rPr>
        <w:t>Other sub-groups also showed mixed performance: “Other manufacturing” expanded by 3.7%, whereas “Food products” declined by 2.1%. More significant decreases were seen in “Computer, electronic and optical products” (-6.5%) and “Jewellery, bijouterie, and related articles n.e.c.” (-37.7%).</w:t>
      </w:r>
    </w:p>
    <w:p w14:paraId="28828E73" w14:textId="77777777" w:rsidR="0067478E" w:rsidRPr="0067478E" w:rsidRDefault="0067478E" w:rsidP="0067478E">
      <w:pPr>
        <w:spacing w:before="120"/>
        <w:jc w:val="both"/>
        <w:rPr>
          <w:sz w:val="24"/>
          <w:szCs w:val="24"/>
        </w:rPr>
      </w:pPr>
      <w:r w:rsidRPr="0067478E">
        <w:rPr>
          <w:sz w:val="24"/>
          <w:szCs w:val="24"/>
        </w:rPr>
        <w:t>Further details on the changes within selected sub-groups are illustrated in Chart 8.</w:t>
      </w:r>
    </w:p>
    <w:p w14:paraId="339F8EEB" w14:textId="62C34104" w:rsidR="00D10374" w:rsidRPr="00C2283E" w:rsidRDefault="0016480C" w:rsidP="00804CB9">
      <w:pPr>
        <w:spacing w:before="120"/>
        <w:jc w:val="center"/>
        <w:rPr>
          <w:sz w:val="12"/>
          <w:szCs w:val="12"/>
        </w:rPr>
      </w:pPr>
      <w:r w:rsidRPr="00B57777">
        <w:rPr>
          <w:noProof/>
        </w:rPr>
        <w:drawing>
          <wp:inline distT="0" distB="0" distL="0" distR="0" wp14:anchorId="58670846" wp14:editId="050D1AA1">
            <wp:extent cx="5646420" cy="277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AAF9B" w14:textId="77777777" w:rsidR="00CE3BE3" w:rsidRDefault="00CE3BE3" w:rsidP="00A40052">
      <w:pPr>
        <w:spacing w:before="120"/>
        <w:jc w:val="center"/>
        <w:rPr>
          <w:sz w:val="24"/>
          <w:szCs w:val="24"/>
        </w:rPr>
      </w:pPr>
    </w:p>
    <w:p w14:paraId="656F85CD" w14:textId="77777777" w:rsidR="00ED6632" w:rsidRDefault="00ED6632" w:rsidP="008747B5">
      <w:pPr>
        <w:spacing w:before="60"/>
        <w:jc w:val="both"/>
        <w:rPr>
          <w:b/>
          <w:sz w:val="24"/>
          <w:szCs w:val="24"/>
        </w:rPr>
      </w:pPr>
    </w:p>
    <w:p w14:paraId="026D0808" w14:textId="2FBAE3B2" w:rsidR="006F7489" w:rsidRDefault="0016480C" w:rsidP="008747B5">
      <w:pPr>
        <w:spacing w:before="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B54498" wp14:editId="01337FCF">
                <wp:simplePos x="0" y="0"/>
                <wp:positionH relativeFrom="column">
                  <wp:posOffset>-1858010</wp:posOffset>
                </wp:positionH>
                <wp:positionV relativeFrom="paragraph">
                  <wp:posOffset>2547620</wp:posOffset>
                </wp:positionV>
                <wp:extent cx="571500" cy="217805"/>
                <wp:effectExtent l="8890" t="12065" r="10160" b="825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0659" w14:textId="77777777" w:rsidR="00BA3B04" w:rsidRDefault="00BA3B04">
                            <w:pPr>
                              <w:shd w:val="clear" w:color="auto" w:fill="CCCCCC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Chart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4498" id="Text Box 33" o:spid="_x0000_s1027" type="#_x0000_t202" style="position:absolute;left:0;text-align:left;margin-left:-146.3pt;margin-top:200.6pt;width:45pt;height:1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" fillcolor="silver">
                <v:textbox>
                  <w:txbxContent>
                    <w:p w14:paraId="458B0659" w14:textId="77777777" w:rsidR="00BA3B04" w:rsidRDefault="00BA3B04">
                      <w:pPr>
                        <w:shd w:val="clear" w:color="auto" w:fill="CCCCCC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Chart 6</w:t>
                      </w:r>
                    </w:p>
                  </w:txbxContent>
                </v:textbox>
              </v:shape>
            </w:pict>
          </mc:Fallback>
        </mc:AlternateContent>
      </w:r>
      <w:r w:rsidR="004558BF">
        <w:rPr>
          <w:b/>
          <w:sz w:val="24"/>
          <w:szCs w:val="24"/>
        </w:rPr>
        <w:t>5.</w:t>
      </w:r>
      <w:r w:rsidR="006F7489">
        <w:rPr>
          <w:b/>
          <w:sz w:val="24"/>
          <w:szCs w:val="24"/>
        </w:rPr>
        <w:t>2</w:t>
      </w:r>
      <w:r w:rsidR="006F7489">
        <w:rPr>
          <w:b/>
          <w:sz w:val="24"/>
          <w:szCs w:val="24"/>
        </w:rPr>
        <w:tab/>
        <w:t>Non-E</w:t>
      </w:r>
      <w:r w:rsidR="002B2FE2">
        <w:rPr>
          <w:b/>
          <w:sz w:val="24"/>
          <w:szCs w:val="24"/>
        </w:rPr>
        <w:t>OE</w:t>
      </w:r>
      <w:r w:rsidR="006F7489">
        <w:rPr>
          <w:b/>
          <w:sz w:val="24"/>
          <w:szCs w:val="24"/>
        </w:rPr>
        <w:t xml:space="preserve"> excluding “Sugar milling”</w:t>
      </w:r>
    </w:p>
    <w:p w14:paraId="2BD9C65E" w14:textId="77777777" w:rsidR="00500FD5" w:rsidRDefault="00A9472A" w:rsidP="00500FD5">
      <w:pPr>
        <w:spacing w:before="120"/>
        <w:jc w:val="both"/>
        <w:rPr>
          <w:sz w:val="24"/>
          <w:szCs w:val="24"/>
        </w:rPr>
      </w:pPr>
      <w:r w:rsidRPr="00A84E9A">
        <w:rPr>
          <w:sz w:val="24"/>
          <w:szCs w:val="24"/>
        </w:rPr>
        <w:t xml:space="preserve">In the </w:t>
      </w:r>
      <w:r w:rsidR="009F501E" w:rsidRPr="00A84E9A">
        <w:rPr>
          <w:sz w:val="24"/>
          <w:szCs w:val="24"/>
        </w:rPr>
        <w:t>second</w:t>
      </w:r>
      <w:r w:rsidR="006E244C" w:rsidRPr="00A84E9A">
        <w:rPr>
          <w:sz w:val="24"/>
          <w:szCs w:val="24"/>
        </w:rPr>
        <w:t xml:space="preserve"> </w:t>
      </w:r>
      <w:r w:rsidRPr="00A84E9A">
        <w:rPr>
          <w:sz w:val="24"/>
          <w:szCs w:val="24"/>
        </w:rPr>
        <w:t xml:space="preserve">quarter of </w:t>
      </w:r>
      <w:r w:rsidR="00CF576C" w:rsidRPr="00A84E9A">
        <w:rPr>
          <w:sz w:val="24"/>
          <w:szCs w:val="24"/>
        </w:rPr>
        <w:t>202</w:t>
      </w:r>
      <w:r w:rsidR="00B57777" w:rsidRPr="00A84E9A">
        <w:rPr>
          <w:sz w:val="24"/>
          <w:szCs w:val="24"/>
        </w:rPr>
        <w:t>5</w:t>
      </w:r>
      <w:r w:rsidRPr="00A84E9A">
        <w:rPr>
          <w:sz w:val="24"/>
          <w:szCs w:val="24"/>
        </w:rPr>
        <w:t>, t</w:t>
      </w:r>
      <w:r w:rsidR="008F1738" w:rsidRPr="00A84E9A">
        <w:rPr>
          <w:sz w:val="24"/>
          <w:szCs w:val="24"/>
        </w:rPr>
        <w:t xml:space="preserve">he </w:t>
      </w:r>
      <w:r w:rsidR="00B645CF" w:rsidRPr="00A84E9A">
        <w:rPr>
          <w:sz w:val="24"/>
          <w:szCs w:val="24"/>
        </w:rPr>
        <w:t>real output of Non-E</w:t>
      </w:r>
      <w:r w:rsidR="002B2FE2" w:rsidRPr="00A84E9A">
        <w:rPr>
          <w:sz w:val="24"/>
          <w:szCs w:val="24"/>
        </w:rPr>
        <w:t>OE</w:t>
      </w:r>
      <w:r w:rsidR="00B645CF" w:rsidRPr="00A84E9A">
        <w:rPr>
          <w:sz w:val="24"/>
          <w:szCs w:val="24"/>
        </w:rPr>
        <w:t xml:space="preserve"> </w:t>
      </w:r>
      <w:r w:rsidR="007F3F0B" w:rsidRPr="00A84E9A">
        <w:rPr>
          <w:sz w:val="24"/>
          <w:szCs w:val="24"/>
        </w:rPr>
        <w:t xml:space="preserve">sector </w:t>
      </w:r>
      <w:r w:rsidR="009F501E" w:rsidRPr="00A84E9A">
        <w:rPr>
          <w:sz w:val="24"/>
          <w:szCs w:val="24"/>
        </w:rPr>
        <w:t>increased</w:t>
      </w:r>
      <w:r w:rsidR="00422BE0" w:rsidRPr="00A84E9A">
        <w:rPr>
          <w:sz w:val="24"/>
          <w:szCs w:val="24"/>
        </w:rPr>
        <w:t xml:space="preserve"> by </w:t>
      </w:r>
      <w:r w:rsidR="00B57777" w:rsidRPr="00A84E9A">
        <w:rPr>
          <w:sz w:val="24"/>
          <w:szCs w:val="24"/>
        </w:rPr>
        <w:t>9.1</w:t>
      </w:r>
      <w:r w:rsidR="00A32E39" w:rsidRPr="00A84E9A">
        <w:rPr>
          <w:sz w:val="24"/>
          <w:szCs w:val="24"/>
        </w:rPr>
        <w:t>%</w:t>
      </w:r>
      <w:r w:rsidR="001F1AD2" w:rsidRPr="00A84E9A">
        <w:rPr>
          <w:sz w:val="24"/>
          <w:szCs w:val="24"/>
        </w:rPr>
        <w:t xml:space="preserve"> </w:t>
      </w:r>
      <w:r w:rsidRPr="00A84E9A">
        <w:rPr>
          <w:sz w:val="24"/>
          <w:szCs w:val="24"/>
        </w:rPr>
        <w:t xml:space="preserve">compared to </w:t>
      </w:r>
      <w:r w:rsidR="007B27A7" w:rsidRPr="00A84E9A">
        <w:rPr>
          <w:sz w:val="24"/>
          <w:szCs w:val="24"/>
        </w:rPr>
        <w:t xml:space="preserve">the </w:t>
      </w:r>
      <w:r w:rsidRPr="00A84E9A">
        <w:rPr>
          <w:sz w:val="24"/>
          <w:szCs w:val="24"/>
        </w:rPr>
        <w:t>previous</w:t>
      </w:r>
      <w:r w:rsidR="00CC40A6" w:rsidRPr="00A84E9A">
        <w:rPr>
          <w:sz w:val="24"/>
          <w:szCs w:val="24"/>
        </w:rPr>
        <w:t xml:space="preserve"> quarter</w:t>
      </w:r>
      <w:r w:rsidRPr="00A84E9A">
        <w:rPr>
          <w:sz w:val="24"/>
          <w:szCs w:val="24"/>
        </w:rPr>
        <w:t xml:space="preserve"> </w:t>
      </w:r>
      <w:r w:rsidR="00A32E39" w:rsidRPr="00A84E9A">
        <w:rPr>
          <w:sz w:val="24"/>
          <w:szCs w:val="24"/>
        </w:rPr>
        <w:t>and</w:t>
      </w:r>
      <w:r w:rsidR="008C7CFE" w:rsidRPr="00A84E9A">
        <w:rPr>
          <w:sz w:val="24"/>
          <w:szCs w:val="24"/>
        </w:rPr>
        <w:t xml:space="preserve"> </w:t>
      </w:r>
      <w:r w:rsidR="00C0048B" w:rsidRPr="00A84E9A">
        <w:rPr>
          <w:sz w:val="24"/>
          <w:szCs w:val="24"/>
        </w:rPr>
        <w:t xml:space="preserve">by </w:t>
      </w:r>
      <w:r w:rsidR="00B57777" w:rsidRPr="00A84E9A">
        <w:rPr>
          <w:sz w:val="24"/>
          <w:szCs w:val="24"/>
        </w:rPr>
        <w:t>2.1</w:t>
      </w:r>
      <w:r w:rsidR="00C0048B" w:rsidRPr="00A84E9A">
        <w:rPr>
          <w:sz w:val="24"/>
          <w:szCs w:val="24"/>
        </w:rPr>
        <w:t>%</w:t>
      </w:r>
      <w:r w:rsidR="0080586C" w:rsidRPr="00A84E9A">
        <w:rPr>
          <w:sz w:val="24"/>
          <w:szCs w:val="24"/>
        </w:rPr>
        <w:t xml:space="preserve"> </w:t>
      </w:r>
      <w:r w:rsidR="001F5E46" w:rsidRPr="00A84E9A">
        <w:rPr>
          <w:sz w:val="24"/>
          <w:szCs w:val="24"/>
        </w:rPr>
        <w:t xml:space="preserve">when </w:t>
      </w:r>
      <w:r w:rsidR="0080586C" w:rsidRPr="00A84E9A">
        <w:rPr>
          <w:sz w:val="24"/>
          <w:szCs w:val="24"/>
        </w:rPr>
        <w:t>compared to</w:t>
      </w:r>
      <w:r w:rsidR="00CC40A6" w:rsidRPr="00A84E9A">
        <w:rPr>
          <w:sz w:val="24"/>
          <w:szCs w:val="24"/>
        </w:rPr>
        <w:t xml:space="preserve"> the</w:t>
      </w:r>
      <w:r w:rsidRPr="00A84E9A">
        <w:rPr>
          <w:sz w:val="24"/>
          <w:szCs w:val="24"/>
        </w:rPr>
        <w:t xml:space="preserve"> corresponding quarter</w:t>
      </w:r>
      <w:r w:rsidR="00CC40A6" w:rsidRPr="00A84E9A">
        <w:rPr>
          <w:sz w:val="24"/>
          <w:szCs w:val="24"/>
        </w:rPr>
        <w:t xml:space="preserve"> of</w:t>
      </w:r>
      <w:r w:rsidR="00606F31" w:rsidRPr="00A84E9A">
        <w:rPr>
          <w:sz w:val="24"/>
          <w:szCs w:val="24"/>
        </w:rPr>
        <w:t xml:space="preserve"> </w:t>
      </w:r>
      <w:r w:rsidR="00CF576C" w:rsidRPr="00A84E9A">
        <w:rPr>
          <w:sz w:val="24"/>
          <w:szCs w:val="24"/>
        </w:rPr>
        <w:t>20</w:t>
      </w:r>
      <w:r w:rsidR="0011756C" w:rsidRPr="00A84E9A">
        <w:rPr>
          <w:sz w:val="24"/>
          <w:szCs w:val="24"/>
        </w:rPr>
        <w:t>2</w:t>
      </w:r>
      <w:r w:rsidR="00B57777" w:rsidRPr="00A84E9A">
        <w:rPr>
          <w:sz w:val="24"/>
          <w:szCs w:val="24"/>
        </w:rPr>
        <w:t>4</w:t>
      </w:r>
      <w:r w:rsidR="007C5362" w:rsidRPr="00A84E9A">
        <w:rPr>
          <w:sz w:val="24"/>
          <w:szCs w:val="24"/>
        </w:rPr>
        <w:t>.</w:t>
      </w:r>
      <w:r w:rsidR="00500FD5" w:rsidRPr="00A84E9A">
        <w:rPr>
          <w:sz w:val="24"/>
          <w:szCs w:val="24"/>
        </w:rPr>
        <w:t xml:space="preserve"> In</w:t>
      </w:r>
      <w:r w:rsidR="00E86DF0" w:rsidRPr="00A84E9A">
        <w:rPr>
          <w:sz w:val="24"/>
          <w:szCs w:val="24"/>
        </w:rPr>
        <w:t xml:space="preserve"> year</w:t>
      </w:r>
      <w:r w:rsidR="007D0041" w:rsidRPr="00A84E9A">
        <w:rPr>
          <w:sz w:val="24"/>
          <w:szCs w:val="24"/>
        </w:rPr>
        <w:t xml:space="preserve"> </w:t>
      </w:r>
      <w:r w:rsidR="008C7CFE" w:rsidRPr="00A84E9A">
        <w:rPr>
          <w:sz w:val="24"/>
          <w:szCs w:val="24"/>
        </w:rPr>
        <w:t xml:space="preserve">ending </w:t>
      </w:r>
      <w:r w:rsidR="009F501E" w:rsidRPr="00A84E9A">
        <w:rPr>
          <w:sz w:val="24"/>
          <w:szCs w:val="24"/>
        </w:rPr>
        <w:t>second</w:t>
      </w:r>
      <w:r w:rsidR="008C7CFE" w:rsidRPr="00A84E9A">
        <w:rPr>
          <w:sz w:val="24"/>
          <w:szCs w:val="24"/>
        </w:rPr>
        <w:t xml:space="preserve"> quarter </w:t>
      </w:r>
      <w:r w:rsidR="00CF576C" w:rsidRPr="00A84E9A">
        <w:rPr>
          <w:sz w:val="24"/>
          <w:szCs w:val="24"/>
        </w:rPr>
        <w:t>202</w:t>
      </w:r>
      <w:r w:rsidR="00B57777" w:rsidRPr="00A84E9A">
        <w:rPr>
          <w:sz w:val="24"/>
          <w:szCs w:val="24"/>
        </w:rPr>
        <w:t>5</w:t>
      </w:r>
      <w:r w:rsidR="00500FD5" w:rsidRPr="00A84E9A">
        <w:rPr>
          <w:sz w:val="24"/>
          <w:szCs w:val="24"/>
        </w:rPr>
        <w:t xml:space="preserve">, </w:t>
      </w:r>
      <w:r w:rsidR="007B718F" w:rsidRPr="00A84E9A">
        <w:rPr>
          <w:sz w:val="24"/>
          <w:szCs w:val="24"/>
        </w:rPr>
        <w:t>it</w:t>
      </w:r>
      <w:r w:rsidR="00236BA3" w:rsidRPr="00A84E9A">
        <w:rPr>
          <w:sz w:val="24"/>
          <w:szCs w:val="24"/>
        </w:rPr>
        <w:t xml:space="preserve"> </w:t>
      </w:r>
      <w:r w:rsidR="007C7F54" w:rsidRPr="00A84E9A">
        <w:rPr>
          <w:sz w:val="24"/>
          <w:szCs w:val="24"/>
        </w:rPr>
        <w:t>grew</w:t>
      </w:r>
      <w:r w:rsidR="00236BA3" w:rsidRPr="00A84E9A">
        <w:rPr>
          <w:sz w:val="24"/>
          <w:szCs w:val="24"/>
        </w:rPr>
        <w:t xml:space="preserve"> by </w:t>
      </w:r>
      <w:r w:rsidR="00507498" w:rsidRPr="00A84E9A">
        <w:rPr>
          <w:sz w:val="24"/>
          <w:szCs w:val="24"/>
        </w:rPr>
        <w:t>1.7</w:t>
      </w:r>
      <w:r w:rsidR="00236BA3" w:rsidRPr="00A84E9A">
        <w:rPr>
          <w:sz w:val="24"/>
          <w:szCs w:val="24"/>
        </w:rPr>
        <w:t>%</w:t>
      </w:r>
      <w:r w:rsidR="00F32657" w:rsidRPr="00A84E9A">
        <w:rPr>
          <w:sz w:val="24"/>
          <w:szCs w:val="24"/>
        </w:rPr>
        <w:t xml:space="preserve"> (Table 1)</w:t>
      </w:r>
      <w:r w:rsidR="00236BA3" w:rsidRPr="00A84E9A">
        <w:rPr>
          <w:sz w:val="24"/>
          <w:szCs w:val="24"/>
        </w:rPr>
        <w:t>.</w:t>
      </w:r>
    </w:p>
    <w:p w14:paraId="5C9BC51D" w14:textId="1A26D579" w:rsidR="003C29E6" w:rsidRDefault="0016480C" w:rsidP="000D09EF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15228E" wp14:editId="68E451E6">
            <wp:extent cx="5625465" cy="2545080"/>
            <wp:effectExtent l="0" t="0" r="0" b="0"/>
            <wp:docPr id="1320" name="Picture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254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5C685" w14:textId="77777777" w:rsidR="00314F76" w:rsidRDefault="00314F76" w:rsidP="001F5E46">
      <w:pPr>
        <w:spacing w:before="120"/>
        <w:rPr>
          <w:sz w:val="24"/>
          <w:szCs w:val="24"/>
        </w:rPr>
      </w:pPr>
    </w:p>
    <w:p w14:paraId="2FFDC61E" w14:textId="77777777" w:rsidR="000F4982" w:rsidRDefault="000F4982" w:rsidP="006D0441">
      <w:pPr>
        <w:spacing w:before="120"/>
        <w:jc w:val="both"/>
        <w:rPr>
          <w:sz w:val="24"/>
          <w:szCs w:val="24"/>
        </w:rPr>
      </w:pPr>
    </w:p>
    <w:p w14:paraId="35A632A8" w14:textId="77777777" w:rsidR="00CD232D" w:rsidRPr="00245DEB" w:rsidRDefault="008C078C" w:rsidP="00F45DA1">
      <w:pPr>
        <w:spacing w:before="120"/>
        <w:jc w:val="both"/>
        <w:rPr>
          <w:sz w:val="24"/>
          <w:szCs w:val="24"/>
        </w:rPr>
      </w:pPr>
      <w:r w:rsidRPr="00A84E9A">
        <w:rPr>
          <w:sz w:val="24"/>
          <w:szCs w:val="24"/>
        </w:rPr>
        <w:t>T</w:t>
      </w:r>
      <w:r w:rsidR="00B645CF" w:rsidRPr="00A84E9A">
        <w:rPr>
          <w:sz w:val="24"/>
          <w:szCs w:val="24"/>
        </w:rPr>
        <w:t xml:space="preserve">he annual </w:t>
      </w:r>
      <w:r w:rsidR="00F852FF" w:rsidRPr="00A84E9A">
        <w:rPr>
          <w:sz w:val="24"/>
          <w:szCs w:val="24"/>
        </w:rPr>
        <w:t xml:space="preserve">performance at sub-group level is obtained by comparing the detailed </w:t>
      </w:r>
      <w:r w:rsidR="00B645CF" w:rsidRPr="00A84E9A">
        <w:rPr>
          <w:sz w:val="24"/>
          <w:szCs w:val="24"/>
        </w:rPr>
        <w:t xml:space="preserve">indices available </w:t>
      </w:r>
      <w:r w:rsidR="009F2445" w:rsidRPr="00A84E9A">
        <w:rPr>
          <w:sz w:val="24"/>
          <w:szCs w:val="24"/>
        </w:rPr>
        <w:t>for</w:t>
      </w:r>
      <w:r w:rsidR="00B645CF" w:rsidRPr="00A84E9A">
        <w:rPr>
          <w:sz w:val="24"/>
          <w:szCs w:val="24"/>
        </w:rPr>
        <w:t xml:space="preserve"> year</w:t>
      </w:r>
      <w:r w:rsidR="009F501E" w:rsidRPr="00A84E9A">
        <w:rPr>
          <w:sz w:val="24"/>
          <w:szCs w:val="24"/>
        </w:rPr>
        <w:t xml:space="preserve"> ending first quarter</w:t>
      </w:r>
      <w:r w:rsidR="001A5E71" w:rsidRPr="00A84E9A">
        <w:rPr>
          <w:sz w:val="24"/>
          <w:szCs w:val="24"/>
        </w:rPr>
        <w:t xml:space="preserve"> </w:t>
      </w:r>
      <w:r w:rsidR="00CF576C" w:rsidRPr="00A84E9A">
        <w:rPr>
          <w:sz w:val="24"/>
          <w:szCs w:val="24"/>
        </w:rPr>
        <w:t>202</w:t>
      </w:r>
      <w:r w:rsidR="000F745E" w:rsidRPr="00A84E9A">
        <w:rPr>
          <w:sz w:val="24"/>
          <w:szCs w:val="24"/>
        </w:rPr>
        <w:t>5</w:t>
      </w:r>
      <w:r w:rsidR="00A32E39" w:rsidRPr="00A84E9A">
        <w:rPr>
          <w:sz w:val="24"/>
          <w:szCs w:val="24"/>
        </w:rPr>
        <w:t xml:space="preserve"> to </w:t>
      </w:r>
      <w:r w:rsidR="00E914A1" w:rsidRPr="00A84E9A">
        <w:rPr>
          <w:sz w:val="24"/>
          <w:szCs w:val="24"/>
        </w:rPr>
        <w:t>th</w:t>
      </w:r>
      <w:r w:rsidR="009F2445" w:rsidRPr="00A84E9A">
        <w:rPr>
          <w:sz w:val="24"/>
          <w:szCs w:val="24"/>
        </w:rPr>
        <w:t>os</w:t>
      </w:r>
      <w:r w:rsidR="00E914A1" w:rsidRPr="00A84E9A">
        <w:rPr>
          <w:sz w:val="24"/>
          <w:szCs w:val="24"/>
        </w:rPr>
        <w:t>e</w:t>
      </w:r>
      <w:r w:rsidR="009F2445" w:rsidRPr="00A84E9A">
        <w:rPr>
          <w:sz w:val="24"/>
          <w:szCs w:val="24"/>
        </w:rPr>
        <w:t xml:space="preserve"> for year</w:t>
      </w:r>
      <w:r w:rsidR="001A5E71" w:rsidRPr="00A84E9A">
        <w:rPr>
          <w:sz w:val="24"/>
          <w:szCs w:val="24"/>
        </w:rPr>
        <w:t xml:space="preserve"> </w:t>
      </w:r>
      <w:r w:rsidR="009F501E" w:rsidRPr="00A84E9A">
        <w:rPr>
          <w:sz w:val="24"/>
          <w:szCs w:val="24"/>
        </w:rPr>
        <w:t xml:space="preserve">ending first quarter </w:t>
      </w:r>
      <w:r w:rsidR="00CF576C" w:rsidRPr="00A84E9A">
        <w:rPr>
          <w:sz w:val="24"/>
          <w:szCs w:val="24"/>
        </w:rPr>
        <w:t>20</w:t>
      </w:r>
      <w:r w:rsidR="001A5E71" w:rsidRPr="00A84E9A">
        <w:rPr>
          <w:sz w:val="24"/>
          <w:szCs w:val="24"/>
        </w:rPr>
        <w:t>2</w:t>
      </w:r>
      <w:r w:rsidR="000F745E" w:rsidRPr="00A84E9A">
        <w:rPr>
          <w:sz w:val="24"/>
          <w:szCs w:val="24"/>
        </w:rPr>
        <w:t>4</w:t>
      </w:r>
      <w:r w:rsidR="007E3CD8" w:rsidRPr="00A84E9A">
        <w:rPr>
          <w:sz w:val="24"/>
          <w:szCs w:val="24"/>
        </w:rPr>
        <w:t xml:space="preserve"> </w:t>
      </w:r>
      <w:r w:rsidR="00B645CF" w:rsidRPr="00A84E9A">
        <w:rPr>
          <w:sz w:val="24"/>
          <w:szCs w:val="24"/>
        </w:rPr>
        <w:t>(Table</w:t>
      </w:r>
      <w:r w:rsidR="00D337D2" w:rsidRPr="00A84E9A">
        <w:rPr>
          <w:sz w:val="24"/>
          <w:szCs w:val="24"/>
        </w:rPr>
        <w:t xml:space="preserve"> </w:t>
      </w:r>
      <w:r w:rsidR="00057D47" w:rsidRPr="00A84E9A">
        <w:rPr>
          <w:sz w:val="24"/>
          <w:szCs w:val="24"/>
        </w:rPr>
        <w:t>4</w:t>
      </w:r>
      <w:r w:rsidR="00B645CF" w:rsidRPr="00A84E9A">
        <w:rPr>
          <w:sz w:val="24"/>
          <w:szCs w:val="24"/>
        </w:rPr>
        <w:t>)</w:t>
      </w:r>
      <w:r w:rsidR="00CF1612" w:rsidRPr="00A84E9A">
        <w:rPr>
          <w:sz w:val="24"/>
          <w:szCs w:val="24"/>
        </w:rPr>
        <w:t xml:space="preserve">.  </w:t>
      </w:r>
      <w:r w:rsidR="00D337D2" w:rsidRPr="00A84E9A">
        <w:rPr>
          <w:sz w:val="24"/>
          <w:szCs w:val="24"/>
        </w:rPr>
        <w:t xml:space="preserve"> </w:t>
      </w:r>
      <w:r w:rsidR="00EB32B4" w:rsidRPr="00A84E9A">
        <w:rPr>
          <w:sz w:val="24"/>
          <w:szCs w:val="24"/>
        </w:rPr>
        <w:t xml:space="preserve">Expansions </w:t>
      </w:r>
      <w:r w:rsidR="00625851" w:rsidRPr="00A84E9A">
        <w:rPr>
          <w:sz w:val="24"/>
          <w:szCs w:val="24"/>
        </w:rPr>
        <w:t xml:space="preserve">were </w:t>
      </w:r>
      <w:r w:rsidR="00245DEB" w:rsidRPr="00A84E9A">
        <w:rPr>
          <w:sz w:val="24"/>
          <w:szCs w:val="24"/>
        </w:rPr>
        <w:t xml:space="preserve">observed in several areas of manufacturing. The “Plastic and non-metallic product” recorded the highest growth of 10.2% followed by </w:t>
      </w:r>
      <w:r w:rsidR="00EB32B4" w:rsidRPr="00A84E9A">
        <w:rPr>
          <w:sz w:val="24"/>
          <w:szCs w:val="24"/>
        </w:rPr>
        <w:t>“Beverages”</w:t>
      </w:r>
      <w:r w:rsidR="00245DEB" w:rsidRPr="00A84E9A">
        <w:rPr>
          <w:sz w:val="24"/>
          <w:szCs w:val="24"/>
        </w:rPr>
        <w:t xml:space="preserve"> </w:t>
      </w:r>
      <w:r w:rsidR="00AF57BB" w:rsidRPr="00A84E9A">
        <w:rPr>
          <w:sz w:val="24"/>
          <w:szCs w:val="24"/>
        </w:rPr>
        <w:t>(</w:t>
      </w:r>
      <w:r w:rsidR="00EB32B4" w:rsidRPr="00A84E9A">
        <w:rPr>
          <w:sz w:val="24"/>
          <w:szCs w:val="24"/>
        </w:rPr>
        <w:t>+</w:t>
      </w:r>
      <w:r w:rsidR="007C5362" w:rsidRPr="00A84E9A">
        <w:rPr>
          <w:sz w:val="24"/>
          <w:szCs w:val="24"/>
        </w:rPr>
        <w:t>7.</w:t>
      </w:r>
      <w:r w:rsidR="003F3DAB" w:rsidRPr="00A84E9A">
        <w:rPr>
          <w:sz w:val="24"/>
          <w:szCs w:val="24"/>
        </w:rPr>
        <w:t>4</w:t>
      </w:r>
      <w:r w:rsidR="00AF57BB" w:rsidRPr="00A84E9A">
        <w:rPr>
          <w:sz w:val="24"/>
          <w:szCs w:val="24"/>
        </w:rPr>
        <w:t>%),</w:t>
      </w:r>
      <w:r w:rsidR="00585E53" w:rsidRPr="00A84E9A">
        <w:t xml:space="preserve"> </w:t>
      </w:r>
      <w:r w:rsidR="00245DEB" w:rsidRPr="00A84E9A">
        <w:rPr>
          <w:sz w:val="24"/>
          <w:szCs w:val="24"/>
        </w:rPr>
        <w:t>and “Furniture” (+5.2</w:t>
      </w:r>
      <w:r w:rsidR="0055199F">
        <w:rPr>
          <w:sz w:val="24"/>
          <w:szCs w:val="24"/>
        </w:rPr>
        <w:t>%</w:t>
      </w:r>
      <w:r w:rsidR="00245DEB" w:rsidRPr="00A84E9A">
        <w:rPr>
          <w:sz w:val="24"/>
          <w:szCs w:val="24"/>
        </w:rPr>
        <w:t xml:space="preserve">). </w:t>
      </w:r>
      <w:r w:rsidR="00E865C2" w:rsidRPr="00A84E9A">
        <w:rPr>
          <w:sz w:val="24"/>
          <w:szCs w:val="24"/>
        </w:rPr>
        <w:t>I</w:t>
      </w:r>
      <w:r w:rsidR="00245DEB" w:rsidRPr="00A84E9A">
        <w:rPr>
          <w:sz w:val="24"/>
          <w:szCs w:val="24"/>
        </w:rPr>
        <w:t xml:space="preserve">ncreases were also seen in “Basic metals and fabricated metal products” (+4.3%), </w:t>
      </w:r>
      <w:r w:rsidR="007C5362" w:rsidRPr="00A84E9A">
        <w:rPr>
          <w:sz w:val="24"/>
          <w:szCs w:val="24"/>
        </w:rPr>
        <w:t>Chemicals &amp; chemical products” (</w:t>
      </w:r>
      <w:r w:rsidR="00002605" w:rsidRPr="00A84E9A">
        <w:rPr>
          <w:sz w:val="24"/>
          <w:szCs w:val="24"/>
        </w:rPr>
        <w:t>+</w:t>
      </w:r>
      <w:r w:rsidR="007C5362" w:rsidRPr="00A84E9A">
        <w:rPr>
          <w:sz w:val="24"/>
          <w:szCs w:val="24"/>
        </w:rPr>
        <w:t>3.</w:t>
      </w:r>
      <w:r w:rsidR="003F3DAB" w:rsidRPr="00A84E9A">
        <w:rPr>
          <w:sz w:val="24"/>
          <w:szCs w:val="24"/>
        </w:rPr>
        <w:t>7</w:t>
      </w:r>
      <w:r w:rsidR="007C5362" w:rsidRPr="00A84E9A">
        <w:rPr>
          <w:sz w:val="24"/>
          <w:szCs w:val="24"/>
        </w:rPr>
        <w:t>%)</w:t>
      </w:r>
      <w:r w:rsidR="00245DEB" w:rsidRPr="00A84E9A">
        <w:rPr>
          <w:sz w:val="24"/>
          <w:szCs w:val="24"/>
        </w:rPr>
        <w:t xml:space="preserve"> and </w:t>
      </w:r>
      <w:r w:rsidR="003F3DAB" w:rsidRPr="00A84E9A">
        <w:rPr>
          <w:sz w:val="24"/>
          <w:szCs w:val="24"/>
        </w:rPr>
        <w:t>“Printing and reproduction of recorded media” (+3.2%)</w:t>
      </w:r>
      <w:r w:rsidR="00E91FAD" w:rsidRPr="00A84E9A">
        <w:rPr>
          <w:sz w:val="24"/>
          <w:szCs w:val="24"/>
        </w:rPr>
        <w:t>,</w:t>
      </w:r>
      <w:r w:rsidR="0025497A" w:rsidRPr="00A84E9A">
        <w:rPr>
          <w:sz w:val="24"/>
          <w:szCs w:val="24"/>
        </w:rPr>
        <w:t xml:space="preserve"> </w:t>
      </w:r>
      <w:r w:rsidR="00E865C2" w:rsidRPr="00A84E9A">
        <w:rPr>
          <w:sz w:val="24"/>
          <w:szCs w:val="24"/>
        </w:rPr>
        <w:t>whereas</w:t>
      </w:r>
      <w:r w:rsidR="00F01FF2" w:rsidRPr="00A84E9A">
        <w:rPr>
          <w:sz w:val="24"/>
          <w:szCs w:val="24"/>
        </w:rPr>
        <w:t xml:space="preserve"> </w:t>
      </w:r>
      <w:r w:rsidR="0025497A" w:rsidRPr="00A84E9A">
        <w:rPr>
          <w:sz w:val="24"/>
          <w:szCs w:val="24"/>
        </w:rPr>
        <w:t xml:space="preserve">decline </w:t>
      </w:r>
      <w:r w:rsidR="00E865C2" w:rsidRPr="00A84E9A">
        <w:rPr>
          <w:sz w:val="24"/>
          <w:szCs w:val="24"/>
        </w:rPr>
        <w:t>were</w:t>
      </w:r>
      <w:r w:rsidR="0025497A" w:rsidRPr="00A84E9A">
        <w:rPr>
          <w:sz w:val="24"/>
          <w:szCs w:val="24"/>
        </w:rPr>
        <w:t xml:space="preserve"> registered in</w:t>
      </w:r>
      <w:r w:rsidR="007C5362" w:rsidRPr="00A84E9A">
        <w:rPr>
          <w:sz w:val="24"/>
          <w:szCs w:val="24"/>
        </w:rPr>
        <w:t>,</w:t>
      </w:r>
      <w:r w:rsidR="0025497A" w:rsidRPr="00A84E9A">
        <w:rPr>
          <w:sz w:val="24"/>
          <w:szCs w:val="24"/>
        </w:rPr>
        <w:t xml:space="preserve"> </w:t>
      </w:r>
      <w:r w:rsidR="003F3DAB" w:rsidRPr="00A84E9A">
        <w:rPr>
          <w:sz w:val="24"/>
          <w:szCs w:val="24"/>
        </w:rPr>
        <w:t xml:space="preserve">“Textiles &amp; wearing apparel” (-7.5%) “Food products excluding sugar” (-3.1%) and “Other manufacturing” (-0.5%) </w:t>
      </w:r>
      <w:r w:rsidR="00CB6BFC" w:rsidRPr="00A84E9A">
        <w:rPr>
          <w:sz w:val="24"/>
          <w:szCs w:val="24"/>
        </w:rPr>
        <w:t xml:space="preserve">as illustrated in </w:t>
      </w:r>
      <w:r w:rsidR="00911A91" w:rsidRPr="00A84E9A">
        <w:rPr>
          <w:sz w:val="24"/>
          <w:szCs w:val="24"/>
        </w:rPr>
        <w:t>C</w:t>
      </w:r>
      <w:r w:rsidR="00DD3E9B" w:rsidRPr="00A84E9A">
        <w:rPr>
          <w:sz w:val="24"/>
          <w:szCs w:val="24"/>
        </w:rPr>
        <w:t>hart</w:t>
      </w:r>
      <w:r w:rsidR="000915AF" w:rsidRPr="00A84E9A">
        <w:rPr>
          <w:sz w:val="24"/>
          <w:szCs w:val="24"/>
        </w:rPr>
        <w:t xml:space="preserve"> </w:t>
      </w:r>
      <w:r w:rsidR="008C296F" w:rsidRPr="00A84E9A">
        <w:rPr>
          <w:sz w:val="24"/>
          <w:szCs w:val="24"/>
        </w:rPr>
        <w:t>10</w:t>
      </w:r>
      <w:r w:rsidR="00991D8A" w:rsidRPr="00A84E9A">
        <w:rPr>
          <w:sz w:val="24"/>
          <w:szCs w:val="24"/>
        </w:rPr>
        <w:t>.</w:t>
      </w:r>
      <w:r w:rsidR="00F77B97" w:rsidRPr="00245DEB">
        <w:rPr>
          <w:sz w:val="24"/>
          <w:szCs w:val="24"/>
        </w:rPr>
        <w:t xml:space="preserve"> </w:t>
      </w:r>
    </w:p>
    <w:p w14:paraId="43F234FE" w14:textId="77777777" w:rsidR="00D337D2" w:rsidRPr="00CD232D" w:rsidRDefault="00D337D2" w:rsidP="006D0441">
      <w:pPr>
        <w:spacing w:before="120"/>
        <w:jc w:val="both"/>
        <w:rPr>
          <w:sz w:val="24"/>
          <w:szCs w:val="24"/>
        </w:rPr>
      </w:pPr>
    </w:p>
    <w:p w14:paraId="3DE7C592" w14:textId="0C42E3FB" w:rsidR="007C226B" w:rsidRPr="005563FD" w:rsidRDefault="0016480C" w:rsidP="000D09EF">
      <w:pPr>
        <w:spacing w:before="120"/>
        <w:jc w:val="center"/>
      </w:pPr>
      <w:r>
        <w:rPr>
          <w:noProof/>
        </w:rPr>
        <w:drawing>
          <wp:inline distT="0" distB="0" distL="0" distR="0" wp14:anchorId="4E2E9E58" wp14:editId="12957F57">
            <wp:extent cx="5901690" cy="3194685"/>
            <wp:effectExtent l="0" t="0" r="0" b="0"/>
            <wp:docPr id="1321" name="Picture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34EF2" w14:textId="77777777" w:rsidR="00201B09" w:rsidRDefault="00201B09" w:rsidP="00A40052">
      <w:pPr>
        <w:jc w:val="center"/>
        <w:rPr>
          <w:sz w:val="24"/>
          <w:szCs w:val="24"/>
        </w:rPr>
      </w:pPr>
    </w:p>
    <w:p w14:paraId="5148A31B" w14:textId="77777777" w:rsidR="00812AF8" w:rsidRDefault="00812AF8">
      <w:pPr>
        <w:spacing w:line="360" w:lineRule="exact"/>
        <w:jc w:val="both"/>
        <w:rPr>
          <w:b/>
          <w:sz w:val="26"/>
          <w:szCs w:val="26"/>
        </w:rPr>
      </w:pPr>
    </w:p>
    <w:p w14:paraId="6AA63320" w14:textId="77777777" w:rsidR="00812AF8" w:rsidRDefault="00812AF8">
      <w:pPr>
        <w:spacing w:line="360" w:lineRule="exact"/>
        <w:jc w:val="both"/>
        <w:rPr>
          <w:b/>
          <w:sz w:val="26"/>
          <w:szCs w:val="26"/>
        </w:rPr>
      </w:pPr>
    </w:p>
    <w:p w14:paraId="0504372F" w14:textId="77777777" w:rsidR="006F7489" w:rsidRDefault="0065071F">
      <w:pPr>
        <w:spacing w:line="36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S</w:t>
      </w:r>
      <w:r w:rsidR="006F7489">
        <w:rPr>
          <w:b/>
          <w:sz w:val="26"/>
          <w:szCs w:val="26"/>
        </w:rPr>
        <w:t xml:space="preserve">tatistics </w:t>
      </w:r>
      <w:r w:rsidR="00EF133D">
        <w:rPr>
          <w:b/>
          <w:sz w:val="26"/>
          <w:szCs w:val="26"/>
        </w:rPr>
        <w:t>Mauritius</w:t>
      </w:r>
      <w:r w:rsidR="00F77BDB">
        <w:rPr>
          <w:b/>
          <w:sz w:val="26"/>
          <w:szCs w:val="26"/>
        </w:rPr>
        <w:t xml:space="preserve"> </w:t>
      </w:r>
    </w:p>
    <w:p w14:paraId="0DC5B069" w14:textId="77777777" w:rsidR="006F7489" w:rsidRDefault="001F6A45">
      <w:pPr>
        <w:spacing w:line="360" w:lineRule="exact"/>
        <w:jc w:val="both"/>
        <w:rPr>
          <w:b/>
          <w:sz w:val="24"/>
        </w:rPr>
      </w:pPr>
      <w:r>
        <w:rPr>
          <w:b/>
          <w:sz w:val="24"/>
        </w:rPr>
        <w:t>Ministry of Finance</w:t>
      </w:r>
    </w:p>
    <w:p w14:paraId="740D77AB" w14:textId="77777777" w:rsidR="006F7489" w:rsidRDefault="006F7489">
      <w:pPr>
        <w:spacing w:line="360" w:lineRule="exact"/>
        <w:jc w:val="both"/>
        <w:rPr>
          <w:b/>
          <w:sz w:val="24"/>
        </w:rPr>
      </w:pPr>
      <w:smartTag w:uri="urn:schemas-microsoft-com:office:smarttags" w:element="PlaceName">
        <w:smartTag w:uri="urn:schemas-microsoft-com:office:smarttags" w:element="PlaceType">
          <w:r>
            <w:rPr>
              <w:b/>
              <w:sz w:val="24"/>
            </w:rPr>
            <w:t>PORT LOUIS</w:t>
          </w:r>
        </w:smartTag>
      </w:smartTag>
      <w:r w:rsidR="00037A7C">
        <w:rPr>
          <w:b/>
          <w:sz w:val="24"/>
        </w:rPr>
        <w:t xml:space="preserve"> </w:t>
      </w:r>
    </w:p>
    <w:p w14:paraId="43B4DEEC" w14:textId="77777777" w:rsidR="006F7489" w:rsidRDefault="00585E53">
      <w:pPr>
        <w:spacing w:line="360" w:lineRule="exact"/>
        <w:rPr>
          <w:b/>
          <w:sz w:val="24"/>
        </w:rPr>
      </w:pPr>
      <w:r>
        <w:rPr>
          <w:b/>
          <w:sz w:val="24"/>
        </w:rPr>
        <w:t>2</w:t>
      </w:r>
      <w:r w:rsidR="002A7304">
        <w:rPr>
          <w:b/>
          <w:sz w:val="24"/>
        </w:rPr>
        <w:t>3</w:t>
      </w:r>
      <w:r w:rsidR="0090164E">
        <w:rPr>
          <w:b/>
          <w:sz w:val="24"/>
        </w:rPr>
        <w:t xml:space="preserve"> September</w:t>
      </w:r>
      <w:r w:rsidR="006E244C">
        <w:rPr>
          <w:b/>
          <w:sz w:val="24"/>
        </w:rPr>
        <w:t xml:space="preserve"> </w:t>
      </w:r>
      <w:r w:rsidR="002A7304">
        <w:rPr>
          <w:b/>
          <w:sz w:val="24"/>
        </w:rPr>
        <w:t>2025</w:t>
      </w:r>
    </w:p>
    <w:p w14:paraId="0CD8CAB2" w14:textId="77777777" w:rsidR="00D02BA5" w:rsidRDefault="00D02BA5">
      <w:pPr>
        <w:spacing w:line="360" w:lineRule="exact"/>
        <w:rPr>
          <w:b/>
          <w:sz w:val="24"/>
        </w:rPr>
      </w:pPr>
    </w:p>
    <w:p w14:paraId="73E4C2A9" w14:textId="3C5048BD" w:rsidR="005E6D68" w:rsidRDefault="0016480C">
      <w:pPr>
        <w:spacing w:line="360" w:lineRule="exac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E0C23F" wp14:editId="7FD227DD">
                <wp:simplePos x="0" y="0"/>
                <wp:positionH relativeFrom="column">
                  <wp:posOffset>596900</wp:posOffset>
                </wp:positionH>
                <wp:positionV relativeFrom="paragraph">
                  <wp:posOffset>200025</wp:posOffset>
                </wp:positionV>
                <wp:extent cx="4807585" cy="1998345"/>
                <wp:effectExtent l="6350" t="11430" r="5715" b="952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85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E190" w14:textId="77777777" w:rsidR="00BA3B04" w:rsidRDefault="00BA3B0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Contact Person:</w:t>
                            </w:r>
                          </w:p>
                          <w:p w14:paraId="1E2B0F82" w14:textId="77777777" w:rsidR="00BA3B04" w:rsidRPr="00527D70" w:rsidRDefault="00BA3B04" w:rsidP="008B04ED">
                            <w:pPr>
                              <w:tabs>
                                <w:tab w:val="left" w:pos="360"/>
                              </w:tabs>
                              <w:spacing w:line="264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27D70">
                              <w:rPr>
                                <w:sz w:val="24"/>
                                <w:szCs w:val="24"/>
                              </w:rPr>
                              <w:t xml:space="preserve">Mrs.  </w:t>
                            </w:r>
                            <w:r w:rsidR="00653F14">
                              <w:rPr>
                                <w:sz w:val="24"/>
                                <w:szCs w:val="24"/>
                              </w:rPr>
                              <w:t>V.</w:t>
                            </w:r>
                            <w:r w:rsidR="002A730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3F14">
                              <w:rPr>
                                <w:sz w:val="24"/>
                                <w:szCs w:val="24"/>
                              </w:rPr>
                              <w:t>Rama-Lahootan</w:t>
                            </w:r>
                            <w:r w:rsidR="002A7304">
                              <w:rPr>
                                <w:sz w:val="24"/>
                                <w:szCs w:val="24"/>
                              </w:rPr>
                              <w:t xml:space="preserve"> (Statistician/Senior Statistician)</w:t>
                            </w:r>
                          </w:p>
                          <w:p w14:paraId="74FEA40F" w14:textId="77777777" w:rsidR="00BA3B04" w:rsidRPr="00527D70" w:rsidRDefault="00BA3B04" w:rsidP="00527D70">
                            <w:pPr>
                              <w:spacing w:line="264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Manufacturing</w:t>
                            </w:r>
                            <w:r w:rsidRPr="00527D70">
                              <w:rPr>
                                <w:sz w:val="24"/>
                                <w:szCs w:val="24"/>
                              </w:rPr>
                              <w:t xml:space="preserve"> Unit </w:t>
                            </w:r>
                          </w:p>
                          <w:p w14:paraId="67E8D3FD" w14:textId="77777777" w:rsidR="00BA3B04" w:rsidRPr="00527D70" w:rsidRDefault="00BA3B04" w:rsidP="00527D70">
                            <w:pPr>
                              <w:spacing w:line="264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27D70">
                              <w:rPr>
                                <w:sz w:val="24"/>
                                <w:szCs w:val="24"/>
                              </w:rPr>
                              <w:t>Statistics Mauritius</w:t>
                            </w:r>
                          </w:p>
                          <w:p w14:paraId="6A196ECB" w14:textId="77777777" w:rsidR="00BA3B04" w:rsidRDefault="00BA3B04" w:rsidP="00527D70">
                            <w:pPr>
                              <w:spacing w:line="264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27D70">
                              <w:rPr>
                                <w:sz w:val="24"/>
                                <w:szCs w:val="24"/>
                              </w:rPr>
                              <w:t>5th Floor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LIC Building</w:t>
                            </w:r>
                          </w:p>
                          <w:p w14:paraId="6CBC5270" w14:textId="77777777" w:rsidR="00BA3B04" w:rsidRPr="003922DC" w:rsidRDefault="00BA3B04" w:rsidP="00527D70">
                            <w:pPr>
                              <w:spacing w:line="264" w:lineRule="auto"/>
                              <w:ind w:left="36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922DC">
                              <w:rPr>
                                <w:sz w:val="24"/>
                                <w:szCs w:val="24"/>
                                <w:lang w:val="fr-FR"/>
                              </w:rPr>
                              <w:t>Port Louis</w:t>
                            </w:r>
                          </w:p>
                          <w:p w14:paraId="0FB373B9" w14:textId="77777777" w:rsidR="00BA3B04" w:rsidRPr="003922DC" w:rsidRDefault="00485898" w:rsidP="00527D70">
                            <w:pPr>
                              <w:spacing w:line="264" w:lineRule="auto"/>
                              <w:ind w:left="36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922DC">
                              <w:rPr>
                                <w:sz w:val="24"/>
                                <w:szCs w:val="24"/>
                                <w:lang w:val="fr-FR"/>
                              </w:rPr>
                              <w:t>Tel :</w:t>
                            </w:r>
                            <w:r w:rsidR="00BA3B04" w:rsidRPr="003922D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320E3" w:rsidRPr="003922D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(+230) </w:t>
                            </w:r>
                            <w:r w:rsidR="00BA3B04" w:rsidRPr="003922DC">
                              <w:rPr>
                                <w:sz w:val="24"/>
                                <w:szCs w:val="24"/>
                                <w:lang w:val="fr-FR"/>
                              </w:rPr>
                              <w:t>208 1800</w:t>
                            </w:r>
                          </w:p>
                          <w:p w14:paraId="726B3C5F" w14:textId="77777777" w:rsidR="00BA3B04" w:rsidRPr="003922DC" w:rsidRDefault="00485898" w:rsidP="00527D70">
                            <w:pPr>
                              <w:spacing w:line="264" w:lineRule="auto"/>
                              <w:ind w:left="36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922DC">
                              <w:rPr>
                                <w:sz w:val="24"/>
                                <w:szCs w:val="24"/>
                                <w:lang w:val="fr-FR"/>
                              </w:rPr>
                              <w:t>E-mail :</w:t>
                            </w:r>
                            <w:r w:rsidR="00BA3B04" w:rsidRPr="003922D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2A7304">
                              <w:rPr>
                                <w:sz w:val="24"/>
                                <w:szCs w:val="24"/>
                                <w:lang w:val="fr-FR"/>
                              </w:rPr>
                              <w:t>varama@govmu.org</w:t>
                            </w:r>
                          </w:p>
                          <w:p w14:paraId="16F8033F" w14:textId="77777777" w:rsidR="00BA3B04" w:rsidRPr="003922DC" w:rsidRDefault="00BA3B04" w:rsidP="00236F1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0C23F" id="Text Box 37" o:spid="_x0000_s1028" type="#_x0000_t202" style="position:absolute;margin-left:47pt;margin-top:15.75pt;width:378.55pt;height:15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">
                <v:textbox>
                  <w:txbxContent>
                    <w:p w14:paraId="0F85E190" w14:textId="77777777" w:rsidR="00BA3B04" w:rsidRDefault="00BA3B04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Contact Person:</w:t>
                      </w:r>
                    </w:p>
                    <w:p w14:paraId="1E2B0F82" w14:textId="77777777" w:rsidR="00BA3B04" w:rsidRPr="00527D70" w:rsidRDefault="00BA3B04" w:rsidP="008B04ED">
                      <w:pPr>
                        <w:tabs>
                          <w:tab w:val="left" w:pos="360"/>
                        </w:tabs>
                        <w:spacing w:line="264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27D70">
                        <w:rPr>
                          <w:sz w:val="24"/>
                          <w:szCs w:val="24"/>
                        </w:rPr>
                        <w:t xml:space="preserve">Mrs.  </w:t>
                      </w:r>
                      <w:r w:rsidR="00653F14">
                        <w:rPr>
                          <w:sz w:val="24"/>
                          <w:szCs w:val="24"/>
                        </w:rPr>
                        <w:t>V.</w:t>
                      </w:r>
                      <w:r w:rsidR="002A730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53F14">
                        <w:rPr>
                          <w:sz w:val="24"/>
                          <w:szCs w:val="24"/>
                        </w:rPr>
                        <w:t>Rama-Lahootan</w:t>
                      </w:r>
                      <w:r w:rsidR="002A7304">
                        <w:rPr>
                          <w:sz w:val="24"/>
                          <w:szCs w:val="24"/>
                        </w:rPr>
                        <w:t xml:space="preserve"> (Statistician/Senior Statistician)</w:t>
                      </w:r>
                    </w:p>
                    <w:p w14:paraId="74FEA40F" w14:textId="77777777" w:rsidR="00BA3B04" w:rsidRPr="00527D70" w:rsidRDefault="00BA3B04" w:rsidP="00527D70">
                      <w:pPr>
                        <w:spacing w:line="264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Manufacturing</w:t>
                      </w:r>
                      <w:r w:rsidRPr="00527D70">
                        <w:rPr>
                          <w:sz w:val="24"/>
                          <w:szCs w:val="24"/>
                        </w:rPr>
                        <w:t xml:space="preserve"> Unit </w:t>
                      </w:r>
                    </w:p>
                    <w:p w14:paraId="67E8D3FD" w14:textId="77777777" w:rsidR="00BA3B04" w:rsidRPr="00527D70" w:rsidRDefault="00BA3B04" w:rsidP="00527D70">
                      <w:pPr>
                        <w:spacing w:line="264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527D70">
                        <w:rPr>
                          <w:sz w:val="24"/>
                          <w:szCs w:val="24"/>
                        </w:rPr>
                        <w:t>Statistics Mauritius</w:t>
                      </w:r>
                    </w:p>
                    <w:p w14:paraId="6A196ECB" w14:textId="77777777" w:rsidR="00BA3B04" w:rsidRDefault="00BA3B04" w:rsidP="00527D70">
                      <w:pPr>
                        <w:spacing w:line="264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527D70">
                        <w:rPr>
                          <w:sz w:val="24"/>
                          <w:szCs w:val="24"/>
                        </w:rPr>
                        <w:t>5th Floor</w:t>
                      </w:r>
                      <w:r>
                        <w:rPr>
                          <w:sz w:val="24"/>
                          <w:szCs w:val="24"/>
                        </w:rPr>
                        <w:t xml:space="preserve"> LIC Building</w:t>
                      </w:r>
                    </w:p>
                    <w:p w14:paraId="6CBC5270" w14:textId="77777777" w:rsidR="00BA3B04" w:rsidRPr="003922DC" w:rsidRDefault="00BA3B04" w:rsidP="00527D70">
                      <w:pPr>
                        <w:spacing w:line="264" w:lineRule="auto"/>
                        <w:ind w:left="360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3922DC">
                        <w:rPr>
                          <w:sz w:val="24"/>
                          <w:szCs w:val="24"/>
                          <w:lang w:val="fr-FR"/>
                        </w:rPr>
                        <w:t>Port Louis</w:t>
                      </w:r>
                    </w:p>
                    <w:p w14:paraId="0FB373B9" w14:textId="77777777" w:rsidR="00BA3B04" w:rsidRPr="003922DC" w:rsidRDefault="00485898" w:rsidP="00527D70">
                      <w:pPr>
                        <w:spacing w:line="264" w:lineRule="auto"/>
                        <w:ind w:left="360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3922DC">
                        <w:rPr>
                          <w:sz w:val="24"/>
                          <w:szCs w:val="24"/>
                          <w:lang w:val="fr-FR"/>
                        </w:rPr>
                        <w:t>Tel :</w:t>
                      </w:r>
                      <w:r w:rsidR="00BA3B04" w:rsidRPr="003922DC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A320E3" w:rsidRPr="003922DC">
                        <w:rPr>
                          <w:sz w:val="24"/>
                          <w:szCs w:val="24"/>
                          <w:lang w:val="fr-FR"/>
                        </w:rPr>
                        <w:t xml:space="preserve">(+230) </w:t>
                      </w:r>
                      <w:r w:rsidR="00BA3B04" w:rsidRPr="003922DC">
                        <w:rPr>
                          <w:sz w:val="24"/>
                          <w:szCs w:val="24"/>
                          <w:lang w:val="fr-FR"/>
                        </w:rPr>
                        <w:t>208 1800</w:t>
                      </w:r>
                    </w:p>
                    <w:p w14:paraId="726B3C5F" w14:textId="77777777" w:rsidR="00BA3B04" w:rsidRPr="003922DC" w:rsidRDefault="00485898" w:rsidP="00527D70">
                      <w:pPr>
                        <w:spacing w:line="264" w:lineRule="auto"/>
                        <w:ind w:left="360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3922DC">
                        <w:rPr>
                          <w:sz w:val="24"/>
                          <w:szCs w:val="24"/>
                          <w:lang w:val="fr-FR"/>
                        </w:rPr>
                        <w:t>E-mail :</w:t>
                      </w:r>
                      <w:r w:rsidR="00BA3B04" w:rsidRPr="003922DC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2A7304">
                        <w:rPr>
                          <w:sz w:val="24"/>
                          <w:szCs w:val="24"/>
                          <w:lang w:val="fr-FR"/>
                        </w:rPr>
                        <w:t>varama@govmu.org</w:t>
                      </w:r>
                    </w:p>
                    <w:p w14:paraId="16F8033F" w14:textId="77777777" w:rsidR="00BA3B04" w:rsidRPr="003922DC" w:rsidRDefault="00BA3B04" w:rsidP="00236F1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0CCFD9" w14:textId="77777777" w:rsidR="005E6D68" w:rsidRDefault="005E6D68">
      <w:pPr>
        <w:spacing w:line="360" w:lineRule="exact"/>
        <w:rPr>
          <w:b/>
          <w:sz w:val="24"/>
        </w:rPr>
      </w:pPr>
    </w:p>
    <w:p w14:paraId="488E7473" w14:textId="77777777" w:rsidR="005E6D68" w:rsidRDefault="005E6D68">
      <w:pPr>
        <w:spacing w:line="360" w:lineRule="exact"/>
        <w:rPr>
          <w:b/>
          <w:sz w:val="24"/>
        </w:rPr>
      </w:pPr>
    </w:p>
    <w:p w14:paraId="1C163799" w14:textId="77777777" w:rsidR="005E6D68" w:rsidRDefault="005E6D68">
      <w:pPr>
        <w:spacing w:line="360" w:lineRule="exact"/>
        <w:rPr>
          <w:b/>
          <w:sz w:val="24"/>
        </w:rPr>
      </w:pPr>
    </w:p>
    <w:p w14:paraId="1B5F9791" w14:textId="77777777" w:rsidR="005E6D68" w:rsidRDefault="005E6D68">
      <w:pPr>
        <w:spacing w:line="360" w:lineRule="exact"/>
        <w:rPr>
          <w:b/>
          <w:sz w:val="24"/>
        </w:rPr>
      </w:pPr>
    </w:p>
    <w:p w14:paraId="3D4644E2" w14:textId="77777777" w:rsidR="005E6D68" w:rsidRDefault="005E6D68">
      <w:pPr>
        <w:spacing w:line="360" w:lineRule="exact"/>
        <w:rPr>
          <w:b/>
          <w:sz w:val="24"/>
        </w:rPr>
      </w:pPr>
    </w:p>
    <w:p w14:paraId="4BCD5636" w14:textId="77777777" w:rsidR="005E6D68" w:rsidRDefault="005E6D68">
      <w:pPr>
        <w:spacing w:line="360" w:lineRule="exact"/>
        <w:rPr>
          <w:b/>
          <w:sz w:val="24"/>
        </w:rPr>
      </w:pPr>
    </w:p>
    <w:sectPr w:rsidR="005E6D68" w:rsidSect="0067478E">
      <w:headerReference w:type="even" r:id="rId21"/>
      <w:headerReference w:type="default" r:id="rId22"/>
      <w:pgSz w:w="11909" w:h="16834" w:code="9"/>
      <w:pgMar w:top="720" w:right="1277" w:bottom="1152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F9DF" w14:textId="77777777" w:rsidR="003F72EA" w:rsidRDefault="003F72EA">
      <w:r>
        <w:separator/>
      </w:r>
    </w:p>
  </w:endnote>
  <w:endnote w:type="continuationSeparator" w:id="0">
    <w:p w14:paraId="4AF67ACE" w14:textId="77777777" w:rsidR="003F72EA" w:rsidRDefault="003F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BAD2" w14:textId="77777777" w:rsidR="003F72EA" w:rsidRDefault="003F72EA">
      <w:r>
        <w:separator/>
      </w:r>
    </w:p>
  </w:footnote>
  <w:footnote w:type="continuationSeparator" w:id="0">
    <w:p w14:paraId="1CC296A1" w14:textId="77777777" w:rsidR="003F72EA" w:rsidRDefault="003F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E487" w14:textId="77777777" w:rsidR="0011114D" w:rsidRDefault="001111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0CB2" w14:textId="77777777" w:rsidR="0011114D" w:rsidRDefault="00111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F80E" w14:textId="77777777" w:rsidR="002C2D92" w:rsidRDefault="002C2D92" w:rsidP="002C2D92">
    <w:pPr>
      <w:pStyle w:val="Header"/>
      <w:jc w:val="center"/>
    </w:pPr>
  </w:p>
  <w:p w14:paraId="299518F0" w14:textId="77777777" w:rsidR="002C2D92" w:rsidRDefault="002C2D92" w:rsidP="002C2D9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7CAA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EEF"/>
    <w:multiLevelType w:val="hybridMultilevel"/>
    <w:tmpl w:val="B436FBBC"/>
    <w:lvl w:ilvl="0" w:tplc="F1B69B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0D5C"/>
    <w:multiLevelType w:val="hybridMultilevel"/>
    <w:tmpl w:val="60F05C16"/>
    <w:lvl w:ilvl="0" w:tplc="0F70A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2E8"/>
    <w:multiLevelType w:val="hybridMultilevel"/>
    <w:tmpl w:val="6A688D8E"/>
    <w:lvl w:ilvl="0" w:tplc="011290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5F7D"/>
    <w:multiLevelType w:val="hybridMultilevel"/>
    <w:tmpl w:val="0CB2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D60E5"/>
    <w:multiLevelType w:val="hybridMultilevel"/>
    <w:tmpl w:val="0E90312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A43F7"/>
    <w:multiLevelType w:val="hybridMultilevel"/>
    <w:tmpl w:val="22EAF4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6A3F"/>
    <w:multiLevelType w:val="hybridMultilevel"/>
    <w:tmpl w:val="77B48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AE669C"/>
    <w:multiLevelType w:val="hybridMultilevel"/>
    <w:tmpl w:val="15304C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33A46"/>
    <w:multiLevelType w:val="hybridMultilevel"/>
    <w:tmpl w:val="B70CD3F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040E1"/>
    <w:multiLevelType w:val="hybridMultilevel"/>
    <w:tmpl w:val="63F06B04"/>
    <w:lvl w:ilvl="0" w:tplc="DA0EFF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5407C"/>
    <w:multiLevelType w:val="hybridMultilevel"/>
    <w:tmpl w:val="197E4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102D9"/>
    <w:multiLevelType w:val="hybridMultilevel"/>
    <w:tmpl w:val="F12CC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5401E"/>
    <w:multiLevelType w:val="hybridMultilevel"/>
    <w:tmpl w:val="DDA49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F7619"/>
    <w:multiLevelType w:val="hybridMultilevel"/>
    <w:tmpl w:val="2FFAF0E6"/>
    <w:lvl w:ilvl="0" w:tplc="FD707A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2371B"/>
    <w:multiLevelType w:val="hybridMultilevel"/>
    <w:tmpl w:val="943A0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637468">
    <w:abstractNumId w:val="11"/>
  </w:num>
  <w:num w:numId="2" w16cid:durableId="536309800">
    <w:abstractNumId w:val="5"/>
  </w:num>
  <w:num w:numId="3" w16cid:durableId="1917202997">
    <w:abstractNumId w:val="7"/>
  </w:num>
  <w:num w:numId="4" w16cid:durableId="1569150034">
    <w:abstractNumId w:val="8"/>
  </w:num>
  <w:num w:numId="5" w16cid:durableId="93524347">
    <w:abstractNumId w:val="4"/>
  </w:num>
  <w:num w:numId="6" w16cid:durableId="1459029378">
    <w:abstractNumId w:val="10"/>
  </w:num>
  <w:num w:numId="7" w16cid:durableId="1953510543">
    <w:abstractNumId w:val="12"/>
  </w:num>
  <w:num w:numId="8" w16cid:durableId="465123576">
    <w:abstractNumId w:val="3"/>
  </w:num>
  <w:num w:numId="9" w16cid:durableId="1136340594">
    <w:abstractNumId w:val="0"/>
  </w:num>
  <w:num w:numId="10" w16cid:durableId="2060663670">
    <w:abstractNumId w:val="13"/>
  </w:num>
  <w:num w:numId="11" w16cid:durableId="1647734201">
    <w:abstractNumId w:val="1"/>
  </w:num>
  <w:num w:numId="12" w16cid:durableId="733938142">
    <w:abstractNumId w:val="9"/>
  </w:num>
  <w:num w:numId="13" w16cid:durableId="1531263025">
    <w:abstractNumId w:val="14"/>
  </w:num>
  <w:num w:numId="14" w16cid:durableId="2137794548">
    <w:abstractNumId w:val="6"/>
  </w:num>
  <w:num w:numId="15" w16cid:durableId="1955285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0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6E"/>
    <w:rsid w:val="0000152E"/>
    <w:rsid w:val="000020A6"/>
    <w:rsid w:val="000024F9"/>
    <w:rsid w:val="00002605"/>
    <w:rsid w:val="00003645"/>
    <w:rsid w:val="00005A1B"/>
    <w:rsid w:val="00012526"/>
    <w:rsid w:val="0001454E"/>
    <w:rsid w:val="000148DE"/>
    <w:rsid w:val="00016BF3"/>
    <w:rsid w:val="00017019"/>
    <w:rsid w:val="000172EE"/>
    <w:rsid w:val="00017917"/>
    <w:rsid w:val="000200F3"/>
    <w:rsid w:val="00020DFE"/>
    <w:rsid w:val="000218A1"/>
    <w:rsid w:val="000218AF"/>
    <w:rsid w:val="0002197B"/>
    <w:rsid w:val="00021E5A"/>
    <w:rsid w:val="0002258F"/>
    <w:rsid w:val="00023118"/>
    <w:rsid w:val="00023368"/>
    <w:rsid w:val="000250ED"/>
    <w:rsid w:val="0002520E"/>
    <w:rsid w:val="000254B9"/>
    <w:rsid w:val="00027A75"/>
    <w:rsid w:val="00030E47"/>
    <w:rsid w:val="0003222F"/>
    <w:rsid w:val="00033454"/>
    <w:rsid w:val="00033D1C"/>
    <w:rsid w:val="00034DBE"/>
    <w:rsid w:val="0003559A"/>
    <w:rsid w:val="00035D53"/>
    <w:rsid w:val="00036460"/>
    <w:rsid w:val="00036903"/>
    <w:rsid w:val="00036C02"/>
    <w:rsid w:val="000370AE"/>
    <w:rsid w:val="00037A7C"/>
    <w:rsid w:val="00041836"/>
    <w:rsid w:val="000435E9"/>
    <w:rsid w:val="00044637"/>
    <w:rsid w:val="000466F8"/>
    <w:rsid w:val="00047EE1"/>
    <w:rsid w:val="00051C29"/>
    <w:rsid w:val="00052517"/>
    <w:rsid w:val="00055829"/>
    <w:rsid w:val="00055B15"/>
    <w:rsid w:val="00056703"/>
    <w:rsid w:val="00057D47"/>
    <w:rsid w:val="000601DF"/>
    <w:rsid w:val="000619D2"/>
    <w:rsid w:val="00061AF9"/>
    <w:rsid w:val="00062AE5"/>
    <w:rsid w:val="00062E7D"/>
    <w:rsid w:val="00064A55"/>
    <w:rsid w:val="000660F3"/>
    <w:rsid w:val="000671A7"/>
    <w:rsid w:val="000703AD"/>
    <w:rsid w:val="0007108C"/>
    <w:rsid w:val="00071684"/>
    <w:rsid w:val="00073554"/>
    <w:rsid w:val="00075898"/>
    <w:rsid w:val="00076B03"/>
    <w:rsid w:val="00080695"/>
    <w:rsid w:val="00080B9F"/>
    <w:rsid w:val="0008148A"/>
    <w:rsid w:val="00081FC6"/>
    <w:rsid w:val="000915AF"/>
    <w:rsid w:val="00092616"/>
    <w:rsid w:val="00093683"/>
    <w:rsid w:val="0009536D"/>
    <w:rsid w:val="00095A3F"/>
    <w:rsid w:val="00097800"/>
    <w:rsid w:val="000A0517"/>
    <w:rsid w:val="000A05C6"/>
    <w:rsid w:val="000B039B"/>
    <w:rsid w:val="000B0836"/>
    <w:rsid w:val="000B0AB5"/>
    <w:rsid w:val="000B0D40"/>
    <w:rsid w:val="000B31F9"/>
    <w:rsid w:val="000B3B0F"/>
    <w:rsid w:val="000B42C4"/>
    <w:rsid w:val="000B4C9F"/>
    <w:rsid w:val="000B5D59"/>
    <w:rsid w:val="000B69AA"/>
    <w:rsid w:val="000B70D6"/>
    <w:rsid w:val="000B7307"/>
    <w:rsid w:val="000C48FE"/>
    <w:rsid w:val="000C4DDD"/>
    <w:rsid w:val="000C5459"/>
    <w:rsid w:val="000C7FE2"/>
    <w:rsid w:val="000D09EF"/>
    <w:rsid w:val="000D260C"/>
    <w:rsid w:val="000D28C2"/>
    <w:rsid w:val="000D2D61"/>
    <w:rsid w:val="000D2D8E"/>
    <w:rsid w:val="000D5784"/>
    <w:rsid w:val="000D6727"/>
    <w:rsid w:val="000E0686"/>
    <w:rsid w:val="000E0C13"/>
    <w:rsid w:val="000E0EE6"/>
    <w:rsid w:val="000E344B"/>
    <w:rsid w:val="000E3AD3"/>
    <w:rsid w:val="000E56EF"/>
    <w:rsid w:val="000F308D"/>
    <w:rsid w:val="000F3123"/>
    <w:rsid w:val="000F322E"/>
    <w:rsid w:val="000F3DCD"/>
    <w:rsid w:val="000F4355"/>
    <w:rsid w:val="000F4982"/>
    <w:rsid w:val="000F4AA2"/>
    <w:rsid w:val="000F519B"/>
    <w:rsid w:val="000F53F8"/>
    <w:rsid w:val="000F745E"/>
    <w:rsid w:val="00100EDC"/>
    <w:rsid w:val="00101210"/>
    <w:rsid w:val="00101CAF"/>
    <w:rsid w:val="001026ED"/>
    <w:rsid w:val="00102846"/>
    <w:rsid w:val="00102A67"/>
    <w:rsid w:val="00103782"/>
    <w:rsid w:val="001051E5"/>
    <w:rsid w:val="001057F4"/>
    <w:rsid w:val="001064E7"/>
    <w:rsid w:val="001078E4"/>
    <w:rsid w:val="00107F0A"/>
    <w:rsid w:val="0011114D"/>
    <w:rsid w:val="001120DD"/>
    <w:rsid w:val="001124C1"/>
    <w:rsid w:val="001129C8"/>
    <w:rsid w:val="00113432"/>
    <w:rsid w:val="0011393F"/>
    <w:rsid w:val="001146A8"/>
    <w:rsid w:val="0011512F"/>
    <w:rsid w:val="0011541F"/>
    <w:rsid w:val="00115797"/>
    <w:rsid w:val="0011756C"/>
    <w:rsid w:val="001179F9"/>
    <w:rsid w:val="001201B2"/>
    <w:rsid w:val="00120239"/>
    <w:rsid w:val="00120A3B"/>
    <w:rsid w:val="0012110B"/>
    <w:rsid w:val="0012187B"/>
    <w:rsid w:val="00122ACC"/>
    <w:rsid w:val="00124D9E"/>
    <w:rsid w:val="0012565C"/>
    <w:rsid w:val="00126058"/>
    <w:rsid w:val="00126B00"/>
    <w:rsid w:val="00126BC4"/>
    <w:rsid w:val="001309ED"/>
    <w:rsid w:val="00130B8D"/>
    <w:rsid w:val="001314E3"/>
    <w:rsid w:val="001324DD"/>
    <w:rsid w:val="001336A6"/>
    <w:rsid w:val="00135C2D"/>
    <w:rsid w:val="001366AE"/>
    <w:rsid w:val="001374E9"/>
    <w:rsid w:val="00140554"/>
    <w:rsid w:val="001418C3"/>
    <w:rsid w:val="0014222D"/>
    <w:rsid w:val="00142A64"/>
    <w:rsid w:val="00143E6A"/>
    <w:rsid w:val="00144384"/>
    <w:rsid w:val="001448EF"/>
    <w:rsid w:val="00144C51"/>
    <w:rsid w:val="00145C69"/>
    <w:rsid w:val="00146868"/>
    <w:rsid w:val="00146A5B"/>
    <w:rsid w:val="00150901"/>
    <w:rsid w:val="0015436F"/>
    <w:rsid w:val="00154BA5"/>
    <w:rsid w:val="00154E06"/>
    <w:rsid w:val="00155FCF"/>
    <w:rsid w:val="00156ED7"/>
    <w:rsid w:val="00156F0D"/>
    <w:rsid w:val="001611A9"/>
    <w:rsid w:val="00161C71"/>
    <w:rsid w:val="00161CEF"/>
    <w:rsid w:val="0016280B"/>
    <w:rsid w:val="00162CDD"/>
    <w:rsid w:val="00162EA2"/>
    <w:rsid w:val="00163160"/>
    <w:rsid w:val="001632FA"/>
    <w:rsid w:val="0016389C"/>
    <w:rsid w:val="00163B11"/>
    <w:rsid w:val="00163D23"/>
    <w:rsid w:val="0016480C"/>
    <w:rsid w:val="001648A9"/>
    <w:rsid w:val="00165D65"/>
    <w:rsid w:val="00167574"/>
    <w:rsid w:val="00170028"/>
    <w:rsid w:val="0017161C"/>
    <w:rsid w:val="00171EA8"/>
    <w:rsid w:val="00172002"/>
    <w:rsid w:val="00172253"/>
    <w:rsid w:val="001741C7"/>
    <w:rsid w:val="00174E8E"/>
    <w:rsid w:val="00175E7E"/>
    <w:rsid w:val="00175F2C"/>
    <w:rsid w:val="0017607F"/>
    <w:rsid w:val="001772CB"/>
    <w:rsid w:val="001775D0"/>
    <w:rsid w:val="0017798F"/>
    <w:rsid w:val="0018277E"/>
    <w:rsid w:val="00184308"/>
    <w:rsid w:val="0018579A"/>
    <w:rsid w:val="0018732A"/>
    <w:rsid w:val="00191DD8"/>
    <w:rsid w:val="0019520E"/>
    <w:rsid w:val="001969DC"/>
    <w:rsid w:val="00197727"/>
    <w:rsid w:val="001A06A4"/>
    <w:rsid w:val="001A1E10"/>
    <w:rsid w:val="001A2193"/>
    <w:rsid w:val="001A315B"/>
    <w:rsid w:val="001A32FA"/>
    <w:rsid w:val="001A3E8A"/>
    <w:rsid w:val="001A5E71"/>
    <w:rsid w:val="001A75FF"/>
    <w:rsid w:val="001B26CC"/>
    <w:rsid w:val="001B3B83"/>
    <w:rsid w:val="001B4EF4"/>
    <w:rsid w:val="001B4F43"/>
    <w:rsid w:val="001B794D"/>
    <w:rsid w:val="001C17EF"/>
    <w:rsid w:val="001C1956"/>
    <w:rsid w:val="001C1C77"/>
    <w:rsid w:val="001C4229"/>
    <w:rsid w:val="001C49C7"/>
    <w:rsid w:val="001C590B"/>
    <w:rsid w:val="001C5F72"/>
    <w:rsid w:val="001C6126"/>
    <w:rsid w:val="001C6A2C"/>
    <w:rsid w:val="001C787C"/>
    <w:rsid w:val="001D0093"/>
    <w:rsid w:val="001D2CCD"/>
    <w:rsid w:val="001D39E8"/>
    <w:rsid w:val="001D3CCB"/>
    <w:rsid w:val="001D4A47"/>
    <w:rsid w:val="001D51F4"/>
    <w:rsid w:val="001D6DBF"/>
    <w:rsid w:val="001D71F1"/>
    <w:rsid w:val="001D7AF3"/>
    <w:rsid w:val="001E1113"/>
    <w:rsid w:val="001E19D5"/>
    <w:rsid w:val="001E1BEB"/>
    <w:rsid w:val="001E4561"/>
    <w:rsid w:val="001E5056"/>
    <w:rsid w:val="001E527A"/>
    <w:rsid w:val="001E716F"/>
    <w:rsid w:val="001E72C0"/>
    <w:rsid w:val="001E72CF"/>
    <w:rsid w:val="001E774C"/>
    <w:rsid w:val="001E7CD1"/>
    <w:rsid w:val="001F13FF"/>
    <w:rsid w:val="001F1AD2"/>
    <w:rsid w:val="001F52D2"/>
    <w:rsid w:val="001F58BC"/>
    <w:rsid w:val="001F5E46"/>
    <w:rsid w:val="001F604F"/>
    <w:rsid w:val="001F6A45"/>
    <w:rsid w:val="001F6B87"/>
    <w:rsid w:val="001F7368"/>
    <w:rsid w:val="001F763D"/>
    <w:rsid w:val="002009B2"/>
    <w:rsid w:val="00200A68"/>
    <w:rsid w:val="00200D0C"/>
    <w:rsid w:val="00201A34"/>
    <w:rsid w:val="00201B09"/>
    <w:rsid w:val="00201F7D"/>
    <w:rsid w:val="00202531"/>
    <w:rsid w:val="002026E9"/>
    <w:rsid w:val="00206752"/>
    <w:rsid w:val="002068BA"/>
    <w:rsid w:val="00210ED9"/>
    <w:rsid w:val="00210FEF"/>
    <w:rsid w:val="002117F7"/>
    <w:rsid w:val="00212C03"/>
    <w:rsid w:val="0021330C"/>
    <w:rsid w:val="00215662"/>
    <w:rsid w:val="002161E3"/>
    <w:rsid w:val="00216C26"/>
    <w:rsid w:val="00221F6D"/>
    <w:rsid w:val="00222327"/>
    <w:rsid w:val="002227C5"/>
    <w:rsid w:val="002258D8"/>
    <w:rsid w:val="00226A70"/>
    <w:rsid w:val="00230116"/>
    <w:rsid w:val="002305C9"/>
    <w:rsid w:val="00230C2F"/>
    <w:rsid w:val="002314A0"/>
    <w:rsid w:val="002325AA"/>
    <w:rsid w:val="002326A7"/>
    <w:rsid w:val="00233A01"/>
    <w:rsid w:val="0023501C"/>
    <w:rsid w:val="00235C70"/>
    <w:rsid w:val="00236BA3"/>
    <w:rsid w:val="00236CDB"/>
    <w:rsid w:val="00236F14"/>
    <w:rsid w:val="002371FD"/>
    <w:rsid w:val="0023746F"/>
    <w:rsid w:val="002377D7"/>
    <w:rsid w:val="00242562"/>
    <w:rsid w:val="00243192"/>
    <w:rsid w:val="0024414A"/>
    <w:rsid w:val="002444DE"/>
    <w:rsid w:val="00245666"/>
    <w:rsid w:val="0024597C"/>
    <w:rsid w:val="00245DEB"/>
    <w:rsid w:val="002464E9"/>
    <w:rsid w:val="00246649"/>
    <w:rsid w:val="002468A7"/>
    <w:rsid w:val="0024770E"/>
    <w:rsid w:val="00247EB4"/>
    <w:rsid w:val="002507E1"/>
    <w:rsid w:val="0025159B"/>
    <w:rsid w:val="00252F27"/>
    <w:rsid w:val="00254452"/>
    <w:rsid w:val="0025497A"/>
    <w:rsid w:val="00254A7F"/>
    <w:rsid w:val="00256BDD"/>
    <w:rsid w:val="002605CD"/>
    <w:rsid w:val="00261996"/>
    <w:rsid w:val="002627A7"/>
    <w:rsid w:val="002633EF"/>
    <w:rsid w:val="00263E72"/>
    <w:rsid w:val="00267279"/>
    <w:rsid w:val="00270D7C"/>
    <w:rsid w:val="00270FB3"/>
    <w:rsid w:val="00271AC7"/>
    <w:rsid w:val="00273CCD"/>
    <w:rsid w:val="00274088"/>
    <w:rsid w:val="00274574"/>
    <w:rsid w:val="002749F3"/>
    <w:rsid w:val="00275103"/>
    <w:rsid w:val="00275246"/>
    <w:rsid w:val="002760AE"/>
    <w:rsid w:val="00276F7D"/>
    <w:rsid w:val="00280E81"/>
    <w:rsid w:val="002819BD"/>
    <w:rsid w:val="0028622F"/>
    <w:rsid w:val="002900D8"/>
    <w:rsid w:val="00290A18"/>
    <w:rsid w:val="002910E2"/>
    <w:rsid w:val="002915D2"/>
    <w:rsid w:val="00292558"/>
    <w:rsid w:val="002936B1"/>
    <w:rsid w:val="002957A7"/>
    <w:rsid w:val="002960EA"/>
    <w:rsid w:val="00297BD8"/>
    <w:rsid w:val="002A13CA"/>
    <w:rsid w:val="002A1E5A"/>
    <w:rsid w:val="002A1F29"/>
    <w:rsid w:val="002A2233"/>
    <w:rsid w:val="002A27F4"/>
    <w:rsid w:val="002A3A1E"/>
    <w:rsid w:val="002A3F54"/>
    <w:rsid w:val="002A4221"/>
    <w:rsid w:val="002A5EC0"/>
    <w:rsid w:val="002A5ECC"/>
    <w:rsid w:val="002A7304"/>
    <w:rsid w:val="002A74F1"/>
    <w:rsid w:val="002A7D82"/>
    <w:rsid w:val="002A7E9A"/>
    <w:rsid w:val="002A7F86"/>
    <w:rsid w:val="002B05F2"/>
    <w:rsid w:val="002B1CF4"/>
    <w:rsid w:val="002B207F"/>
    <w:rsid w:val="002B259F"/>
    <w:rsid w:val="002B2FE2"/>
    <w:rsid w:val="002B3DD3"/>
    <w:rsid w:val="002B4471"/>
    <w:rsid w:val="002B456A"/>
    <w:rsid w:val="002B4EB8"/>
    <w:rsid w:val="002B7F62"/>
    <w:rsid w:val="002C072F"/>
    <w:rsid w:val="002C0A89"/>
    <w:rsid w:val="002C1B39"/>
    <w:rsid w:val="002C2D92"/>
    <w:rsid w:val="002C3FF2"/>
    <w:rsid w:val="002C4414"/>
    <w:rsid w:val="002C5B17"/>
    <w:rsid w:val="002C5EE1"/>
    <w:rsid w:val="002C6187"/>
    <w:rsid w:val="002D0089"/>
    <w:rsid w:val="002D1112"/>
    <w:rsid w:val="002D15B3"/>
    <w:rsid w:val="002D2AD0"/>
    <w:rsid w:val="002D2AF4"/>
    <w:rsid w:val="002D3315"/>
    <w:rsid w:val="002D3495"/>
    <w:rsid w:val="002D38BE"/>
    <w:rsid w:val="002D3F6A"/>
    <w:rsid w:val="002D4377"/>
    <w:rsid w:val="002D44A4"/>
    <w:rsid w:val="002D4B92"/>
    <w:rsid w:val="002D4C60"/>
    <w:rsid w:val="002D4F1E"/>
    <w:rsid w:val="002D5359"/>
    <w:rsid w:val="002D5795"/>
    <w:rsid w:val="002D6175"/>
    <w:rsid w:val="002E0EDC"/>
    <w:rsid w:val="002E4845"/>
    <w:rsid w:val="002E4A00"/>
    <w:rsid w:val="002E589D"/>
    <w:rsid w:val="002E6DD9"/>
    <w:rsid w:val="002E714A"/>
    <w:rsid w:val="002E7320"/>
    <w:rsid w:val="002E7BCB"/>
    <w:rsid w:val="002F0841"/>
    <w:rsid w:val="002F0994"/>
    <w:rsid w:val="002F0EF7"/>
    <w:rsid w:val="002F3350"/>
    <w:rsid w:val="002F5C5F"/>
    <w:rsid w:val="002F6BC7"/>
    <w:rsid w:val="002F784C"/>
    <w:rsid w:val="002F7C97"/>
    <w:rsid w:val="00300314"/>
    <w:rsid w:val="00300BA5"/>
    <w:rsid w:val="003011B3"/>
    <w:rsid w:val="00301DC2"/>
    <w:rsid w:val="00302899"/>
    <w:rsid w:val="00303CA1"/>
    <w:rsid w:val="0030411A"/>
    <w:rsid w:val="003044A0"/>
    <w:rsid w:val="00305B2E"/>
    <w:rsid w:val="0031043F"/>
    <w:rsid w:val="003123BB"/>
    <w:rsid w:val="00313354"/>
    <w:rsid w:val="00313D10"/>
    <w:rsid w:val="00314F76"/>
    <w:rsid w:val="0031519F"/>
    <w:rsid w:val="00315577"/>
    <w:rsid w:val="00317889"/>
    <w:rsid w:val="00321B59"/>
    <w:rsid w:val="0032244B"/>
    <w:rsid w:val="00322456"/>
    <w:rsid w:val="00324E5B"/>
    <w:rsid w:val="00326C52"/>
    <w:rsid w:val="00327C46"/>
    <w:rsid w:val="00330667"/>
    <w:rsid w:val="00330A65"/>
    <w:rsid w:val="00332C1A"/>
    <w:rsid w:val="0033376B"/>
    <w:rsid w:val="00335031"/>
    <w:rsid w:val="00336540"/>
    <w:rsid w:val="00336DDB"/>
    <w:rsid w:val="0033754A"/>
    <w:rsid w:val="00340831"/>
    <w:rsid w:val="00340AE7"/>
    <w:rsid w:val="003412F5"/>
    <w:rsid w:val="003415A2"/>
    <w:rsid w:val="00341FE1"/>
    <w:rsid w:val="003428F6"/>
    <w:rsid w:val="003429E0"/>
    <w:rsid w:val="003435F8"/>
    <w:rsid w:val="00343B44"/>
    <w:rsid w:val="00343CB3"/>
    <w:rsid w:val="00345D8F"/>
    <w:rsid w:val="00346563"/>
    <w:rsid w:val="00347561"/>
    <w:rsid w:val="00353DBB"/>
    <w:rsid w:val="0035431B"/>
    <w:rsid w:val="00354EEF"/>
    <w:rsid w:val="0035573B"/>
    <w:rsid w:val="003557D8"/>
    <w:rsid w:val="0035689E"/>
    <w:rsid w:val="00356D86"/>
    <w:rsid w:val="00357FCC"/>
    <w:rsid w:val="003601A1"/>
    <w:rsid w:val="003603D9"/>
    <w:rsid w:val="00360C42"/>
    <w:rsid w:val="003614CD"/>
    <w:rsid w:val="003626FD"/>
    <w:rsid w:val="003637E9"/>
    <w:rsid w:val="003659D1"/>
    <w:rsid w:val="00367486"/>
    <w:rsid w:val="00367B73"/>
    <w:rsid w:val="00370723"/>
    <w:rsid w:val="003743E9"/>
    <w:rsid w:val="00374D82"/>
    <w:rsid w:val="00377C60"/>
    <w:rsid w:val="00380372"/>
    <w:rsid w:val="00380898"/>
    <w:rsid w:val="00384820"/>
    <w:rsid w:val="00384CD3"/>
    <w:rsid w:val="00384EFA"/>
    <w:rsid w:val="003856F9"/>
    <w:rsid w:val="003866DA"/>
    <w:rsid w:val="003919F6"/>
    <w:rsid w:val="003922DC"/>
    <w:rsid w:val="003924F6"/>
    <w:rsid w:val="00392924"/>
    <w:rsid w:val="00395B9B"/>
    <w:rsid w:val="0039768C"/>
    <w:rsid w:val="003A026A"/>
    <w:rsid w:val="003A23AF"/>
    <w:rsid w:val="003A337B"/>
    <w:rsid w:val="003A41F8"/>
    <w:rsid w:val="003A69DC"/>
    <w:rsid w:val="003A6FD3"/>
    <w:rsid w:val="003A7226"/>
    <w:rsid w:val="003B0196"/>
    <w:rsid w:val="003B0285"/>
    <w:rsid w:val="003B32EC"/>
    <w:rsid w:val="003B3A85"/>
    <w:rsid w:val="003B47E4"/>
    <w:rsid w:val="003B517A"/>
    <w:rsid w:val="003B63F3"/>
    <w:rsid w:val="003B657E"/>
    <w:rsid w:val="003B72E4"/>
    <w:rsid w:val="003C0283"/>
    <w:rsid w:val="003C060E"/>
    <w:rsid w:val="003C1924"/>
    <w:rsid w:val="003C29E6"/>
    <w:rsid w:val="003C2F3D"/>
    <w:rsid w:val="003C39F2"/>
    <w:rsid w:val="003C41CB"/>
    <w:rsid w:val="003C58DD"/>
    <w:rsid w:val="003C6AB4"/>
    <w:rsid w:val="003C6BF1"/>
    <w:rsid w:val="003C7421"/>
    <w:rsid w:val="003C7506"/>
    <w:rsid w:val="003D0C5C"/>
    <w:rsid w:val="003D1BCE"/>
    <w:rsid w:val="003D27A6"/>
    <w:rsid w:val="003D3013"/>
    <w:rsid w:val="003D3C25"/>
    <w:rsid w:val="003D4AB2"/>
    <w:rsid w:val="003D4ED8"/>
    <w:rsid w:val="003D4EF8"/>
    <w:rsid w:val="003D58BA"/>
    <w:rsid w:val="003D5DF8"/>
    <w:rsid w:val="003D64F8"/>
    <w:rsid w:val="003D67AD"/>
    <w:rsid w:val="003E1876"/>
    <w:rsid w:val="003E1C71"/>
    <w:rsid w:val="003E307D"/>
    <w:rsid w:val="003E37CD"/>
    <w:rsid w:val="003E3DE2"/>
    <w:rsid w:val="003E3E99"/>
    <w:rsid w:val="003E4AB5"/>
    <w:rsid w:val="003E561E"/>
    <w:rsid w:val="003E68DD"/>
    <w:rsid w:val="003E7853"/>
    <w:rsid w:val="003F0996"/>
    <w:rsid w:val="003F1687"/>
    <w:rsid w:val="003F2752"/>
    <w:rsid w:val="003F3975"/>
    <w:rsid w:val="003F3C2D"/>
    <w:rsid w:val="003F3DAB"/>
    <w:rsid w:val="003F3E2B"/>
    <w:rsid w:val="003F4D95"/>
    <w:rsid w:val="003F597A"/>
    <w:rsid w:val="003F604F"/>
    <w:rsid w:val="003F61DF"/>
    <w:rsid w:val="003F72EA"/>
    <w:rsid w:val="004005DB"/>
    <w:rsid w:val="0040440B"/>
    <w:rsid w:val="00406DFD"/>
    <w:rsid w:val="004079A9"/>
    <w:rsid w:val="004129B9"/>
    <w:rsid w:val="00412CC4"/>
    <w:rsid w:val="004157D7"/>
    <w:rsid w:val="00415C84"/>
    <w:rsid w:val="0041621A"/>
    <w:rsid w:val="00417B4A"/>
    <w:rsid w:val="00422285"/>
    <w:rsid w:val="00422517"/>
    <w:rsid w:val="004229B4"/>
    <w:rsid w:val="00422BE0"/>
    <w:rsid w:val="00423465"/>
    <w:rsid w:val="00426397"/>
    <w:rsid w:val="00426B6E"/>
    <w:rsid w:val="004305DB"/>
    <w:rsid w:val="00431D87"/>
    <w:rsid w:val="004332ED"/>
    <w:rsid w:val="00434C2C"/>
    <w:rsid w:val="00435D10"/>
    <w:rsid w:val="00441867"/>
    <w:rsid w:val="00443A9F"/>
    <w:rsid w:val="0044411E"/>
    <w:rsid w:val="00451710"/>
    <w:rsid w:val="004519E7"/>
    <w:rsid w:val="00451BDF"/>
    <w:rsid w:val="00451EBD"/>
    <w:rsid w:val="00452ED1"/>
    <w:rsid w:val="00453DC8"/>
    <w:rsid w:val="004558BF"/>
    <w:rsid w:val="004569BC"/>
    <w:rsid w:val="00457018"/>
    <w:rsid w:val="0045748E"/>
    <w:rsid w:val="00457841"/>
    <w:rsid w:val="00457BC9"/>
    <w:rsid w:val="00460F69"/>
    <w:rsid w:val="004614F2"/>
    <w:rsid w:val="00461D0C"/>
    <w:rsid w:val="004629D9"/>
    <w:rsid w:val="0046316A"/>
    <w:rsid w:val="00463DC2"/>
    <w:rsid w:val="00463E1D"/>
    <w:rsid w:val="00465855"/>
    <w:rsid w:val="00466BCD"/>
    <w:rsid w:val="004672E3"/>
    <w:rsid w:val="0047046D"/>
    <w:rsid w:val="004710A5"/>
    <w:rsid w:val="004730EB"/>
    <w:rsid w:val="0047369A"/>
    <w:rsid w:val="00473C63"/>
    <w:rsid w:val="00473E0B"/>
    <w:rsid w:val="00476404"/>
    <w:rsid w:val="00476F46"/>
    <w:rsid w:val="0048002E"/>
    <w:rsid w:val="004810C5"/>
    <w:rsid w:val="00483357"/>
    <w:rsid w:val="00483DBB"/>
    <w:rsid w:val="00483E7C"/>
    <w:rsid w:val="00484A92"/>
    <w:rsid w:val="00485898"/>
    <w:rsid w:val="0048603D"/>
    <w:rsid w:val="00487D74"/>
    <w:rsid w:val="004905B6"/>
    <w:rsid w:val="00492302"/>
    <w:rsid w:val="004931F4"/>
    <w:rsid w:val="00494DBD"/>
    <w:rsid w:val="0049521F"/>
    <w:rsid w:val="00495647"/>
    <w:rsid w:val="004959DC"/>
    <w:rsid w:val="00497906"/>
    <w:rsid w:val="004A01DC"/>
    <w:rsid w:val="004A1AF3"/>
    <w:rsid w:val="004A1B30"/>
    <w:rsid w:val="004A2FC2"/>
    <w:rsid w:val="004A5A89"/>
    <w:rsid w:val="004A6413"/>
    <w:rsid w:val="004A6875"/>
    <w:rsid w:val="004A697E"/>
    <w:rsid w:val="004B0AD5"/>
    <w:rsid w:val="004B1E38"/>
    <w:rsid w:val="004B2BDC"/>
    <w:rsid w:val="004B376A"/>
    <w:rsid w:val="004B4402"/>
    <w:rsid w:val="004B5E08"/>
    <w:rsid w:val="004B6210"/>
    <w:rsid w:val="004B645B"/>
    <w:rsid w:val="004B6B47"/>
    <w:rsid w:val="004B6B50"/>
    <w:rsid w:val="004B721A"/>
    <w:rsid w:val="004B78E8"/>
    <w:rsid w:val="004C092C"/>
    <w:rsid w:val="004C0FDA"/>
    <w:rsid w:val="004C111B"/>
    <w:rsid w:val="004C15EF"/>
    <w:rsid w:val="004C2C3C"/>
    <w:rsid w:val="004C31C4"/>
    <w:rsid w:val="004C4C20"/>
    <w:rsid w:val="004C6597"/>
    <w:rsid w:val="004D2B42"/>
    <w:rsid w:val="004D39DE"/>
    <w:rsid w:val="004D3EEF"/>
    <w:rsid w:val="004D4507"/>
    <w:rsid w:val="004D56CF"/>
    <w:rsid w:val="004E0A30"/>
    <w:rsid w:val="004E311C"/>
    <w:rsid w:val="004E38B5"/>
    <w:rsid w:val="004E5A96"/>
    <w:rsid w:val="004E690F"/>
    <w:rsid w:val="004E6D39"/>
    <w:rsid w:val="004E72BF"/>
    <w:rsid w:val="004F1086"/>
    <w:rsid w:val="004F1934"/>
    <w:rsid w:val="004F2C13"/>
    <w:rsid w:val="004F4327"/>
    <w:rsid w:val="004F4800"/>
    <w:rsid w:val="004F54A4"/>
    <w:rsid w:val="004F57F8"/>
    <w:rsid w:val="004F59D0"/>
    <w:rsid w:val="004F5FD8"/>
    <w:rsid w:val="004F6406"/>
    <w:rsid w:val="004F7114"/>
    <w:rsid w:val="005007E4"/>
    <w:rsid w:val="005008E4"/>
    <w:rsid w:val="00500EAF"/>
    <w:rsid w:val="00500FD5"/>
    <w:rsid w:val="0050159B"/>
    <w:rsid w:val="005020F3"/>
    <w:rsid w:val="00502DC4"/>
    <w:rsid w:val="005066F7"/>
    <w:rsid w:val="00507498"/>
    <w:rsid w:val="00507767"/>
    <w:rsid w:val="00511760"/>
    <w:rsid w:val="00512A3A"/>
    <w:rsid w:val="00514FCE"/>
    <w:rsid w:val="0052110F"/>
    <w:rsid w:val="005212D5"/>
    <w:rsid w:val="0052181C"/>
    <w:rsid w:val="00522241"/>
    <w:rsid w:val="00522949"/>
    <w:rsid w:val="00522F9C"/>
    <w:rsid w:val="00523356"/>
    <w:rsid w:val="005239AD"/>
    <w:rsid w:val="0052437A"/>
    <w:rsid w:val="00525874"/>
    <w:rsid w:val="0052651D"/>
    <w:rsid w:val="00527D70"/>
    <w:rsid w:val="00530A79"/>
    <w:rsid w:val="005319F2"/>
    <w:rsid w:val="00532819"/>
    <w:rsid w:val="00532DAE"/>
    <w:rsid w:val="005338CF"/>
    <w:rsid w:val="00534089"/>
    <w:rsid w:val="00534769"/>
    <w:rsid w:val="00536615"/>
    <w:rsid w:val="005368E0"/>
    <w:rsid w:val="00536EA1"/>
    <w:rsid w:val="00536F28"/>
    <w:rsid w:val="005374D2"/>
    <w:rsid w:val="00537567"/>
    <w:rsid w:val="00537C2A"/>
    <w:rsid w:val="00540430"/>
    <w:rsid w:val="00540433"/>
    <w:rsid w:val="00540B6C"/>
    <w:rsid w:val="00541B5B"/>
    <w:rsid w:val="00541E0E"/>
    <w:rsid w:val="005422B0"/>
    <w:rsid w:val="005432C6"/>
    <w:rsid w:val="005432E0"/>
    <w:rsid w:val="0054381E"/>
    <w:rsid w:val="00543EFA"/>
    <w:rsid w:val="00544F88"/>
    <w:rsid w:val="00545F9D"/>
    <w:rsid w:val="00546285"/>
    <w:rsid w:val="0055199F"/>
    <w:rsid w:val="00551ED9"/>
    <w:rsid w:val="00553F93"/>
    <w:rsid w:val="00554009"/>
    <w:rsid w:val="005563D1"/>
    <w:rsid w:val="005563FD"/>
    <w:rsid w:val="00557A50"/>
    <w:rsid w:val="00561ED2"/>
    <w:rsid w:val="005627ED"/>
    <w:rsid w:val="00562844"/>
    <w:rsid w:val="0056301E"/>
    <w:rsid w:val="00563C88"/>
    <w:rsid w:val="005665A9"/>
    <w:rsid w:val="0057022A"/>
    <w:rsid w:val="005711AD"/>
    <w:rsid w:val="00572352"/>
    <w:rsid w:val="0057244A"/>
    <w:rsid w:val="00572F64"/>
    <w:rsid w:val="00573722"/>
    <w:rsid w:val="00576005"/>
    <w:rsid w:val="005763FC"/>
    <w:rsid w:val="00580918"/>
    <w:rsid w:val="00581EBF"/>
    <w:rsid w:val="00582147"/>
    <w:rsid w:val="00582875"/>
    <w:rsid w:val="00582D1B"/>
    <w:rsid w:val="00583168"/>
    <w:rsid w:val="005832CA"/>
    <w:rsid w:val="005838D6"/>
    <w:rsid w:val="00585E53"/>
    <w:rsid w:val="0058679C"/>
    <w:rsid w:val="00587573"/>
    <w:rsid w:val="00587D8B"/>
    <w:rsid w:val="00590C71"/>
    <w:rsid w:val="00594C6E"/>
    <w:rsid w:val="0059549A"/>
    <w:rsid w:val="0059721E"/>
    <w:rsid w:val="005A0307"/>
    <w:rsid w:val="005A0A03"/>
    <w:rsid w:val="005A0A26"/>
    <w:rsid w:val="005A1E2A"/>
    <w:rsid w:val="005A3BEF"/>
    <w:rsid w:val="005A4766"/>
    <w:rsid w:val="005A4931"/>
    <w:rsid w:val="005A4FE4"/>
    <w:rsid w:val="005A530B"/>
    <w:rsid w:val="005A789E"/>
    <w:rsid w:val="005B569C"/>
    <w:rsid w:val="005B5788"/>
    <w:rsid w:val="005B7CD0"/>
    <w:rsid w:val="005C1838"/>
    <w:rsid w:val="005C1C21"/>
    <w:rsid w:val="005C221E"/>
    <w:rsid w:val="005C285E"/>
    <w:rsid w:val="005C3417"/>
    <w:rsid w:val="005C3A17"/>
    <w:rsid w:val="005C66B1"/>
    <w:rsid w:val="005D0114"/>
    <w:rsid w:val="005D0D1F"/>
    <w:rsid w:val="005D0EBC"/>
    <w:rsid w:val="005D16FA"/>
    <w:rsid w:val="005D22B2"/>
    <w:rsid w:val="005D27B8"/>
    <w:rsid w:val="005D294F"/>
    <w:rsid w:val="005D4183"/>
    <w:rsid w:val="005D65CF"/>
    <w:rsid w:val="005D7BBA"/>
    <w:rsid w:val="005D7F34"/>
    <w:rsid w:val="005E0779"/>
    <w:rsid w:val="005E0CAB"/>
    <w:rsid w:val="005E14D7"/>
    <w:rsid w:val="005E1716"/>
    <w:rsid w:val="005E1742"/>
    <w:rsid w:val="005E269B"/>
    <w:rsid w:val="005E2E7E"/>
    <w:rsid w:val="005E69F0"/>
    <w:rsid w:val="005E6D06"/>
    <w:rsid w:val="005E6D68"/>
    <w:rsid w:val="005F2FAB"/>
    <w:rsid w:val="005F3165"/>
    <w:rsid w:val="005F3B1B"/>
    <w:rsid w:val="005F3CD2"/>
    <w:rsid w:val="005F47D5"/>
    <w:rsid w:val="005F6D85"/>
    <w:rsid w:val="005F70A8"/>
    <w:rsid w:val="006006B7"/>
    <w:rsid w:val="0060074A"/>
    <w:rsid w:val="00600FEC"/>
    <w:rsid w:val="00601507"/>
    <w:rsid w:val="00601B1C"/>
    <w:rsid w:val="00602A7A"/>
    <w:rsid w:val="00603296"/>
    <w:rsid w:val="00606202"/>
    <w:rsid w:val="00606CC4"/>
    <w:rsid w:val="00606F31"/>
    <w:rsid w:val="00607AFF"/>
    <w:rsid w:val="006114DF"/>
    <w:rsid w:val="006121A9"/>
    <w:rsid w:val="0061225C"/>
    <w:rsid w:val="00612416"/>
    <w:rsid w:val="00615912"/>
    <w:rsid w:val="00615920"/>
    <w:rsid w:val="00615B51"/>
    <w:rsid w:val="00616513"/>
    <w:rsid w:val="006206DD"/>
    <w:rsid w:val="006224F2"/>
    <w:rsid w:val="006246E3"/>
    <w:rsid w:val="00625851"/>
    <w:rsid w:val="006259F9"/>
    <w:rsid w:val="0062752E"/>
    <w:rsid w:val="00630F09"/>
    <w:rsid w:val="00631C92"/>
    <w:rsid w:val="006342A9"/>
    <w:rsid w:val="006351CE"/>
    <w:rsid w:val="00636B91"/>
    <w:rsid w:val="00637A27"/>
    <w:rsid w:val="00637F09"/>
    <w:rsid w:val="00641972"/>
    <w:rsid w:val="00642444"/>
    <w:rsid w:val="006442D7"/>
    <w:rsid w:val="00644370"/>
    <w:rsid w:val="00644DCC"/>
    <w:rsid w:val="00646013"/>
    <w:rsid w:val="00646617"/>
    <w:rsid w:val="00646CAE"/>
    <w:rsid w:val="0064719A"/>
    <w:rsid w:val="00647B8B"/>
    <w:rsid w:val="00650186"/>
    <w:rsid w:val="0065071F"/>
    <w:rsid w:val="00650B01"/>
    <w:rsid w:val="00652A87"/>
    <w:rsid w:val="00652ABB"/>
    <w:rsid w:val="00652C5D"/>
    <w:rsid w:val="00653814"/>
    <w:rsid w:val="00653F14"/>
    <w:rsid w:val="00654250"/>
    <w:rsid w:val="00654B42"/>
    <w:rsid w:val="00654DD9"/>
    <w:rsid w:val="00656738"/>
    <w:rsid w:val="0065704E"/>
    <w:rsid w:val="00660B13"/>
    <w:rsid w:val="00661FED"/>
    <w:rsid w:val="00662227"/>
    <w:rsid w:val="00662E90"/>
    <w:rsid w:val="00662FF9"/>
    <w:rsid w:val="00664481"/>
    <w:rsid w:val="00664964"/>
    <w:rsid w:val="00664C19"/>
    <w:rsid w:val="00664C5E"/>
    <w:rsid w:val="00666725"/>
    <w:rsid w:val="0066789F"/>
    <w:rsid w:val="0067448D"/>
    <w:rsid w:val="0067478E"/>
    <w:rsid w:val="006756D6"/>
    <w:rsid w:val="006764FF"/>
    <w:rsid w:val="00676601"/>
    <w:rsid w:val="006773BB"/>
    <w:rsid w:val="00680C60"/>
    <w:rsid w:val="0068244E"/>
    <w:rsid w:val="00686507"/>
    <w:rsid w:val="00686B19"/>
    <w:rsid w:val="00686DFE"/>
    <w:rsid w:val="00690C88"/>
    <w:rsid w:val="0069111E"/>
    <w:rsid w:val="00692891"/>
    <w:rsid w:val="0069399C"/>
    <w:rsid w:val="006944BA"/>
    <w:rsid w:val="00694BFD"/>
    <w:rsid w:val="0069579F"/>
    <w:rsid w:val="006974CB"/>
    <w:rsid w:val="00697C66"/>
    <w:rsid w:val="006A0679"/>
    <w:rsid w:val="006A1A7C"/>
    <w:rsid w:val="006A3D93"/>
    <w:rsid w:val="006A3E1F"/>
    <w:rsid w:val="006A3F3D"/>
    <w:rsid w:val="006A6A54"/>
    <w:rsid w:val="006A7BA7"/>
    <w:rsid w:val="006B158E"/>
    <w:rsid w:val="006B211C"/>
    <w:rsid w:val="006B3A5B"/>
    <w:rsid w:val="006B3E39"/>
    <w:rsid w:val="006B5042"/>
    <w:rsid w:val="006B5158"/>
    <w:rsid w:val="006B66BA"/>
    <w:rsid w:val="006C0DC7"/>
    <w:rsid w:val="006C1907"/>
    <w:rsid w:val="006C26AA"/>
    <w:rsid w:val="006C4137"/>
    <w:rsid w:val="006C49A9"/>
    <w:rsid w:val="006C5838"/>
    <w:rsid w:val="006C5ED1"/>
    <w:rsid w:val="006C65FB"/>
    <w:rsid w:val="006C7CBC"/>
    <w:rsid w:val="006D0441"/>
    <w:rsid w:val="006D090F"/>
    <w:rsid w:val="006D4B41"/>
    <w:rsid w:val="006D5B16"/>
    <w:rsid w:val="006D5E6F"/>
    <w:rsid w:val="006D62C4"/>
    <w:rsid w:val="006D78C5"/>
    <w:rsid w:val="006D7FFA"/>
    <w:rsid w:val="006E18AF"/>
    <w:rsid w:val="006E244C"/>
    <w:rsid w:val="006E32DB"/>
    <w:rsid w:val="006E445C"/>
    <w:rsid w:val="006E475C"/>
    <w:rsid w:val="006E5A22"/>
    <w:rsid w:val="006E6BE2"/>
    <w:rsid w:val="006F1873"/>
    <w:rsid w:val="006F31E2"/>
    <w:rsid w:val="006F3866"/>
    <w:rsid w:val="006F5380"/>
    <w:rsid w:val="006F5CE3"/>
    <w:rsid w:val="006F7349"/>
    <w:rsid w:val="006F7489"/>
    <w:rsid w:val="00700B41"/>
    <w:rsid w:val="00701430"/>
    <w:rsid w:val="00701534"/>
    <w:rsid w:val="007037B9"/>
    <w:rsid w:val="00705452"/>
    <w:rsid w:val="00705AB1"/>
    <w:rsid w:val="007061B9"/>
    <w:rsid w:val="007064AD"/>
    <w:rsid w:val="00706A0A"/>
    <w:rsid w:val="00707159"/>
    <w:rsid w:val="007073C4"/>
    <w:rsid w:val="007077DB"/>
    <w:rsid w:val="0071197A"/>
    <w:rsid w:val="00715CEE"/>
    <w:rsid w:val="00716397"/>
    <w:rsid w:val="007169D7"/>
    <w:rsid w:val="00720668"/>
    <w:rsid w:val="00720D91"/>
    <w:rsid w:val="00723F05"/>
    <w:rsid w:val="007254B6"/>
    <w:rsid w:val="00726CF8"/>
    <w:rsid w:val="007278C2"/>
    <w:rsid w:val="00730932"/>
    <w:rsid w:val="00730E89"/>
    <w:rsid w:val="00731565"/>
    <w:rsid w:val="00732879"/>
    <w:rsid w:val="0073474F"/>
    <w:rsid w:val="007364EA"/>
    <w:rsid w:val="00741472"/>
    <w:rsid w:val="00741F25"/>
    <w:rsid w:val="0074320A"/>
    <w:rsid w:val="00743409"/>
    <w:rsid w:val="0074346B"/>
    <w:rsid w:val="00743979"/>
    <w:rsid w:val="00743E35"/>
    <w:rsid w:val="00745CA3"/>
    <w:rsid w:val="00745EC5"/>
    <w:rsid w:val="007511C8"/>
    <w:rsid w:val="0075247E"/>
    <w:rsid w:val="0075527D"/>
    <w:rsid w:val="00755CBF"/>
    <w:rsid w:val="00755E51"/>
    <w:rsid w:val="007563CB"/>
    <w:rsid w:val="00757F46"/>
    <w:rsid w:val="007601DC"/>
    <w:rsid w:val="00760851"/>
    <w:rsid w:val="007609E3"/>
    <w:rsid w:val="007614E9"/>
    <w:rsid w:val="0076296A"/>
    <w:rsid w:val="00762A49"/>
    <w:rsid w:val="00763F87"/>
    <w:rsid w:val="00764EFA"/>
    <w:rsid w:val="007661B6"/>
    <w:rsid w:val="007701D8"/>
    <w:rsid w:val="00770568"/>
    <w:rsid w:val="00770F1C"/>
    <w:rsid w:val="007716FE"/>
    <w:rsid w:val="00775DDC"/>
    <w:rsid w:val="00776B03"/>
    <w:rsid w:val="00777F36"/>
    <w:rsid w:val="007824AF"/>
    <w:rsid w:val="00783372"/>
    <w:rsid w:val="00783788"/>
    <w:rsid w:val="00784069"/>
    <w:rsid w:val="00784212"/>
    <w:rsid w:val="0078543E"/>
    <w:rsid w:val="00785757"/>
    <w:rsid w:val="00786FCC"/>
    <w:rsid w:val="00787F0A"/>
    <w:rsid w:val="00790798"/>
    <w:rsid w:val="00790B86"/>
    <w:rsid w:val="007910A1"/>
    <w:rsid w:val="007912BD"/>
    <w:rsid w:val="0079396C"/>
    <w:rsid w:val="00794578"/>
    <w:rsid w:val="00797B2B"/>
    <w:rsid w:val="007A02CE"/>
    <w:rsid w:val="007A12F9"/>
    <w:rsid w:val="007A131F"/>
    <w:rsid w:val="007A208B"/>
    <w:rsid w:val="007A23D0"/>
    <w:rsid w:val="007A30EE"/>
    <w:rsid w:val="007A3FC5"/>
    <w:rsid w:val="007A44D4"/>
    <w:rsid w:val="007A5904"/>
    <w:rsid w:val="007A5FDC"/>
    <w:rsid w:val="007A63CA"/>
    <w:rsid w:val="007A6A22"/>
    <w:rsid w:val="007B0E04"/>
    <w:rsid w:val="007B22E2"/>
    <w:rsid w:val="007B27A7"/>
    <w:rsid w:val="007B2AAC"/>
    <w:rsid w:val="007B43B4"/>
    <w:rsid w:val="007B5E28"/>
    <w:rsid w:val="007B6555"/>
    <w:rsid w:val="007B718F"/>
    <w:rsid w:val="007B7DC2"/>
    <w:rsid w:val="007C0E8B"/>
    <w:rsid w:val="007C11F9"/>
    <w:rsid w:val="007C1248"/>
    <w:rsid w:val="007C17F9"/>
    <w:rsid w:val="007C2029"/>
    <w:rsid w:val="007C204A"/>
    <w:rsid w:val="007C226B"/>
    <w:rsid w:val="007C25E8"/>
    <w:rsid w:val="007C3F4E"/>
    <w:rsid w:val="007C5362"/>
    <w:rsid w:val="007C70FF"/>
    <w:rsid w:val="007C7F54"/>
    <w:rsid w:val="007D0041"/>
    <w:rsid w:val="007D1C83"/>
    <w:rsid w:val="007D23CD"/>
    <w:rsid w:val="007D2440"/>
    <w:rsid w:val="007D24BA"/>
    <w:rsid w:val="007D53A3"/>
    <w:rsid w:val="007D6196"/>
    <w:rsid w:val="007D6969"/>
    <w:rsid w:val="007D6A77"/>
    <w:rsid w:val="007D7DFD"/>
    <w:rsid w:val="007E0D87"/>
    <w:rsid w:val="007E1F15"/>
    <w:rsid w:val="007E1F18"/>
    <w:rsid w:val="007E3CD8"/>
    <w:rsid w:val="007E482E"/>
    <w:rsid w:val="007E5567"/>
    <w:rsid w:val="007E5F7A"/>
    <w:rsid w:val="007E6977"/>
    <w:rsid w:val="007E7217"/>
    <w:rsid w:val="007E7E3A"/>
    <w:rsid w:val="007E7EFD"/>
    <w:rsid w:val="007F0E3C"/>
    <w:rsid w:val="007F0F1B"/>
    <w:rsid w:val="007F1602"/>
    <w:rsid w:val="007F3080"/>
    <w:rsid w:val="007F3F0B"/>
    <w:rsid w:val="007F4BF4"/>
    <w:rsid w:val="007F5451"/>
    <w:rsid w:val="007F5E36"/>
    <w:rsid w:val="007F710A"/>
    <w:rsid w:val="007F7A6A"/>
    <w:rsid w:val="008010D6"/>
    <w:rsid w:val="008010E3"/>
    <w:rsid w:val="00801D99"/>
    <w:rsid w:val="00801E85"/>
    <w:rsid w:val="0080234D"/>
    <w:rsid w:val="008031D4"/>
    <w:rsid w:val="00803BF2"/>
    <w:rsid w:val="008047C9"/>
    <w:rsid w:val="00804CB9"/>
    <w:rsid w:val="00805273"/>
    <w:rsid w:val="008055F6"/>
    <w:rsid w:val="0080586C"/>
    <w:rsid w:val="00805C4A"/>
    <w:rsid w:val="0080660B"/>
    <w:rsid w:val="00806BA3"/>
    <w:rsid w:val="00810BC6"/>
    <w:rsid w:val="00811D89"/>
    <w:rsid w:val="0081290C"/>
    <w:rsid w:val="008129F4"/>
    <w:rsid w:val="00812AF8"/>
    <w:rsid w:val="008130BE"/>
    <w:rsid w:val="00814266"/>
    <w:rsid w:val="00814849"/>
    <w:rsid w:val="008164BF"/>
    <w:rsid w:val="008175AF"/>
    <w:rsid w:val="0081794A"/>
    <w:rsid w:val="00820560"/>
    <w:rsid w:val="00820781"/>
    <w:rsid w:val="00820ADD"/>
    <w:rsid w:val="00820D2B"/>
    <w:rsid w:val="00820E83"/>
    <w:rsid w:val="00821143"/>
    <w:rsid w:val="00821B76"/>
    <w:rsid w:val="00823540"/>
    <w:rsid w:val="00823A3C"/>
    <w:rsid w:val="00823BAC"/>
    <w:rsid w:val="00824285"/>
    <w:rsid w:val="0082630A"/>
    <w:rsid w:val="00826788"/>
    <w:rsid w:val="00826966"/>
    <w:rsid w:val="00830C21"/>
    <w:rsid w:val="00831D22"/>
    <w:rsid w:val="00832B3B"/>
    <w:rsid w:val="00833116"/>
    <w:rsid w:val="008333CC"/>
    <w:rsid w:val="008336C5"/>
    <w:rsid w:val="00833C55"/>
    <w:rsid w:val="00833D20"/>
    <w:rsid w:val="00834AB3"/>
    <w:rsid w:val="00834FDB"/>
    <w:rsid w:val="00835672"/>
    <w:rsid w:val="00835F6F"/>
    <w:rsid w:val="008365E1"/>
    <w:rsid w:val="008366FE"/>
    <w:rsid w:val="00837608"/>
    <w:rsid w:val="00837825"/>
    <w:rsid w:val="00840990"/>
    <w:rsid w:val="008412B0"/>
    <w:rsid w:val="00841F91"/>
    <w:rsid w:val="0084627A"/>
    <w:rsid w:val="00846670"/>
    <w:rsid w:val="008475E8"/>
    <w:rsid w:val="00850065"/>
    <w:rsid w:val="0085071C"/>
    <w:rsid w:val="0085298D"/>
    <w:rsid w:val="00853D06"/>
    <w:rsid w:val="008558D6"/>
    <w:rsid w:val="00856999"/>
    <w:rsid w:val="00856F1E"/>
    <w:rsid w:val="00857844"/>
    <w:rsid w:val="00860DDA"/>
    <w:rsid w:val="00861750"/>
    <w:rsid w:val="00861784"/>
    <w:rsid w:val="008637BB"/>
    <w:rsid w:val="0086528F"/>
    <w:rsid w:val="00866C84"/>
    <w:rsid w:val="00870797"/>
    <w:rsid w:val="00871061"/>
    <w:rsid w:val="0087229C"/>
    <w:rsid w:val="008735C4"/>
    <w:rsid w:val="00874523"/>
    <w:rsid w:val="008747B5"/>
    <w:rsid w:val="00875EA4"/>
    <w:rsid w:val="00877433"/>
    <w:rsid w:val="0088250F"/>
    <w:rsid w:val="00884EB0"/>
    <w:rsid w:val="008851C4"/>
    <w:rsid w:val="00885EA9"/>
    <w:rsid w:val="008867D1"/>
    <w:rsid w:val="00886B7D"/>
    <w:rsid w:val="00886C21"/>
    <w:rsid w:val="00890FB5"/>
    <w:rsid w:val="0089150F"/>
    <w:rsid w:val="00893667"/>
    <w:rsid w:val="00893910"/>
    <w:rsid w:val="00896A23"/>
    <w:rsid w:val="00896CD5"/>
    <w:rsid w:val="00897990"/>
    <w:rsid w:val="008A02BA"/>
    <w:rsid w:val="008A05EC"/>
    <w:rsid w:val="008A1009"/>
    <w:rsid w:val="008A2663"/>
    <w:rsid w:val="008A317E"/>
    <w:rsid w:val="008A4848"/>
    <w:rsid w:val="008A4B10"/>
    <w:rsid w:val="008A64EC"/>
    <w:rsid w:val="008A6C48"/>
    <w:rsid w:val="008A727B"/>
    <w:rsid w:val="008A79F5"/>
    <w:rsid w:val="008B04ED"/>
    <w:rsid w:val="008B07F4"/>
    <w:rsid w:val="008B4261"/>
    <w:rsid w:val="008B4C97"/>
    <w:rsid w:val="008B59A4"/>
    <w:rsid w:val="008C078C"/>
    <w:rsid w:val="008C0C54"/>
    <w:rsid w:val="008C11A8"/>
    <w:rsid w:val="008C296F"/>
    <w:rsid w:val="008C3174"/>
    <w:rsid w:val="008C3337"/>
    <w:rsid w:val="008C51FB"/>
    <w:rsid w:val="008C7201"/>
    <w:rsid w:val="008C73C2"/>
    <w:rsid w:val="008C7B9B"/>
    <w:rsid w:val="008C7CFE"/>
    <w:rsid w:val="008D0CDB"/>
    <w:rsid w:val="008D1192"/>
    <w:rsid w:val="008D1BFA"/>
    <w:rsid w:val="008D26B2"/>
    <w:rsid w:val="008D2BC4"/>
    <w:rsid w:val="008D2F1D"/>
    <w:rsid w:val="008D5B9E"/>
    <w:rsid w:val="008D5EA7"/>
    <w:rsid w:val="008E0F43"/>
    <w:rsid w:val="008E1267"/>
    <w:rsid w:val="008E412C"/>
    <w:rsid w:val="008E63B4"/>
    <w:rsid w:val="008E6569"/>
    <w:rsid w:val="008E665D"/>
    <w:rsid w:val="008E7050"/>
    <w:rsid w:val="008F1738"/>
    <w:rsid w:val="008F505A"/>
    <w:rsid w:val="008F50BF"/>
    <w:rsid w:val="008F5162"/>
    <w:rsid w:val="008F5CE9"/>
    <w:rsid w:val="008F690F"/>
    <w:rsid w:val="008F7D4D"/>
    <w:rsid w:val="00900842"/>
    <w:rsid w:val="00900C75"/>
    <w:rsid w:val="0090164E"/>
    <w:rsid w:val="0090241D"/>
    <w:rsid w:val="009042F1"/>
    <w:rsid w:val="00904A49"/>
    <w:rsid w:val="00906047"/>
    <w:rsid w:val="00906156"/>
    <w:rsid w:val="00906CC9"/>
    <w:rsid w:val="00906F2C"/>
    <w:rsid w:val="009071C6"/>
    <w:rsid w:val="009078A5"/>
    <w:rsid w:val="00907E26"/>
    <w:rsid w:val="00911A91"/>
    <w:rsid w:val="00911C97"/>
    <w:rsid w:val="00913493"/>
    <w:rsid w:val="00913E59"/>
    <w:rsid w:val="00915427"/>
    <w:rsid w:val="00916012"/>
    <w:rsid w:val="00916267"/>
    <w:rsid w:val="00916855"/>
    <w:rsid w:val="009168A8"/>
    <w:rsid w:val="00916CCF"/>
    <w:rsid w:val="009178E5"/>
    <w:rsid w:val="00921A06"/>
    <w:rsid w:val="0092204E"/>
    <w:rsid w:val="00923F6C"/>
    <w:rsid w:val="00924A4B"/>
    <w:rsid w:val="00924CFE"/>
    <w:rsid w:val="00924DB1"/>
    <w:rsid w:val="009263EC"/>
    <w:rsid w:val="00926AFC"/>
    <w:rsid w:val="00927603"/>
    <w:rsid w:val="0092776F"/>
    <w:rsid w:val="00927EEF"/>
    <w:rsid w:val="00930AA2"/>
    <w:rsid w:val="009315BC"/>
    <w:rsid w:val="00932464"/>
    <w:rsid w:val="00932F50"/>
    <w:rsid w:val="00934050"/>
    <w:rsid w:val="00934109"/>
    <w:rsid w:val="0093476D"/>
    <w:rsid w:val="00934D79"/>
    <w:rsid w:val="0093772E"/>
    <w:rsid w:val="00937826"/>
    <w:rsid w:val="00940C3D"/>
    <w:rsid w:val="00941BC1"/>
    <w:rsid w:val="0094272F"/>
    <w:rsid w:val="009430E0"/>
    <w:rsid w:val="009466C5"/>
    <w:rsid w:val="00951F5C"/>
    <w:rsid w:val="009525D0"/>
    <w:rsid w:val="00955D9E"/>
    <w:rsid w:val="009567D6"/>
    <w:rsid w:val="00957A01"/>
    <w:rsid w:val="0096000B"/>
    <w:rsid w:val="00960138"/>
    <w:rsid w:val="00960436"/>
    <w:rsid w:val="0096066C"/>
    <w:rsid w:val="00961694"/>
    <w:rsid w:val="009621A5"/>
    <w:rsid w:val="009630CB"/>
    <w:rsid w:val="00964AA9"/>
    <w:rsid w:val="00965E85"/>
    <w:rsid w:val="00966893"/>
    <w:rsid w:val="009700B8"/>
    <w:rsid w:val="009703FD"/>
    <w:rsid w:val="009708A2"/>
    <w:rsid w:val="009738E3"/>
    <w:rsid w:val="0097511E"/>
    <w:rsid w:val="00976661"/>
    <w:rsid w:val="00977858"/>
    <w:rsid w:val="009801AE"/>
    <w:rsid w:val="00981F47"/>
    <w:rsid w:val="009823ED"/>
    <w:rsid w:val="00982599"/>
    <w:rsid w:val="00986C90"/>
    <w:rsid w:val="00991D8A"/>
    <w:rsid w:val="009938D5"/>
    <w:rsid w:val="00994353"/>
    <w:rsid w:val="00995232"/>
    <w:rsid w:val="00996C69"/>
    <w:rsid w:val="00996F80"/>
    <w:rsid w:val="00997AC5"/>
    <w:rsid w:val="00997FA6"/>
    <w:rsid w:val="009A0627"/>
    <w:rsid w:val="009A11C2"/>
    <w:rsid w:val="009A315F"/>
    <w:rsid w:val="009A3EC3"/>
    <w:rsid w:val="009A3EF6"/>
    <w:rsid w:val="009A5E8D"/>
    <w:rsid w:val="009A6EC0"/>
    <w:rsid w:val="009A78B5"/>
    <w:rsid w:val="009B2306"/>
    <w:rsid w:val="009B444B"/>
    <w:rsid w:val="009B4E72"/>
    <w:rsid w:val="009B5012"/>
    <w:rsid w:val="009B5EBE"/>
    <w:rsid w:val="009B67BF"/>
    <w:rsid w:val="009B7596"/>
    <w:rsid w:val="009B7F18"/>
    <w:rsid w:val="009C01F8"/>
    <w:rsid w:val="009C232D"/>
    <w:rsid w:val="009C263D"/>
    <w:rsid w:val="009C281E"/>
    <w:rsid w:val="009C2F27"/>
    <w:rsid w:val="009C33C1"/>
    <w:rsid w:val="009C36E5"/>
    <w:rsid w:val="009C4D5C"/>
    <w:rsid w:val="009C5319"/>
    <w:rsid w:val="009C5577"/>
    <w:rsid w:val="009C5BC6"/>
    <w:rsid w:val="009C5E48"/>
    <w:rsid w:val="009D0D83"/>
    <w:rsid w:val="009D21BF"/>
    <w:rsid w:val="009D477A"/>
    <w:rsid w:val="009D56BA"/>
    <w:rsid w:val="009D604F"/>
    <w:rsid w:val="009E0F82"/>
    <w:rsid w:val="009E1415"/>
    <w:rsid w:val="009E1453"/>
    <w:rsid w:val="009E194D"/>
    <w:rsid w:val="009E1E01"/>
    <w:rsid w:val="009E1E51"/>
    <w:rsid w:val="009E3E22"/>
    <w:rsid w:val="009E442B"/>
    <w:rsid w:val="009E4DE4"/>
    <w:rsid w:val="009E6B35"/>
    <w:rsid w:val="009E707B"/>
    <w:rsid w:val="009E7DD2"/>
    <w:rsid w:val="009F0B6F"/>
    <w:rsid w:val="009F2445"/>
    <w:rsid w:val="009F2CB2"/>
    <w:rsid w:val="009F3E2A"/>
    <w:rsid w:val="009F4D6B"/>
    <w:rsid w:val="009F501E"/>
    <w:rsid w:val="009F7BC5"/>
    <w:rsid w:val="00A00E2D"/>
    <w:rsid w:val="00A02556"/>
    <w:rsid w:val="00A03146"/>
    <w:rsid w:val="00A03EB5"/>
    <w:rsid w:val="00A05941"/>
    <w:rsid w:val="00A062F5"/>
    <w:rsid w:val="00A06A01"/>
    <w:rsid w:val="00A06B07"/>
    <w:rsid w:val="00A06E28"/>
    <w:rsid w:val="00A07823"/>
    <w:rsid w:val="00A101DB"/>
    <w:rsid w:val="00A115E0"/>
    <w:rsid w:val="00A11DE9"/>
    <w:rsid w:val="00A11FC1"/>
    <w:rsid w:val="00A12A45"/>
    <w:rsid w:val="00A132DE"/>
    <w:rsid w:val="00A1338E"/>
    <w:rsid w:val="00A138F7"/>
    <w:rsid w:val="00A13F4D"/>
    <w:rsid w:val="00A13FAF"/>
    <w:rsid w:val="00A14159"/>
    <w:rsid w:val="00A14725"/>
    <w:rsid w:val="00A16367"/>
    <w:rsid w:val="00A1687F"/>
    <w:rsid w:val="00A16F63"/>
    <w:rsid w:val="00A17271"/>
    <w:rsid w:val="00A17B7F"/>
    <w:rsid w:val="00A20892"/>
    <w:rsid w:val="00A225CA"/>
    <w:rsid w:val="00A2271E"/>
    <w:rsid w:val="00A23668"/>
    <w:rsid w:val="00A27015"/>
    <w:rsid w:val="00A30534"/>
    <w:rsid w:val="00A30E1C"/>
    <w:rsid w:val="00A319E0"/>
    <w:rsid w:val="00A320E3"/>
    <w:rsid w:val="00A327F4"/>
    <w:rsid w:val="00A32E39"/>
    <w:rsid w:val="00A35BF6"/>
    <w:rsid w:val="00A36820"/>
    <w:rsid w:val="00A3684B"/>
    <w:rsid w:val="00A37D11"/>
    <w:rsid w:val="00A37F54"/>
    <w:rsid w:val="00A40052"/>
    <w:rsid w:val="00A40A1C"/>
    <w:rsid w:val="00A418AD"/>
    <w:rsid w:val="00A41ACF"/>
    <w:rsid w:val="00A41EE1"/>
    <w:rsid w:val="00A4245C"/>
    <w:rsid w:val="00A42597"/>
    <w:rsid w:val="00A46586"/>
    <w:rsid w:val="00A477D2"/>
    <w:rsid w:val="00A5158D"/>
    <w:rsid w:val="00A530A3"/>
    <w:rsid w:val="00A54316"/>
    <w:rsid w:val="00A57AD8"/>
    <w:rsid w:val="00A62282"/>
    <w:rsid w:val="00A6313A"/>
    <w:rsid w:val="00A6316F"/>
    <w:rsid w:val="00A63A96"/>
    <w:rsid w:val="00A64DBF"/>
    <w:rsid w:val="00A6619B"/>
    <w:rsid w:val="00A667B4"/>
    <w:rsid w:val="00A70B9E"/>
    <w:rsid w:val="00A70F20"/>
    <w:rsid w:val="00A73F9E"/>
    <w:rsid w:val="00A816FF"/>
    <w:rsid w:val="00A81A6D"/>
    <w:rsid w:val="00A8237F"/>
    <w:rsid w:val="00A83D20"/>
    <w:rsid w:val="00A845EF"/>
    <w:rsid w:val="00A84E9A"/>
    <w:rsid w:val="00A8599C"/>
    <w:rsid w:val="00A867B0"/>
    <w:rsid w:val="00A871E1"/>
    <w:rsid w:val="00A87323"/>
    <w:rsid w:val="00A908C4"/>
    <w:rsid w:val="00A916F8"/>
    <w:rsid w:val="00A91CB8"/>
    <w:rsid w:val="00A91F19"/>
    <w:rsid w:val="00A9425F"/>
    <w:rsid w:val="00A94531"/>
    <w:rsid w:val="00A9472A"/>
    <w:rsid w:val="00A95381"/>
    <w:rsid w:val="00A95A71"/>
    <w:rsid w:val="00A96675"/>
    <w:rsid w:val="00A97AD6"/>
    <w:rsid w:val="00A97FDB"/>
    <w:rsid w:val="00AA026A"/>
    <w:rsid w:val="00AA088F"/>
    <w:rsid w:val="00AA0BEC"/>
    <w:rsid w:val="00AA2C2C"/>
    <w:rsid w:val="00AA2E7C"/>
    <w:rsid w:val="00AA31C4"/>
    <w:rsid w:val="00AA3FF0"/>
    <w:rsid w:val="00AA486B"/>
    <w:rsid w:val="00AA5810"/>
    <w:rsid w:val="00AA5D02"/>
    <w:rsid w:val="00AA6C04"/>
    <w:rsid w:val="00AA6DB4"/>
    <w:rsid w:val="00AA7EE3"/>
    <w:rsid w:val="00AB03A8"/>
    <w:rsid w:val="00AB0F97"/>
    <w:rsid w:val="00AB15D5"/>
    <w:rsid w:val="00AB210A"/>
    <w:rsid w:val="00AB2FD1"/>
    <w:rsid w:val="00AB393C"/>
    <w:rsid w:val="00AB5D86"/>
    <w:rsid w:val="00AB79DF"/>
    <w:rsid w:val="00AC188B"/>
    <w:rsid w:val="00AC2DF6"/>
    <w:rsid w:val="00AC3479"/>
    <w:rsid w:val="00AC4275"/>
    <w:rsid w:val="00AC45EA"/>
    <w:rsid w:val="00AC4AA8"/>
    <w:rsid w:val="00AC58BC"/>
    <w:rsid w:val="00AC58D2"/>
    <w:rsid w:val="00AC5E10"/>
    <w:rsid w:val="00AC66D2"/>
    <w:rsid w:val="00AD1985"/>
    <w:rsid w:val="00AD19D9"/>
    <w:rsid w:val="00AD27A3"/>
    <w:rsid w:val="00AD2C60"/>
    <w:rsid w:val="00AD4E40"/>
    <w:rsid w:val="00AD5BFB"/>
    <w:rsid w:val="00AD5D55"/>
    <w:rsid w:val="00AD6097"/>
    <w:rsid w:val="00AD7674"/>
    <w:rsid w:val="00AE09DD"/>
    <w:rsid w:val="00AE151A"/>
    <w:rsid w:val="00AE17C0"/>
    <w:rsid w:val="00AE2D08"/>
    <w:rsid w:val="00AE4450"/>
    <w:rsid w:val="00AE4E7D"/>
    <w:rsid w:val="00AE4E80"/>
    <w:rsid w:val="00AE5AE8"/>
    <w:rsid w:val="00AE6DBF"/>
    <w:rsid w:val="00AF1FF9"/>
    <w:rsid w:val="00AF220F"/>
    <w:rsid w:val="00AF4D01"/>
    <w:rsid w:val="00AF57BB"/>
    <w:rsid w:val="00AF587C"/>
    <w:rsid w:val="00AF60EB"/>
    <w:rsid w:val="00AF6FE2"/>
    <w:rsid w:val="00AF78B6"/>
    <w:rsid w:val="00AF7AE2"/>
    <w:rsid w:val="00AF7C63"/>
    <w:rsid w:val="00AF7CAA"/>
    <w:rsid w:val="00B000FF"/>
    <w:rsid w:val="00B00947"/>
    <w:rsid w:val="00B012F4"/>
    <w:rsid w:val="00B01E3D"/>
    <w:rsid w:val="00B02BAB"/>
    <w:rsid w:val="00B04DD6"/>
    <w:rsid w:val="00B05BB0"/>
    <w:rsid w:val="00B06007"/>
    <w:rsid w:val="00B067A5"/>
    <w:rsid w:val="00B06EF2"/>
    <w:rsid w:val="00B075B5"/>
    <w:rsid w:val="00B1206B"/>
    <w:rsid w:val="00B12A7D"/>
    <w:rsid w:val="00B140DF"/>
    <w:rsid w:val="00B1496B"/>
    <w:rsid w:val="00B15B07"/>
    <w:rsid w:val="00B16DCF"/>
    <w:rsid w:val="00B208EF"/>
    <w:rsid w:val="00B20CA8"/>
    <w:rsid w:val="00B21276"/>
    <w:rsid w:val="00B2240D"/>
    <w:rsid w:val="00B237B5"/>
    <w:rsid w:val="00B23E75"/>
    <w:rsid w:val="00B258BA"/>
    <w:rsid w:val="00B25F23"/>
    <w:rsid w:val="00B3071F"/>
    <w:rsid w:val="00B310C3"/>
    <w:rsid w:val="00B32897"/>
    <w:rsid w:val="00B32AAF"/>
    <w:rsid w:val="00B338AB"/>
    <w:rsid w:val="00B338C5"/>
    <w:rsid w:val="00B340CD"/>
    <w:rsid w:val="00B35019"/>
    <w:rsid w:val="00B379EC"/>
    <w:rsid w:val="00B40470"/>
    <w:rsid w:val="00B409D1"/>
    <w:rsid w:val="00B42F61"/>
    <w:rsid w:val="00B43A86"/>
    <w:rsid w:val="00B43F32"/>
    <w:rsid w:val="00B441FC"/>
    <w:rsid w:val="00B442F1"/>
    <w:rsid w:val="00B45506"/>
    <w:rsid w:val="00B458C6"/>
    <w:rsid w:val="00B45CF1"/>
    <w:rsid w:val="00B47D75"/>
    <w:rsid w:val="00B51D9A"/>
    <w:rsid w:val="00B5352B"/>
    <w:rsid w:val="00B54194"/>
    <w:rsid w:val="00B5588B"/>
    <w:rsid w:val="00B57777"/>
    <w:rsid w:val="00B603D0"/>
    <w:rsid w:val="00B60C35"/>
    <w:rsid w:val="00B60D9E"/>
    <w:rsid w:val="00B615FC"/>
    <w:rsid w:val="00B645CF"/>
    <w:rsid w:val="00B64B67"/>
    <w:rsid w:val="00B6539D"/>
    <w:rsid w:val="00B66DA7"/>
    <w:rsid w:val="00B70403"/>
    <w:rsid w:val="00B72FFA"/>
    <w:rsid w:val="00B734C3"/>
    <w:rsid w:val="00B73F49"/>
    <w:rsid w:val="00B74325"/>
    <w:rsid w:val="00B7760B"/>
    <w:rsid w:val="00B778A0"/>
    <w:rsid w:val="00B80ABE"/>
    <w:rsid w:val="00B8163F"/>
    <w:rsid w:val="00B816BA"/>
    <w:rsid w:val="00B818EF"/>
    <w:rsid w:val="00B81C05"/>
    <w:rsid w:val="00B824D6"/>
    <w:rsid w:val="00B8271B"/>
    <w:rsid w:val="00B8304F"/>
    <w:rsid w:val="00B84C62"/>
    <w:rsid w:val="00B86197"/>
    <w:rsid w:val="00B867E8"/>
    <w:rsid w:val="00B86949"/>
    <w:rsid w:val="00B9071A"/>
    <w:rsid w:val="00B91655"/>
    <w:rsid w:val="00B93460"/>
    <w:rsid w:val="00B9490A"/>
    <w:rsid w:val="00B9789A"/>
    <w:rsid w:val="00B97C45"/>
    <w:rsid w:val="00BA156B"/>
    <w:rsid w:val="00BA15BE"/>
    <w:rsid w:val="00BA19EC"/>
    <w:rsid w:val="00BA2D6B"/>
    <w:rsid w:val="00BA2ED3"/>
    <w:rsid w:val="00BA393C"/>
    <w:rsid w:val="00BA3B04"/>
    <w:rsid w:val="00BA5586"/>
    <w:rsid w:val="00BA655D"/>
    <w:rsid w:val="00BB059D"/>
    <w:rsid w:val="00BB09F2"/>
    <w:rsid w:val="00BB2884"/>
    <w:rsid w:val="00BB2E76"/>
    <w:rsid w:val="00BB3BEB"/>
    <w:rsid w:val="00BB460F"/>
    <w:rsid w:val="00BB463B"/>
    <w:rsid w:val="00BB4A62"/>
    <w:rsid w:val="00BB5372"/>
    <w:rsid w:val="00BB6645"/>
    <w:rsid w:val="00BB7B48"/>
    <w:rsid w:val="00BC271C"/>
    <w:rsid w:val="00BC28C8"/>
    <w:rsid w:val="00BC2A9A"/>
    <w:rsid w:val="00BC57E7"/>
    <w:rsid w:val="00BC638E"/>
    <w:rsid w:val="00BC7960"/>
    <w:rsid w:val="00BC7D3C"/>
    <w:rsid w:val="00BD0EFB"/>
    <w:rsid w:val="00BD1F95"/>
    <w:rsid w:val="00BD32FC"/>
    <w:rsid w:val="00BD33FA"/>
    <w:rsid w:val="00BD4525"/>
    <w:rsid w:val="00BD5B4F"/>
    <w:rsid w:val="00BD7124"/>
    <w:rsid w:val="00BD74BE"/>
    <w:rsid w:val="00BE1FB8"/>
    <w:rsid w:val="00BE528B"/>
    <w:rsid w:val="00BE79CB"/>
    <w:rsid w:val="00BF09A8"/>
    <w:rsid w:val="00BF0C61"/>
    <w:rsid w:val="00BF1119"/>
    <w:rsid w:val="00BF357A"/>
    <w:rsid w:val="00BF4DC7"/>
    <w:rsid w:val="00BF5727"/>
    <w:rsid w:val="00BF5B4C"/>
    <w:rsid w:val="00C0048B"/>
    <w:rsid w:val="00C01E22"/>
    <w:rsid w:val="00C02292"/>
    <w:rsid w:val="00C023BF"/>
    <w:rsid w:val="00C02527"/>
    <w:rsid w:val="00C033D1"/>
    <w:rsid w:val="00C0358A"/>
    <w:rsid w:val="00C04046"/>
    <w:rsid w:val="00C04ADE"/>
    <w:rsid w:val="00C05BAC"/>
    <w:rsid w:val="00C1461D"/>
    <w:rsid w:val="00C14EE9"/>
    <w:rsid w:val="00C166CF"/>
    <w:rsid w:val="00C16807"/>
    <w:rsid w:val="00C16DDA"/>
    <w:rsid w:val="00C17469"/>
    <w:rsid w:val="00C17BDD"/>
    <w:rsid w:val="00C2017A"/>
    <w:rsid w:val="00C212EF"/>
    <w:rsid w:val="00C2283E"/>
    <w:rsid w:val="00C2301F"/>
    <w:rsid w:val="00C23071"/>
    <w:rsid w:val="00C2325F"/>
    <w:rsid w:val="00C24187"/>
    <w:rsid w:val="00C2458B"/>
    <w:rsid w:val="00C2548A"/>
    <w:rsid w:val="00C274F2"/>
    <w:rsid w:val="00C30831"/>
    <w:rsid w:val="00C313E0"/>
    <w:rsid w:val="00C33292"/>
    <w:rsid w:val="00C334A5"/>
    <w:rsid w:val="00C344E8"/>
    <w:rsid w:val="00C34CA7"/>
    <w:rsid w:val="00C352C1"/>
    <w:rsid w:val="00C354BB"/>
    <w:rsid w:val="00C40206"/>
    <w:rsid w:val="00C40F28"/>
    <w:rsid w:val="00C41227"/>
    <w:rsid w:val="00C41779"/>
    <w:rsid w:val="00C4474A"/>
    <w:rsid w:val="00C44C30"/>
    <w:rsid w:val="00C50572"/>
    <w:rsid w:val="00C510C5"/>
    <w:rsid w:val="00C5391B"/>
    <w:rsid w:val="00C54EAC"/>
    <w:rsid w:val="00C552D8"/>
    <w:rsid w:val="00C55CAB"/>
    <w:rsid w:val="00C565C7"/>
    <w:rsid w:val="00C56BCE"/>
    <w:rsid w:val="00C578C1"/>
    <w:rsid w:val="00C614B7"/>
    <w:rsid w:val="00C62FEB"/>
    <w:rsid w:val="00C64E54"/>
    <w:rsid w:val="00C6539D"/>
    <w:rsid w:val="00C6679E"/>
    <w:rsid w:val="00C66D1D"/>
    <w:rsid w:val="00C67300"/>
    <w:rsid w:val="00C67C2D"/>
    <w:rsid w:val="00C71B2D"/>
    <w:rsid w:val="00C72B87"/>
    <w:rsid w:val="00C72CB8"/>
    <w:rsid w:val="00C7448E"/>
    <w:rsid w:val="00C74C2B"/>
    <w:rsid w:val="00C750F7"/>
    <w:rsid w:val="00C75787"/>
    <w:rsid w:val="00C75ECA"/>
    <w:rsid w:val="00C75F3B"/>
    <w:rsid w:val="00C766BF"/>
    <w:rsid w:val="00C77FF8"/>
    <w:rsid w:val="00C831DA"/>
    <w:rsid w:val="00C84444"/>
    <w:rsid w:val="00C86C66"/>
    <w:rsid w:val="00C9345B"/>
    <w:rsid w:val="00C93A1F"/>
    <w:rsid w:val="00C93B6E"/>
    <w:rsid w:val="00C94819"/>
    <w:rsid w:val="00C94B79"/>
    <w:rsid w:val="00C957AA"/>
    <w:rsid w:val="00CA0F7D"/>
    <w:rsid w:val="00CA24EC"/>
    <w:rsid w:val="00CA2F61"/>
    <w:rsid w:val="00CA58D6"/>
    <w:rsid w:val="00CA70E2"/>
    <w:rsid w:val="00CA713C"/>
    <w:rsid w:val="00CB07FD"/>
    <w:rsid w:val="00CB0A80"/>
    <w:rsid w:val="00CB2556"/>
    <w:rsid w:val="00CB48B3"/>
    <w:rsid w:val="00CB52C4"/>
    <w:rsid w:val="00CB6BFC"/>
    <w:rsid w:val="00CC00B0"/>
    <w:rsid w:val="00CC1251"/>
    <w:rsid w:val="00CC3BA8"/>
    <w:rsid w:val="00CC4034"/>
    <w:rsid w:val="00CC40A6"/>
    <w:rsid w:val="00CC440E"/>
    <w:rsid w:val="00CC4829"/>
    <w:rsid w:val="00CC5DEA"/>
    <w:rsid w:val="00CC72E3"/>
    <w:rsid w:val="00CD0FE9"/>
    <w:rsid w:val="00CD22A8"/>
    <w:rsid w:val="00CD232D"/>
    <w:rsid w:val="00CD2BEB"/>
    <w:rsid w:val="00CD2C94"/>
    <w:rsid w:val="00CD43B6"/>
    <w:rsid w:val="00CD4EDD"/>
    <w:rsid w:val="00CD4FFA"/>
    <w:rsid w:val="00CD664B"/>
    <w:rsid w:val="00CD6D3D"/>
    <w:rsid w:val="00CD77A4"/>
    <w:rsid w:val="00CE04C0"/>
    <w:rsid w:val="00CE08D5"/>
    <w:rsid w:val="00CE0A52"/>
    <w:rsid w:val="00CE0BF3"/>
    <w:rsid w:val="00CE2050"/>
    <w:rsid w:val="00CE230F"/>
    <w:rsid w:val="00CE2C18"/>
    <w:rsid w:val="00CE35B0"/>
    <w:rsid w:val="00CE3BE3"/>
    <w:rsid w:val="00CE402E"/>
    <w:rsid w:val="00CE44A9"/>
    <w:rsid w:val="00CE4C05"/>
    <w:rsid w:val="00CE4EFD"/>
    <w:rsid w:val="00CF1612"/>
    <w:rsid w:val="00CF30E0"/>
    <w:rsid w:val="00CF50F9"/>
    <w:rsid w:val="00CF576C"/>
    <w:rsid w:val="00CF7426"/>
    <w:rsid w:val="00D01192"/>
    <w:rsid w:val="00D0134E"/>
    <w:rsid w:val="00D01B58"/>
    <w:rsid w:val="00D02BA5"/>
    <w:rsid w:val="00D02C92"/>
    <w:rsid w:val="00D02DF8"/>
    <w:rsid w:val="00D057A6"/>
    <w:rsid w:val="00D0600D"/>
    <w:rsid w:val="00D06C7D"/>
    <w:rsid w:val="00D074F3"/>
    <w:rsid w:val="00D0750C"/>
    <w:rsid w:val="00D077E4"/>
    <w:rsid w:val="00D07F63"/>
    <w:rsid w:val="00D10374"/>
    <w:rsid w:val="00D106F6"/>
    <w:rsid w:val="00D10A98"/>
    <w:rsid w:val="00D11B72"/>
    <w:rsid w:val="00D12429"/>
    <w:rsid w:val="00D12838"/>
    <w:rsid w:val="00D15BBD"/>
    <w:rsid w:val="00D169A0"/>
    <w:rsid w:val="00D16F69"/>
    <w:rsid w:val="00D22403"/>
    <w:rsid w:val="00D225FA"/>
    <w:rsid w:val="00D240E2"/>
    <w:rsid w:val="00D26D40"/>
    <w:rsid w:val="00D27006"/>
    <w:rsid w:val="00D2722C"/>
    <w:rsid w:val="00D2778F"/>
    <w:rsid w:val="00D3163A"/>
    <w:rsid w:val="00D31BC4"/>
    <w:rsid w:val="00D325C5"/>
    <w:rsid w:val="00D337D2"/>
    <w:rsid w:val="00D33D17"/>
    <w:rsid w:val="00D3405D"/>
    <w:rsid w:val="00D34499"/>
    <w:rsid w:val="00D3462E"/>
    <w:rsid w:val="00D34FEA"/>
    <w:rsid w:val="00D353D7"/>
    <w:rsid w:val="00D358F3"/>
    <w:rsid w:val="00D37A0B"/>
    <w:rsid w:val="00D4126E"/>
    <w:rsid w:val="00D41C63"/>
    <w:rsid w:val="00D43E26"/>
    <w:rsid w:val="00D44A21"/>
    <w:rsid w:val="00D45075"/>
    <w:rsid w:val="00D4516C"/>
    <w:rsid w:val="00D45CDE"/>
    <w:rsid w:val="00D51920"/>
    <w:rsid w:val="00D525BB"/>
    <w:rsid w:val="00D54197"/>
    <w:rsid w:val="00D5537A"/>
    <w:rsid w:val="00D56BBF"/>
    <w:rsid w:val="00D60752"/>
    <w:rsid w:val="00D610DB"/>
    <w:rsid w:val="00D61228"/>
    <w:rsid w:val="00D61C6A"/>
    <w:rsid w:val="00D63D12"/>
    <w:rsid w:val="00D643E0"/>
    <w:rsid w:val="00D64B87"/>
    <w:rsid w:val="00D65104"/>
    <w:rsid w:val="00D6574B"/>
    <w:rsid w:val="00D707EE"/>
    <w:rsid w:val="00D71EC1"/>
    <w:rsid w:val="00D74310"/>
    <w:rsid w:val="00D82AC3"/>
    <w:rsid w:val="00D83448"/>
    <w:rsid w:val="00D8414C"/>
    <w:rsid w:val="00D84770"/>
    <w:rsid w:val="00D85A1E"/>
    <w:rsid w:val="00D901D0"/>
    <w:rsid w:val="00D90487"/>
    <w:rsid w:val="00D91612"/>
    <w:rsid w:val="00D91AA3"/>
    <w:rsid w:val="00D92643"/>
    <w:rsid w:val="00D93AC9"/>
    <w:rsid w:val="00D945ED"/>
    <w:rsid w:val="00D94F76"/>
    <w:rsid w:val="00D95214"/>
    <w:rsid w:val="00D95545"/>
    <w:rsid w:val="00D95DFA"/>
    <w:rsid w:val="00D97496"/>
    <w:rsid w:val="00DA02E8"/>
    <w:rsid w:val="00DA2D77"/>
    <w:rsid w:val="00DA3545"/>
    <w:rsid w:val="00DA3C17"/>
    <w:rsid w:val="00DB0C27"/>
    <w:rsid w:val="00DB10B8"/>
    <w:rsid w:val="00DB189A"/>
    <w:rsid w:val="00DB2E37"/>
    <w:rsid w:val="00DB3216"/>
    <w:rsid w:val="00DB496F"/>
    <w:rsid w:val="00DB4ACF"/>
    <w:rsid w:val="00DB4F46"/>
    <w:rsid w:val="00DB6E47"/>
    <w:rsid w:val="00DC092E"/>
    <w:rsid w:val="00DC0959"/>
    <w:rsid w:val="00DC0C42"/>
    <w:rsid w:val="00DC0C56"/>
    <w:rsid w:val="00DC11CE"/>
    <w:rsid w:val="00DC1778"/>
    <w:rsid w:val="00DC1F67"/>
    <w:rsid w:val="00DC26E7"/>
    <w:rsid w:val="00DC3CF4"/>
    <w:rsid w:val="00DC4F76"/>
    <w:rsid w:val="00DC5B6E"/>
    <w:rsid w:val="00DC6BCD"/>
    <w:rsid w:val="00DC7CB0"/>
    <w:rsid w:val="00DD1558"/>
    <w:rsid w:val="00DD3AC5"/>
    <w:rsid w:val="00DD3E9B"/>
    <w:rsid w:val="00DD46BB"/>
    <w:rsid w:val="00DD526C"/>
    <w:rsid w:val="00DD55D2"/>
    <w:rsid w:val="00DD7853"/>
    <w:rsid w:val="00DE1124"/>
    <w:rsid w:val="00DE1E9A"/>
    <w:rsid w:val="00DE2456"/>
    <w:rsid w:val="00DE5B2D"/>
    <w:rsid w:val="00DE70C4"/>
    <w:rsid w:val="00DF0F5F"/>
    <w:rsid w:val="00DF160C"/>
    <w:rsid w:val="00DF1F83"/>
    <w:rsid w:val="00DF21AC"/>
    <w:rsid w:val="00DF32DE"/>
    <w:rsid w:val="00DF34AE"/>
    <w:rsid w:val="00DF4ED4"/>
    <w:rsid w:val="00DF5311"/>
    <w:rsid w:val="00DF5B35"/>
    <w:rsid w:val="00DF5E7B"/>
    <w:rsid w:val="00DF6AA4"/>
    <w:rsid w:val="00E02DE0"/>
    <w:rsid w:val="00E058B5"/>
    <w:rsid w:val="00E06A13"/>
    <w:rsid w:val="00E0738C"/>
    <w:rsid w:val="00E07CB3"/>
    <w:rsid w:val="00E1005D"/>
    <w:rsid w:val="00E107B4"/>
    <w:rsid w:val="00E11010"/>
    <w:rsid w:val="00E122DB"/>
    <w:rsid w:val="00E12E3E"/>
    <w:rsid w:val="00E13062"/>
    <w:rsid w:val="00E132A7"/>
    <w:rsid w:val="00E15285"/>
    <w:rsid w:val="00E1675D"/>
    <w:rsid w:val="00E16854"/>
    <w:rsid w:val="00E16892"/>
    <w:rsid w:val="00E16F7D"/>
    <w:rsid w:val="00E1760E"/>
    <w:rsid w:val="00E17B53"/>
    <w:rsid w:val="00E20C31"/>
    <w:rsid w:val="00E23C0C"/>
    <w:rsid w:val="00E25157"/>
    <w:rsid w:val="00E27B77"/>
    <w:rsid w:val="00E306FC"/>
    <w:rsid w:val="00E30BCF"/>
    <w:rsid w:val="00E316B6"/>
    <w:rsid w:val="00E319AB"/>
    <w:rsid w:val="00E3447F"/>
    <w:rsid w:val="00E345C2"/>
    <w:rsid w:val="00E35BF2"/>
    <w:rsid w:val="00E36659"/>
    <w:rsid w:val="00E379E1"/>
    <w:rsid w:val="00E40F2A"/>
    <w:rsid w:val="00E41134"/>
    <w:rsid w:val="00E4188D"/>
    <w:rsid w:val="00E441FB"/>
    <w:rsid w:val="00E4483A"/>
    <w:rsid w:val="00E44A2E"/>
    <w:rsid w:val="00E44FB3"/>
    <w:rsid w:val="00E4595A"/>
    <w:rsid w:val="00E45C0E"/>
    <w:rsid w:val="00E46FCA"/>
    <w:rsid w:val="00E47AEA"/>
    <w:rsid w:val="00E47C13"/>
    <w:rsid w:val="00E47DCB"/>
    <w:rsid w:val="00E47E74"/>
    <w:rsid w:val="00E51C93"/>
    <w:rsid w:val="00E53C91"/>
    <w:rsid w:val="00E53CB4"/>
    <w:rsid w:val="00E54774"/>
    <w:rsid w:val="00E549CD"/>
    <w:rsid w:val="00E5708A"/>
    <w:rsid w:val="00E57161"/>
    <w:rsid w:val="00E57C21"/>
    <w:rsid w:val="00E60AAC"/>
    <w:rsid w:val="00E60D27"/>
    <w:rsid w:val="00E621BB"/>
    <w:rsid w:val="00E653CB"/>
    <w:rsid w:val="00E67DA3"/>
    <w:rsid w:val="00E70BC9"/>
    <w:rsid w:val="00E7152D"/>
    <w:rsid w:val="00E715F0"/>
    <w:rsid w:val="00E7253D"/>
    <w:rsid w:val="00E72B65"/>
    <w:rsid w:val="00E73032"/>
    <w:rsid w:val="00E730D7"/>
    <w:rsid w:val="00E73EFD"/>
    <w:rsid w:val="00E74156"/>
    <w:rsid w:val="00E7750B"/>
    <w:rsid w:val="00E80BC5"/>
    <w:rsid w:val="00E80F64"/>
    <w:rsid w:val="00E83184"/>
    <w:rsid w:val="00E83D31"/>
    <w:rsid w:val="00E840EE"/>
    <w:rsid w:val="00E85F49"/>
    <w:rsid w:val="00E865C2"/>
    <w:rsid w:val="00E86A23"/>
    <w:rsid w:val="00E86DF0"/>
    <w:rsid w:val="00E87DC3"/>
    <w:rsid w:val="00E90001"/>
    <w:rsid w:val="00E90F7F"/>
    <w:rsid w:val="00E914A1"/>
    <w:rsid w:val="00E91FAD"/>
    <w:rsid w:val="00E924E7"/>
    <w:rsid w:val="00E948F4"/>
    <w:rsid w:val="00E9552B"/>
    <w:rsid w:val="00E95964"/>
    <w:rsid w:val="00E96B50"/>
    <w:rsid w:val="00E975DC"/>
    <w:rsid w:val="00E979C0"/>
    <w:rsid w:val="00EA08A5"/>
    <w:rsid w:val="00EA08E2"/>
    <w:rsid w:val="00EA2467"/>
    <w:rsid w:val="00EA349C"/>
    <w:rsid w:val="00EA470A"/>
    <w:rsid w:val="00EA52D2"/>
    <w:rsid w:val="00EA53DB"/>
    <w:rsid w:val="00EA60F7"/>
    <w:rsid w:val="00EA6837"/>
    <w:rsid w:val="00EA6AD7"/>
    <w:rsid w:val="00EB09B4"/>
    <w:rsid w:val="00EB269F"/>
    <w:rsid w:val="00EB2791"/>
    <w:rsid w:val="00EB28CB"/>
    <w:rsid w:val="00EB3144"/>
    <w:rsid w:val="00EB32B4"/>
    <w:rsid w:val="00EB3DDA"/>
    <w:rsid w:val="00EB4505"/>
    <w:rsid w:val="00EB47A9"/>
    <w:rsid w:val="00EB4D1A"/>
    <w:rsid w:val="00EB50C6"/>
    <w:rsid w:val="00EB60F0"/>
    <w:rsid w:val="00EB656B"/>
    <w:rsid w:val="00EB6641"/>
    <w:rsid w:val="00EB76EE"/>
    <w:rsid w:val="00EC0FC5"/>
    <w:rsid w:val="00EC10EB"/>
    <w:rsid w:val="00EC19CD"/>
    <w:rsid w:val="00EC3893"/>
    <w:rsid w:val="00EC4CE6"/>
    <w:rsid w:val="00EC7856"/>
    <w:rsid w:val="00ED1070"/>
    <w:rsid w:val="00ED1DFD"/>
    <w:rsid w:val="00ED4659"/>
    <w:rsid w:val="00ED4E7D"/>
    <w:rsid w:val="00ED60A6"/>
    <w:rsid w:val="00ED6632"/>
    <w:rsid w:val="00ED72FF"/>
    <w:rsid w:val="00ED7AD5"/>
    <w:rsid w:val="00EE1A55"/>
    <w:rsid w:val="00EE349E"/>
    <w:rsid w:val="00EE5E8D"/>
    <w:rsid w:val="00EE638F"/>
    <w:rsid w:val="00EE70BB"/>
    <w:rsid w:val="00EE7396"/>
    <w:rsid w:val="00EF0C0C"/>
    <w:rsid w:val="00EF133D"/>
    <w:rsid w:val="00EF19E9"/>
    <w:rsid w:val="00EF2FB4"/>
    <w:rsid w:val="00EF424B"/>
    <w:rsid w:val="00EF43BA"/>
    <w:rsid w:val="00EF51FA"/>
    <w:rsid w:val="00EF65B4"/>
    <w:rsid w:val="00EF6955"/>
    <w:rsid w:val="00F016F8"/>
    <w:rsid w:val="00F01EE4"/>
    <w:rsid w:val="00F01F8C"/>
    <w:rsid w:val="00F01FF2"/>
    <w:rsid w:val="00F035D2"/>
    <w:rsid w:val="00F035FB"/>
    <w:rsid w:val="00F066B8"/>
    <w:rsid w:val="00F06F2F"/>
    <w:rsid w:val="00F07A93"/>
    <w:rsid w:val="00F07F4B"/>
    <w:rsid w:val="00F10EAA"/>
    <w:rsid w:val="00F11BBF"/>
    <w:rsid w:val="00F1202D"/>
    <w:rsid w:val="00F1287E"/>
    <w:rsid w:val="00F132CA"/>
    <w:rsid w:val="00F16631"/>
    <w:rsid w:val="00F178C7"/>
    <w:rsid w:val="00F179D7"/>
    <w:rsid w:val="00F215F2"/>
    <w:rsid w:val="00F22234"/>
    <w:rsid w:val="00F22BB5"/>
    <w:rsid w:val="00F2309D"/>
    <w:rsid w:val="00F243C6"/>
    <w:rsid w:val="00F24B4F"/>
    <w:rsid w:val="00F25617"/>
    <w:rsid w:val="00F25D3C"/>
    <w:rsid w:val="00F31171"/>
    <w:rsid w:val="00F32657"/>
    <w:rsid w:val="00F3273B"/>
    <w:rsid w:val="00F32E9E"/>
    <w:rsid w:val="00F376DB"/>
    <w:rsid w:val="00F37E38"/>
    <w:rsid w:val="00F403CA"/>
    <w:rsid w:val="00F41CEA"/>
    <w:rsid w:val="00F4228C"/>
    <w:rsid w:val="00F45DA1"/>
    <w:rsid w:val="00F45E28"/>
    <w:rsid w:val="00F4673B"/>
    <w:rsid w:val="00F46761"/>
    <w:rsid w:val="00F469FD"/>
    <w:rsid w:val="00F4775E"/>
    <w:rsid w:val="00F479D4"/>
    <w:rsid w:val="00F50BB8"/>
    <w:rsid w:val="00F531E5"/>
    <w:rsid w:val="00F53B2D"/>
    <w:rsid w:val="00F5486C"/>
    <w:rsid w:val="00F55282"/>
    <w:rsid w:val="00F552E9"/>
    <w:rsid w:val="00F56D44"/>
    <w:rsid w:val="00F638D1"/>
    <w:rsid w:val="00F63BE8"/>
    <w:rsid w:val="00F6421D"/>
    <w:rsid w:val="00F64ACB"/>
    <w:rsid w:val="00F652E8"/>
    <w:rsid w:val="00F67C1B"/>
    <w:rsid w:val="00F702FC"/>
    <w:rsid w:val="00F717B1"/>
    <w:rsid w:val="00F747E8"/>
    <w:rsid w:val="00F7485C"/>
    <w:rsid w:val="00F74A49"/>
    <w:rsid w:val="00F76289"/>
    <w:rsid w:val="00F76C09"/>
    <w:rsid w:val="00F77295"/>
    <w:rsid w:val="00F77B97"/>
    <w:rsid w:val="00F77BDB"/>
    <w:rsid w:val="00F804B2"/>
    <w:rsid w:val="00F81FB8"/>
    <w:rsid w:val="00F822AF"/>
    <w:rsid w:val="00F82D2D"/>
    <w:rsid w:val="00F83F8A"/>
    <w:rsid w:val="00F852FF"/>
    <w:rsid w:val="00F85BFC"/>
    <w:rsid w:val="00F869A9"/>
    <w:rsid w:val="00F87811"/>
    <w:rsid w:val="00F87E6F"/>
    <w:rsid w:val="00F90D37"/>
    <w:rsid w:val="00F92108"/>
    <w:rsid w:val="00F936A3"/>
    <w:rsid w:val="00F93F67"/>
    <w:rsid w:val="00F94AD0"/>
    <w:rsid w:val="00F94FF8"/>
    <w:rsid w:val="00F95863"/>
    <w:rsid w:val="00F96F5A"/>
    <w:rsid w:val="00F97B42"/>
    <w:rsid w:val="00FA3A33"/>
    <w:rsid w:val="00FA50ED"/>
    <w:rsid w:val="00FA57FA"/>
    <w:rsid w:val="00FA6E30"/>
    <w:rsid w:val="00FB1191"/>
    <w:rsid w:val="00FB4519"/>
    <w:rsid w:val="00FB529B"/>
    <w:rsid w:val="00FB7B23"/>
    <w:rsid w:val="00FB7E94"/>
    <w:rsid w:val="00FC1112"/>
    <w:rsid w:val="00FC1B92"/>
    <w:rsid w:val="00FC1D3A"/>
    <w:rsid w:val="00FC28BA"/>
    <w:rsid w:val="00FC28EF"/>
    <w:rsid w:val="00FC35DD"/>
    <w:rsid w:val="00FC3F52"/>
    <w:rsid w:val="00FC4DCB"/>
    <w:rsid w:val="00FC5CFC"/>
    <w:rsid w:val="00FC5EB7"/>
    <w:rsid w:val="00FC6929"/>
    <w:rsid w:val="00FC6971"/>
    <w:rsid w:val="00FC7008"/>
    <w:rsid w:val="00FC7411"/>
    <w:rsid w:val="00FC7983"/>
    <w:rsid w:val="00FC7AB7"/>
    <w:rsid w:val="00FC7D29"/>
    <w:rsid w:val="00FD061F"/>
    <w:rsid w:val="00FD12F4"/>
    <w:rsid w:val="00FD14AC"/>
    <w:rsid w:val="00FD25FA"/>
    <w:rsid w:val="00FD4A09"/>
    <w:rsid w:val="00FD5629"/>
    <w:rsid w:val="00FD5A46"/>
    <w:rsid w:val="00FD656A"/>
    <w:rsid w:val="00FD7814"/>
    <w:rsid w:val="00FE1318"/>
    <w:rsid w:val="00FE1875"/>
    <w:rsid w:val="00FE2CCB"/>
    <w:rsid w:val="00FE3440"/>
    <w:rsid w:val="00FE4EA7"/>
    <w:rsid w:val="00FE6A53"/>
    <w:rsid w:val="00FE6E65"/>
    <w:rsid w:val="00FE791B"/>
    <w:rsid w:val="00FF1F86"/>
    <w:rsid w:val="00FF4674"/>
    <w:rsid w:val="00FF4A76"/>
    <w:rsid w:val="00FF5831"/>
    <w:rsid w:val="00FF5D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9704391"/>
  <w15:chartTrackingRefBased/>
  <w15:docId w15:val="{B51A706A-CB6C-4815-876C-F759C71C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U" w:eastAsia="en-M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/>
      <w:jc w:val="both"/>
    </w:pPr>
    <w:rPr>
      <w:color w:val="FF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6F7D"/>
  </w:style>
  <w:style w:type="paragraph" w:styleId="Title">
    <w:name w:val="Title"/>
    <w:basedOn w:val="Normal"/>
    <w:next w:val="Normal"/>
    <w:link w:val="TitleChar"/>
    <w:uiPriority w:val="10"/>
    <w:qFormat/>
    <w:rsid w:val="002D2A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2D2A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5E6D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C5EB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85327E-4EBD-4FFC-9801-D5DDE1D3C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588D7-E21B-4CA3-BDDA-6EC6D997FD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F31E2-2C6E-484B-A2DA-3A7364106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4E343-8E62-4410-AA9C-F3CF1DA56B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industrial production, 4th quarter 2004</vt:lpstr>
    </vt:vector>
  </TitlesOfParts>
  <Company>Hewlett-Packard Company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industrial production, 4th quarter 2004</dc:title>
  <dc:subject/>
  <dc:creator>Juleemun</dc:creator>
  <cp:keywords/>
  <dc:description/>
  <cp:lastModifiedBy>Krishna Nardeosingh</cp:lastModifiedBy>
  <cp:revision>2</cp:revision>
  <cp:lastPrinted>2025-09-18T06:53:00Z</cp:lastPrinted>
  <dcterms:created xsi:type="dcterms:W3CDTF">2025-09-23T05:27:00Z</dcterms:created>
  <dcterms:modified xsi:type="dcterms:W3CDTF">2025-09-23T05:27:00Z</dcterms:modified>
</cp:coreProperties>
</file>