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7B2E" w14:textId="482D910D" w:rsidR="00F93A0D" w:rsidRDefault="00E924CD" w:rsidP="00F93A0D">
      <w:pPr>
        <w:pStyle w:val="Title"/>
        <w:spacing w:beforeLines="40" w:before="96" w:afterLines="40" w:after="96"/>
        <w:rPr>
          <w:rFonts w:ascii="Arial" w:hAnsi="Arial" w:cs="Arial"/>
          <w:sz w:val="22"/>
          <w:szCs w:val="22"/>
        </w:rPr>
      </w:pPr>
      <w:r>
        <w:rPr>
          <w:rFonts w:ascii="Arial" w:hAnsi="Arial" w:cs="Arial"/>
          <w:sz w:val="22"/>
          <w:szCs w:val="22"/>
        </w:rPr>
        <w:t>PUBLIC</w:t>
      </w:r>
      <w:r w:rsidR="00F93A0D">
        <w:rPr>
          <w:rFonts w:ascii="Arial" w:hAnsi="Arial" w:cs="Arial"/>
          <w:sz w:val="22"/>
          <w:szCs w:val="22"/>
        </w:rPr>
        <w:t xml:space="preserve"> </w:t>
      </w:r>
      <w:r>
        <w:rPr>
          <w:rFonts w:ascii="Arial" w:hAnsi="Arial" w:cs="Arial"/>
          <w:sz w:val="22"/>
          <w:szCs w:val="22"/>
        </w:rPr>
        <w:t>FINANCE</w:t>
      </w:r>
      <w:r w:rsidR="00F93A0D">
        <w:rPr>
          <w:rFonts w:ascii="Arial" w:hAnsi="Arial" w:cs="Arial"/>
          <w:sz w:val="22"/>
          <w:szCs w:val="22"/>
        </w:rPr>
        <w:t xml:space="preserve"> STATISTICS</w:t>
      </w:r>
    </w:p>
    <w:p w14:paraId="7454C4DA" w14:textId="0CCB021A" w:rsidR="00F93A0D" w:rsidRDefault="008D314B" w:rsidP="00F35991">
      <w:pPr>
        <w:spacing w:beforeLines="40" w:before="96" w:afterLines="40" w:after="96"/>
        <w:jc w:val="center"/>
        <w:rPr>
          <w:rFonts w:ascii="Arial" w:hAnsi="Arial" w:cs="Arial"/>
          <w:b/>
          <w:sz w:val="22"/>
          <w:szCs w:val="22"/>
        </w:rPr>
      </w:pPr>
      <w:r>
        <w:rPr>
          <w:rFonts w:ascii="Arial" w:hAnsi="Arial" w:cs="Arial"/>
          <w:b/>
          <w:sz w:val="22"/>
          <w:szCs w:val="22"/>
        </w:rPr>
        <w:t>July 20</w:t>
      </w:r>
      <w:r w:rsidR="009C6D0D">
        <w:rPr>
          <w:rFonts w:ascii="Arial" w:hAnsi="Arial" w:cs="Arial"/>
          <w:b/>
          <w:sz w:val="22"/>
          <w:szCs w:val="22"/>
        </w:rPr>
        <w:t>2</w:t>
      </w:r>
      <w:r w:rsidR="00E5468D">
        <w:rPr>
          <w:rFonts w:ascii="Arial" w:hAnsi="Arial" w:cs="Arial"/>
          <w:b/>
          <w:sz w:val="22"/>
          <w:szCs w:val="22"/>
        </w:rPr>
        <w:t>3</w:t>
      </w:r>
      <w:r>
        <w:rPr>
          <w:rFonts w:ascii="Arial" w:hAnsi="Arial" w:cs="Arial"/>
          <w:b/>
          <w:sz w:val="22"/>
          <w:szCs w:val="22"/>
        </w:rPr>
        <w:t xml:space="preserve"> – June 202</w:t>
      </w:r>
      <w:r w:rsidR="00E5468D">
        <w:rPr>
          <w:rFonts w:ascii="Arial" w:hAnsi="Arial" w:cs="Arial"/>
          <w:b/>
          <w:sz w:val="22"/>
          <w:szCs w:val="22"/>
        </w:rPr>
        <w:t>4</w:t>
      </w:r>
    </w:p>
    <w:p w14:paraId="7310D4AE" w14:textId="631C68E0" w:rsidR="00F93A0D" w:rsidRDefault="008175CD" w:rsidP="00070017">
      <w:pPr>
        <w:numPr>
          <w:ilvl w:val="0"/>
          <w:numId w:val="10"/>
        </w:numPr>
        <w:tabs>
          <w:tab w:val="clear" w:pos="360"/>
          <w:tab w:val="num" w:pos="720"/>
        </w:tabs>
        <w:spacing w:beforeLines="40" w:before="96" w:afterLines="40" w:after="96"/>
        <w:rPr>
          <w:rFonts w:ascii="Arial" w:hAnsi="Arial" w:cs="Arial"/>
          <w:sz w:val="22"/>
          <w:szCs w:val="22"/>
        </w:rPr>
      </w:pPr>
      <w:r>
        <w:rPr>
          <w:rFonts w:ascii="Arial" w:hAnsi="Arial" w:cs="Arial"/>
          <w:b/>
          <w:smallCaps/>
          <w:sz w:val="22"/>
          <w:szCs w:val="22"/>
        </w:rPr>
        <w:t>I</w:t>
      </w:r>
      <w:r w:rsidR="00F93A0D">
        <w:rPr>
          <w:rFonts w:ascii="Arial" w:hAnsi="Arial" w:cs="Arial"/>
          <w:b/>
          <w:smallCaps/>
          <w:sz w:val="22"/>
          <w:szCs w:val="22"/>
        </w:rPr>
        <w:t>ntroduction</w:t>
      </w:r>
    </w:p>
    <w:p w14:paraId="67BC1038" w14:textId="3AD0DFA1" w:rsidR="00F93A0D" w:rsidRDefault="00F93A0D" w:rsidP="00093492">
      <w:pPr>
        <w:tabs>
          <w:tab w:val="num" w:pos="720"/>
        </w:tabs>
        <w:spacing w:beforeLines="40" w:before="96" w:afterLines="40" w:after="96"/>
        <w:jc w:val="both"/>
        <w:rPr>
          <w:rFonts w:ascii="Arial" w:hAnsi="Arial" w:cs="Arial"/>
          <w:sz w:val="22"/>
          <w:szCs w:val="22"/>
        </w:rPr>
      </w:pPr>
      <w:r>
        <w:rPr>
          <w:rFonts w:ascii="Arial" w:hAnsi="Arial" w:cs="Arial"/>
          <w:sz w:val="22"/>
          <w:szCs w:val="22"/>
        </w:rPr>
        <w:t xml:space="preserve">This </w:t>
      </w:r>
      <w:r w:rsidR="006354A5">
        <w:rPr>
          <w:rFonts w:ascii="Arial" w:hAnsi="Arial" w:cs="Arial"/>
          <w:sz w:val="22"/>
          <w:szCs w:val="22"/>
        </w:rPr>
        <w:t xml:space="preserve">inaugural </w:t>
      </w:r>
      <w:r>
        <w:rPr>
          <w:rFonts w:ascii="Arial" w:hAnsi="Arial" w:cs="Arial"/>
          <w:sz w:val="22"/>
          <w:szCs w:val="22"/>
        </w:rPr>
        <w:t xml:space="preserve">issue of the Economic and Social Indicators presents </w:t>
      </w:r>
      <w:r w:rsidR="006354A5">
        <w:rPr>
          <w:rFonts w:ascii="Arial" w:hAnsi="Arial" w:cs="Arial"/>
          <w:sz w:val="22"/>
          <w:szCs w:val="22"/>
        </w:rPr>
        <w:t>an overview</w:t>
      </w:r>
      <w:r w:rsidR="00DA603D">
        <w:rPr>
          <w:rFonts w:ascii="Arial" w:hAnsi="Arial" w:cs="Arial"/>
          <w:sz w:val="22"/>
          <w:szCs w:val="22"/>
        </w:rPr>
        <w:t xml:space="preserve"> of public finance </w:t>
      </w:r>
      <w:r>
        <w:rPr>
          <w:rFonts w:ascii="Arial" w:hAnsi="Arial" w:cs="Arial"/>
          <w:sz w:val="22"/>
          <w:szCs w:val="22"/>
        </w:rPr>
        <w:t>statistics</w:t>
      </w:r>
      <w:r w:rsidR="006354A5">
        <w:rPr>
          <w:rFonts w:ascii="Arial" w:hAnsi="Arial" w:cs="Arial"/>
          <w:sz w:val="22"/>
          <w:szCs w:val="22"/>
        </w:rPr>
        <w:t>, offering key insights into revenue, expenditure</w:t>
      </w:r>
      <w:r w:rsidR="0019708C">
        <w:rPr>
          <w:rFonts w:ascii="Arial" w:hAnsi="Arial" w:cs="Arial"/>
          <w:sz w:val="22"/>
          <w:szCs w:val="22"/>
        </w:rPr>
        <w:t xml:space="preserve">, </w:t>
      </w:r>
      <w:r w:rsidR="006354A5">
        <w:rPr>
          <w:rFonts w:ascii="Arial" w:hAnsi="Arial" w:cs="Arial"/>
          <w:sz w:val="22"/>
          <w:szCs w:val="22"/>
        </w:rPr>
        <w:t>fiscal performance</w:t>
      </w:r>
      <w:r w:rsidR="0019708C">
        <w:rPr>
          <w:rFonts w:ascii="Arial" w:hAnsi="Arial" w:cs="Arial"/>
          <w:sz w:val="22"/>
          <w:szCs w:val="22"/>
        </w:rPr>
        <w:t xml:space="preserve"> and financing of the government sector</w:t>
      </w:r>
      <w:r w:rsidR="006354A5" w:rsidRPr="006354A5">
        <w:rPr>
          <w:rFonts w:ascii="Arial" w:hAnsi="Arial" w:cs="Arial"/>
          <w:sz w:val="22"/>
          <w:szCs w:val="22"/>
        </w:rPr>
        <w:t xml:space="preserve"> </w:t>
      </w:r>
      <w:r w:rsidR="006354A5">
        <w:rPr>
          <w:rFonts w:ascii="Arial" w:hAnsi="Arial" w:cs="Arial"/>
          <w:sz w:val="22"/>
          <w:szCs w:val="22"/>
        </w:rPr>
        <w:t>for the period July 2023 to June 2024</w:t>
      </w:r>
      <w:r>
        <w:rPr>
          <w:rFonts w:ascii="Arial" w:hAnsi="Arial" w:cs="Arial"/>
          <w:sz w:val="22"/>
          <w:szCs w:val="22"/>
        </w:rPr>
        <w:t>.</w:t>
      </w:r>
    </w:p>
    <w:p w14:paraId="452AD718" w14:textId="5F84E3E1" w:rsidR="006854B8" w:rsidRDefault="0007021F" w:rsidP="00F93A0D">
      <w:pPr>
        <w:tabs>
          <w:tab w:val="num" w:pos="720"/>
        </w:tabs>
        <w:spacing w:beforeLines="40" w:before="96" w:afterLines="40" w:after="96"/>
        <w:jc w:val="both"/>
        <w:rPr>
          <w:rFonts w:ascii="Arial" w:hAnsi="Arial" w:cs="Arial"/>
          <w:sz w:val="22"/>
          <w:szCs w:val="22"/>
        </w:rPr>
      </w:pPr>
      <w:r>
        <w:rPr>
          <w:rFonts w:ascii="Arial" w:hAnsi="Arial" w:cs="Arial"/>
          <w:sz w:val="22"/>
          <w:szCs w:val="22"/>
        </w:rPr>
        <w:t xml:space="preserve">The government carries out a range of activities, from providing </w:t>
      </w:r>
      <w:r w:rsidR="00C83DBC">
        <w:rPr>
          <w:rFonts w:ascii="Arial" w:hAnsi="Arial" w:cs="Arial"/>
          <w:sz w:val="22"/>
          <w:szCs w:val="22"/>
        </w:rPr>
        <w:t xml:space="preserve">essential </w:t>
      </w:r>
      <w:r>
        <w:rPr>
          <w:rFonts w:ascii="Arial" w:hAnsi="Arial" w:cs="Arial"/>
          <w:sz w:val="22"/>
          <w:szCs w:val="22"/>
        </w:rPr>
        <w:t>goods and services to redistributing income and wealth</w:t>
      </w:r>
      <w:r w:rsidR="00F93A0D">
        <w:rPr>
          <w:rFonts w:ascii="Arial" w:hAnsi="Arial" w:cs="Arial"/>
          <w:sz w:val="22"/>
          <w:szCs w:val="22"/>
        </w:rPr>
        <w:t xml:space="preserve">. </w:t>
      </w:r>
      <w:r>
        <w:rPr>
          <w:rFonts w:ascii="Arial" w:hAnsi="Arial" w:cs="Arial"/>
          <w:sz w:val="22"/>
          <w:szCs w:val="22"/>
        </w:rPr>
        <w:t xml:space="preserve">Given the large and significant role of the government, it is </w:t>
      </w:r>
      <w:r w:rsidR="00C83DBC">
        <w:rPr>
          <w:rFonts w:ascii="Arial" w:hAnsi="Arial" w:cs="Arial"/>
          <w:sz w:val="22"/>
          <w:szCs w:val="22"/>
        </w:rPr>
        <w:t>crucial</w:t>
      </w:r>
      <w:r>
        <w:rPr>
          <w:rFonts w:ascii="Arial" w:hAnsi="Arial" w:cs="Arial"/>
          <w:sz w:val="22"/>
          <w:szCs w:val="22"/>
        </w:rPr>
        <w:t xml:space="preserve"> to </w:t>
      </w:r>
      <w:r w:rsidR="006321AF">
        <w:rPr>
          <w:rFonts w:ascii="Arial" w:hAnsi="Arial" w:cs="Arial"/>
          <w:sz w:val="22"/>
          <w:szCs w:val="22"/>
        </w:rPr>
        <w:t>understand</w:t>
      </w:r>
      <w:r>
        <w:rPr>
          <w:rFonts w:ascii="Arial" w:hAnsi="Arial" w:cs="Arial"/>
          <w:sz w:val="22"/>
          <w:szCs w:val="22"/>
        </w:rPr>
        <w:t xml:space="preserve"> the impact of government activities on the economy.</w:t>
      </w:r>
      <w:r w:rsidR="00AA0C43">
        <w:rPr>
          <w:rFonts w:ascii="Arial" w:hAnsi="Arial" w:cs="Arial"/>
          <w:sz w:val="22"/>
          <w:szCs w:val="22"/>
        </w:rPr>
        <w:t xml:space="preserve"> Public finance statistics </w:t>
      </w:r>
      <w:r w:rsidR="006321AF">
        <w:rPr>
          <w:rFonts w:ascii="Arial" w:hAnsi="Arial" w:cs="Arial"/>
          <w:sz w:val="22"/>
          <w:szCs w:val="22"/>
        </w:rPr>
        <w:t>serve as a</w:t>
      </w:r>
      <w:r w:rsidR="00AA0C43">
        <w:rPr>
          <w:rFonts w:ascii="Arial" w:hAnsi="Arial" w:cs="Arial"/>
          <w:sz w:val="22"/>
          <w:szCs w:val="22"/>
        </w:rPr>
        <w:t xml:space="preserve"> financial mirror of </w:t>
      </w:r>
      <w:r w:rsidR="006321AF">
        <w:rPr>
          <w:rFonts w:ascii="Arial" w:hAnsi="Arial" w:cs="Arial"/>
          <w:sz w:val="22"/>
          <w:szCs w:val="22"/>
        </w:rPr>
        <w:t>these</w:t>
      </w:r>
      <w:r w:rsidR="00AA0C43">
        <w:rPr>
          <w:rFonts w:ascii="Arial" w:hAnsi="Arial" w:cs="Arial"/>
          <w:sz w:val="22"/>
          <w:szCs w:val="22"/>
        </w:rPr>
        <w:t xml:space="preserve"> activities. The</w:t>
      </w:r>
      <w:r w:rsidR="006321AF">
        <w:rPr>
          <w:rFonts w:ascii="Arial" w:hAnsi="Arial" w:cs="Arial"/>
          <w:sz w:val="22"/>
          <w:szCs w:val="22"/>
        </w:rPr>
        <w:t>se statistics</w:t>
      </w:r>
      <w:r w:rsidR="00AA0C43">
        <w:rPr>
          <w:rFonts w:ascii="Arial" w:hAnsi="Arial" w:cs="Arial"/>
          <w:sz w:val="22"/>
          <w:szCs w:val="22"/>
        </w:rPr>
        <w:t xml:space="preserve"> </w:t>
      </w:r>
      <w:r w:rsidR="006321AF">
        <w:rPr>
          <w:rFonts w:ascii="Arial" w:hAnsi="Arial" w:cs="Arial"/>
          <w:sz w:val="22"/>
          <w:szCs w:val="22"/>
        </w:rPr>
        <w:t xml:space="preserve">help track how the government raises revenue, allocates spending and manages </w:t>
      </w:r>
      <w:r w:rsidR="00AA0C43">
        <w:rPr>
          <w:rFonts w:ascii="Arial" w:hAnsi="Arial" w:cs="Arial"/>
          <w:sz w:val="22"/>
          <w:szCs w:val="22"/>
        </w:rPr>
        <w:t>public resources.</w:t>
      </w:r>
      <w:r w:rsidR="004E56A4">
        <w:rPr>
          <w:rFonts w:ascii="Arial" w:hAnsi="Arial" w:cs="Arial"/>
          <w:sz w:val="22"/>
          <w:szCs w:val="22"/>
        </w:rPr>
        <w:t xml:space="preserve"> This publication</w:t>
      </w:r>
      <w:r w:rsidR="00BF5329">
        <w:rPr>
          <w:rFonts w:ascii="Arial" w:hAnsi="Arial" w:cs="Arial"/>
          <w:sz w:val="22"/>
          <w:szCs w:val="22"/>
        </w:rPr>
        <w:t xml:space="preserve"> </w:t>
      </w:r>
      <w:r w:rsidR="00C83DBC">
        <w:rPr>
          <w:rFonts w:ascii="Arial" w:hAnsi="Arial" w:cs="Arial"/>
          <w:sz w:val="22"/>
          <w:szCs w:val="22"/>
        </w:rPr>
        <w:t>sheds light on</w:t>
      </w:r>
      <w:r w:rsidR="001A03F4">
        <w:rPr>
          <w:rFonts w:ascii="Arial" w:hAnsi="Arial" w:cs="Arial"/>
          <w:sz w:val="22"/>
          <w:szCs w:val="22"/>
        </w:rPr>
        <w:t xml:space="preserve"> </w:t>
      </w:r>
      <w:r w:rsidR="00E1026E">
        <w:rPr>
          <w:rFonts w:ascii="Arial" w:hAnsi="Arial" w:cs="Arial"/>
          <w:sz w:val="22"/>
          <w:szCs w:val="22"/>
        </w:rPr>
        <w:t>the country’s public finance</w:t>
      </w:r>
      <w:r w:rsidR="008F1863">
        <w:rPr>
          <w:rFonts w:ascii="Arial" w:hAnsi="Arial" w:cs="Arial"/>
          <w:sz w:val="22"/>
          <w:szCs w:val="22"/>
        </w:rPr>
        <w:t xml:space="preserve"> situation, with the aim of</w:t>
      </w:r>
      <w:r w:rsidR="00E1026E">
        <w:rPr>
          <w:rFonts w:ascii="Arial" w:hAnsi="Arial" w:cs="Arial"/>
          <w:sz w:val="22"/>
          <w:szCs w:val="22"/>
        </w:rPr>
        <w:t xml:space="preserve"> </w:t>
      </w:r>
      <w:r w:rsidR="00700511">
        <w:rPr>
          <w:rFonts w:ascii="Arial" w:hAnsi="Arial" w:cs="Arial"/>
          <w:sz w:val="22"/>
          <w:szCs w:val="22"/>
        </w:rPr>
        <w:t>deepen</w:t>
      </w:r>
      <w:r w:rsidR="008F1863">
        <w:rPr>
          <w:rFonts w:ascii="Arial" w:hAnsi="Arial" w:cs="Arial"/>
          <w:sz w:val="22"/>
          <w:szCs w:val="22"/>
        </w:rPr>
        <w:t>ing</w:t>
      </w:r>
      <w:r w:rsidR="004E56A4">
        <w:rPr>
          <w:rFonts w:ascii="Arial" w:hAnsi="Arial" w:cs="Arial"/>
          <w:sz w:val="22"/>
          <w:szCs w:val="22"/>
        </w:rPr>
        <w:t xml:space="preserve"> </w:t>
      </w:r>
      <w:r w:rsidR="008F1863">
        <w:rPr>
          <w:rFonts w:ascii="Arial" w:hAnsi="Arial" w:cs="Arial"/>
          <w:sz w:val="22"/>
          <w:szCs w:val="22"/>
        </w:rPr>
        <w:t xml:space="preserve">public </w:t>
      </w:r>
      <w:r w:rsidR="004E56A4">
        <w:rPr>
          <w:rFonts w:ascii="Arial" w:hAnsi="Arial" w:cs="Arial"/>
          <w:sz w:val="22"/>
          <w:szCs w:val="22"/>
        </w:rPr>
        <w:t xml:space="preserve">understanding of </w:t>
      </w:r>
      <w:r w:rsidR="00E1026E">
        <w:rPr>
          <w:rFonts w:ascii="Arial" w:hAnsi="Arial" w:cs="Arial"/>
          <w:sz w:val="22"/>
          <w:szCs w:val="22"/>
        </w:rPr>
        <w:t>fiscal</w:t>
      </w:r>
      <w:r w:rsidR="004E56A4">
        <w:rPr>
          <w:rFonts w:ascii="Arial" w:hAnsi="Arial" w:cs="Arial"/>
          <w:sz w:val="22"/>
          <w:szCs w:val="22"/>
        </w:rPr>
        <w:t xml:space="preserve"> developments.</w:t>
      </w:r>
    </w:p>
    <w:p w14:paraId="178A9F05" w14:textId="745D9850" w:rsidR="00F93A0D" w:rsidRDefault="00BF5329" w:rsidP="00F93A0D">
      <w:pPr>
        <w:tabs>
          <w:tab w:val="num" w:pos="720"/>
        </w:tabs>
        <w:spacing w:beforeLines="40" w:before="96" w:afterLines="40" w:after="96"/>
        <w:jc w:val="both"/>
        <w:rPr>
          <w:rFonts w:ascii="Arial" w:hAnsi="Arial" w:cs="Arial"/>
          <w:sz w:val="22"/>
          <w:szCs w:val="22"/>
        </w:rPr>
      </w:pPr>
      <w:r>
        <w:rPr>
          <w:rFonts w:ascii="Arial" w:hAnsi="Arial" w:cs="Arial"/>
          <w:sz w:val="22"/>
          <w:szCs w:val="22"/>
        </w:rPr>
        <w:t xml:space="preserve">Public finance statistics provided herein </w:t>
      </w:r>
      <w:r w:rsidR="00DC6106">
        <w:rPr>
          <w:rFonts w:ascii="Arial" w:hAnsi="Arial" w:cs="Arial"/>
          <w:sz w:val="22"/>
          <w:szCs w:val="22"/>
        </w:rPr>
        <w:t xml:space="preserve">are compiled </w:t>
      </w:r>
      <w:r>
        <w:rPr>
          <w:rFonts w:ascii="Arial" w:hAnsi="Arial" w:cs="Arial"/>
          <w:sz w:val="22"/>
          <w:szCs w:val="22"/>
        </w:rPr>
        <w:t>in accordance with</w:t>
      </w:r>
      <w:r w:rsidR="00DC6106">
        <w:rPr>
          <w:rFonts w:ascii="Arial" w:hAnsi="Arial" w:cs="Arial"/>
          <w:sz w:val="22"/>
          <w:szCs w:val="22"/>
        </w:rPr>
        <w:t xml:space="preserve"> </w:t>
      </w:r>
      <w:r w:rsidR="00EE7824">
        <w:rPr>
          <w:rFonts w:ascii="Arial" w:hAnsi="Arial" w:cs="Arial"/>
          <w:sz w:val="22"/>
          <w:szCs w:val="22"/>
        </w:rPr>
        <w:t xml:space="preserve">international standards such as </w:t>
      </w:r>
      <w:r>
        <w:rPr>
          <w:rFonts w:ascii="Arial" w:hAnsi="Arial" w:cs="Arial"/>
          <w:sz w:val="22"/>
          <w:szCs w:val="22"/>
        </w:rPr>
        <w:t>the Government Finance Statistics (GFS) framework guided by the</w:t>
      </w:r>
      <w:r w:rsidR="00DC6106">
        <w:rPr>
          <w:rFonts w:ascii="Arial" w:hAnsi="Arial" w:cs="Arial"/>
          <w:sz w:val="22"/>
          <w:szCs w:val="22"/>
        </w:rPr>
        <w:t xml:space="preserve"> </w:t>
      </w:r>
      <w:r w:rsidR="00DC6106" w:rsidRPr="00DC6106">
        <w:rPr>
          <w:rFonts w:ascii="Arial" w:hAnsi="Arial" w:cs="Arial"/>
          <w:b/>
          <w:bCs/>
          <w:sz w:val="22"/>
          <w:szCs w:val="22"/>
        </w:rPr>
        <w:t xml:space="preserve">Government Finance Statistics Manual </w:t>
      </w:r>
      <w:r w:rsidR="006D77B6" w:rsidRPr="006D77B6">
        <w:rPr>
          <w:rFonts w:ascii="Arial" w:hAnsi="Arial" w:cs="Arial"/>
          <w:b/>
          <w:bCs/>
          <w:sz w:val="22"/>
          <w:szCs w:val="22"/>
        </w:rPr>
        <w:t>(GFSM)</w:t>
      </w:r>
      <w:r w:rsidR="006D77B6" w:rsidRPr="00DC6106">
        <w:rPr>
          <w:rFonts w:ascii="Arial" w:hAnsi="Arial" w:cs="Arial"/>
          <w:sz w:val="22"/>
          <w:szCs w:val="22"/>
        </w:rPr>
        <w:t xml:space="preserve"> </w:t>
      </w:r>
      <w:r w:rsidR="00DC6106" w:rsidRPr="00DC6106">
        <w:rPr>
          <w:rFonts w:ascii="Arial" w:hAnsi="Arial" w:cs="Arial"/>
          <w:b/>
          <w:bCs/>
          <w:sz w:val="22"/>
          <w:szCs w:val="22"/>
        </w:rPr>
        <w:t>2014</w:t>
      </w:r>
      <w:r w:rsidR="00DC6106" w:rsidRPr="00DC6106">
        <w:rPr>
          <w:rFonts w:ascii="Arial" w:hAnsi="Arial" w:cs="Arial"/>
          <w:sz w:val="22"/>
          <w:szCs w:val="22"/>
        </w:rPr>
        <w:t xml:space="preserve"> of the International Monetary Fund (IMF)</w:t>
      </w:r>
      <w:r w:rsidR="008F20FC">
        <w:rPr>
          <w:rFonts w:ascii="Arial" w:hAnsi="Arial" w:cs="Arial"/>
          <w:sz w:val="22"/>
          <w:szCs w:val="22"/>
        </w:rPr>
        <w:t xml:space="preserve">. </w:t>
      </w:r>
      <w:r>
        <w:rPr>
          <w:rFonts w:ascii="Arial" w:hAnsi="Arial" w:cs="Arial"/>
          <w:sz w:val="22"/>
          <w:szCs w:val="22"/>
        </w:rPr>
        <w:t>Concepts and definitions</w:t>
      </w:r>
      <w:r w:rsidR="008F20FC" w:rsidRPr="008F20FC">
        <w:rPr>
          <w:rFonts w:ascii="Arial" w:hAnsi="Arial" w:cs="Arial"/>
          <w:sz w:val="22"/>
          <w:szCs w:val="22"/>
        </w:rPr>
        <w:t xml:space="preserve"> </w:t>
      </w:r>
      <w:r>
        <w:rPr>
          <w:rFonts w:ascii="Arial" w:hAnsi="Arial" w:cs="Arial"/>
          <w:sz w:val="22"/>
          <w:szCs w:val="22"/>
        </w:rPr>
        <w:t>used to compile d</w:t>
      </w:r>
      <w:r w:rsidRPr="00BF5329">
        <w:rPr>
          <w:rFonts w:ascii="Arial" w:hAnsi="Arial" w:cs="Arial"/>
          <w:sz w:val="22"/>
          <w:szCs w:val="22"/>
        </w:rPr>
        <w:t xml:space="preserve">ata on government operations </w:t>
      </w:r>
      <w:r w:rsidR="008F20FC" w:rsidRPr="008F20FC">
        <w:rPr>
          <w:rFonts w:ascii="Arial" w:hAnsi="Arial" w:cs="Arial"/>
          <w:sz w:val="22"/>
          <w:szCs w:val="22"/>
        </w:rPr>
        <w:t xml:space="preserve">are given at </w:t>
      </w:r>
      <w:r w:rsidR="00B61303">
        <w:rPr>
          <w:rFonts w:ascii="Arial" w:hAnsi="Arial" w:cs="Arial"/>
          <w:sz w:val="22"/>
          <w:szCs w:val="22"/>
        </w:rPr>
        <w:t>section 11.3</w:t>
      </w:r>
      <w:r w:rsidR="008F20FC" w:rsidRPr="008F20FC">
        <w:rPr>
          <w:rFonts w:ascii="Arial" w:hAnsi="Arial" w:cs="Arial"/>
          <w:sz w:val="22"/>
          <w:szCs w:val="22"/>
        </w:rPr>
        <w:t>.</w:t>
      </w:r>
      <w:r w:rsidR="00554573">
        <w:rPr>
          <w:rFonts w:ascii="Arial" w:hAnsi="Arial" w:cs="Arial"/>
          <w:sz w:val="22"/>
          <w:szCs w:val="22"/>
        </w:rPr>
        <w:t xml:space="preserve"> </w:t>
      </w:r>
      <w:r w:rsidR="00534B13">
        <w:rPr>
          <w:rFonts w:ascii="Arial" w:hAnsi="Arial" w:cs="Arial"/>
          <w:sz w:val="22"/>
          <w:szCs w:val="22"/>
        </w:rPr>
        <w:t>Us</w:t>
      </w:r>
      <w:r w:rsidR="00554573">
        <w:rPr>
          <w:rFonts w:ascii="Arial" w:hAnsi="Arial" w:cs="Arial"/>
          <w:sz w:val="22"/>
          <w:szCs w:val="22"/>
        </w:rPr>
        <w:t xml:space="preserve">ers should note that the statistics </w:t>
      </w:r>
      <w:r w:rsidR="00120360">
        <w:rPr>
          <w:rFonts w:ascii="Arial" w:hAnsi="Arial" w:cs="Arial"/>
          <w:sz w:val="22"/>
          <w:szCs w:val="22"/>
        </w:rPr>
        <w:t xml:space="preserve">presented in this </w:t>
      </w:r>
      <w:r w:rsidR="00B620AE">
        <w:rPr>
          <w:rFonts w:ascii="Arial" w:hAnsi="Arial" w:cs="Arial"/>
          <w:sz w:val="22"/>
          <w:szCs w:val="22"/>
        </w:rPr>
        <w:t>publication</w:t>
      </w:r>
      <w:r w:rsidR="00120360">
        <w:rPr>
          <w:rFonts w:ascii="Arial" w:hAnsi="Arial" w:cs="Arial"/>
          <w:sz w:val="22"/>
          <w:szCs w:val="22"/>
        </w:rPr>
        <w:t xml:space="preserve"> </w:t>
      </w:r>
      <w:r w:rsidR="00554573">
        <w:rPr>
          <w:rFonts w:ascii="Arial" w:hAnsi="Arial" w:cs="Arial"/>
          <w:sz w:val="22"/>
          <w:szCs w:val="22"/>
        </w:rPr>
        <w:t xml:space="preserve">may </w:t>
      </w:r>
      <w:r w:rsidR="00120360">
        <w:rPr>
          <w:rFonts w:ascii="Arial" w:hAnsi="Arial" w:cs="Arial"/>
          <w:sz w:val="22"/>
          <w:szCs w:val="22"/>
        </w:rPr>
        <w:t>differ</w:t>
      </w:r>
      <w:r w:rsidR="00554573">
        <w:rPr>
          <w:rFonts w:ascii="Arial" w:hAnsi="Arial" w:cs="Arial"/>
          <w:sz w:val="22"/>
          <w:szCs w:val="22"/>
        </w:rPr>
        <w:t xml:space="preserve"> from national budget and fiscal accounting data</w:t>
      </w:r>
      <w:r w:rsidR="00B620AE">
        <w:rPr>
          <w:rFonts w:ascii="Arial" w:hAnsi="Arial" w:cs="Arial"/>
          <w:sz w:val="22"/>
          <w:szCs w:val="22"/>
        </w:rPr>
        <w:t xml:space="preserve"> due to differences in coverage, classifications, recording principles and treatment of specific items</w:t>
      </w:r>
      <w:r w:rsidR="00554573">
        <w:rPr>
          <w:rFonts w:ascii="Arial" w:hAnsi="Arial" w:cs="Arial"/>
          <w:sz w:val="22"/>
          <w:szCs w:val="22"/>
        </w:rPr>
        <w:t>.</w:t>
      </w:r>
    </w:p>
    <w:p w14:paraId="62E7A5AD" w14:textId="71FFF9C7" w:rsidR="00D85D8F" w:rsidRDefault="008E121B" w:rsidP="00E025A3">
      <w:pPr>
        <w:tabs>
          <w:tab w:val="num" w:pos="720"/>
        </w:tabs>
        <w:spacing w:beforeLines="40" w:before="96"/>
        <w:jc w:val="both"/>
        <w:rPr>
          <w:rFonts w:ascii="Arial" w:hAnsi="Arial" w:cs="Arial"/>
          <w:sz w:val="22"/>
          <w:szCs w:val="22"/>
        </w:rPr>
      </w:pPr>
      <w:r>
        <w:rPr>
          <w:rFonts w:ascii="Arial" w:hAnsi="Arial" w:cs="Arial"/>
          <w:sz w:val="22"/>
          <w:szCs w:val="22"/>
        </w:rPr>
        <w:t>Although</w:t>
      </w:r>
      <w:r w:rsidR="00C7426E">
        <w:rPr>
          <w:rFonts w:ascii="Arial" w:hAnsi="Arial" w:cs="Arial"/>
          <w:sz w:val="22"/>
          <w:szCs w:val="22"/>
        </w:rPr>
        <w:t xml:space="preserve"> t</w:t>
      </w:r>
      <w:r w:rsidR="00C7426E" w:rsidRPr="00C7426E">
        <w:rPr>
          <w:rFonts w:ascii="Arial" w:hAnsi="Arial" w:cs="Arial"/>
          <w:sz w:val="22"/>
          <w:szCs w:val="22"/>
        </w:rPr>
        <w:t>he GFS framework encourages the compilation of statistics on the public sector</w:t>
      </w:r>
      <w:r w:rsidR="00C7426E">
        <w:rPr>
          <w:rFonts w:ascii="Arial" w:hAnsi="Arial" w:cs="Arial"/>
          <w:sz w:val="22"/>
          <w:szCs w:val="22"/>
        </w:rPr>
        <w:t xml:space="preserve">, </w:t>
      </w:r>
      <w:r>
        <w:rPr>
          <w:rFonts w:ascii="Arial" w:hAnsi="Arial" w:cs="Arial"/>
          <w:sz w:val="22"/>
          <w:szCs w:val="22"/>
        </w:rPr>
        <w:t>this publication</w:t>
      </w:r>
      <w:r w:rsidR="00C7426E">
        <w:rPr>
          <w:rFonts w:ascii="Arial" w:hAnsi="Arial" w:cs="Arial"/>
          <w:sz w:val="22"/>
          <w:szCs w:val="22"/>
        </w:rPr>
        <w:t xml:space="preserve"> currently </w:t>
      </w:r>
      <w:r>
        <w:rPr>
          <w:rFonts w:ascii="Arial" w:hAnsi="Arial" w:cs="Arial"/>
          <w:sz w:val="22"/>
          <w:szCs w:val="22"/>
        </w:rPr>
        <w:t>focuses on</w:t>
      </w:r>
      <w:r w:rsidR="00C7426E">
        <w:rPr>
          <w:rFonts w:ascii="Arial" w:hAnsi="Arial" w:cs="Arial"/>
          <w:sz w:val="22"/>
          <w:szCs w:val="22"/>
        </w:rPr>
        <w:t xml:space="preserve"> the </w:t>
      </w:r>
      <w:r w:rsidR="005F5D92">
        <w:rPr>
          <w:rFonts w:ascii="Arial" w:hAnsi="Arial" w:cs="Arial"/>
          <w:b/>
          <w:bCs/>
          <w:sz w:val="22"/>
          <w:szCs w:val="22"/>
        </w:rPr>
        <w:t>g</w:t>
      </w:r>
      <w:r w:rsidR="00C7426E" w:rsidRPr="00C7426E">
        <w:rPr>
          <w:rFonts w:ascii="Arial" w:hAnsi="Arial" w:cs="Arial"/>
          <w:b/>
          <w:bCs/>
          <w:sz w:val="22"/>
          <w:szCs w:val="22"/>
        </w:rPr>
        <w:t xml:space="preserve">eneral </w:t>
      </w:r>
      <w:r w:rsidR="005F5D92">
        <w:rPr>
          <w:rFonts w:ascii="Arial" w:hAnsi="Arial" w:cs="Arial"/>
          <w:b/>
          <w:bCs/>
          <w:sz w:val="22"/>
          <w:szCs w:val="22"/>
        </w:rPr>
        <w:t>g</w:t>
      </w:r>
      <w:r w:rsidR="00C7426E" w:rsidRPr="00C7426E">
        <w:rPr>
          <w:rFonts w:ascii="Arial" w:hAnsi="Arial" w:cs="Arial"/>
          <w:b/>
          <w:bCs/>
          <w:sz w:val="22"/>
          <w:szCs w:val="22"/>
        </w:rPr>
        <w:t xml:space="preserve">overnment </w:t>
      </w:r>
      <w:r w:rsidR="00C7426E" w:rsidRPr="008E121B">
        <w:rPr>
          <w:rFonts w:ascii="Arial" w:hAnsi="Arial" w:cs="Arial"/>
          <w:b/>
          <w:bCs/>
          <w:sz w:val="22"/>
          <w:szCs w:val="22"/>
        </w:rPr>
        <w:t>sector</w:t>
      </w:r>
      <w:r w:rsidR="00F93A0D">
        <w:rPr>
          <w:rFonts w:ascii="Arial" w:hAnsi="Arial" w:cs="Arial"/>
          <w:sz w:val="22"/>
          <w:szCs w:val="22"/>
        </w:rPr>
        <w:t>.</w:t>
      </w:r>
      <w:r w:rsidR="00C7426E">
        <w:rPr>
          <w:rFonts w:ascii="Arial" w:hAnsi="Arial" w:cs="Arial"/>
          <w:sz w:val="22"/>
          <w:szCs w:val="22"/>
        </w:rPr>
        <w:t xml:space="preserve"> </w:t>
      </w:r>
      <w:r>
        <w:rPr>
          <w:rFonts w:ascii="Arial" w:hAnsi="Arial" w:cs="Arial"/>
          <w:sz w:val="22"/>
          <w:szCs w:val="22"/>
        </w:rPr>
        <w:t>The coverage</w:t>
      </w:r>
      <w:r w:rsidR="00C7426E">
        <w:rPr>
          <w:rFonts w:ascii="Arial" w:hAnsi="Arial" w:cs="Arial"/>
          <w:sz w:val="22"/>
          <w:szCs w:val="22"/>
        </w:rPr>
        <w:t xml:space="preserve"> includes budgetary central government, extra budgetary units, social security funds, regional government and local authorities</w:t>
      </w:r>
      <w:r w:rsidR="008F2A73">
        <w:rPr>
          <w:rFonts w:ascii="Arial" w:hAnsi="Arial" w:cs="Arial"/>
          <w:sz w:val="22"/>
          <w:szCs w:val="22"/>
        </w:rPr>
        <w:t>,</w:t>
      </w:r>
      <w:r w:rsidR="00C7605D">
        <w:rPr>
          <w:rFonts w:ascii="Arial" w:hAnsi="Arial" w:cs="Arial"/>
          <w:sz w:val="22"/>
          <w:szCs w:val="22"/>
        </w:rPr>
        <w:t xml:space="preserve"> but excludes public corporations</w:t>
      </w:r>
      <w:r w:rsidR="00C7426E">
        <w:rPr>
          <w:rFonts w:ascii="Arial" w:hAnsi="Arial" w:cs="Arial"/>
          <w:sz w:val="22"/>
          <w:szCs w:val="22"/>
        </w:rPr>
        <w:t xml:space="preserve">. </w:t>
      </w:r>
      <w:r>
        <w:rPr>
          <w:rFonts w:ascii="Arial" w:hAnsi="Arial" w:cs="Arial"/>
          <w:sz w:val="22"/>
          <w:szCs w:val="22"/>
        </w:rPr>
        <w:t>Importantly,</w:t>
      </w:r>
      <w:r w:rsidR="00C7426E">
        <w:rPr>
          <w:rFonts w:ascii="Arial" w:hAnsi="Arial" w:cs="Arial"/>
          <w:sz w:val="22"/>
          <w:szCs w:val="22"/>
        </w:rPr>
        <w:t xml:space="preserve"> the data </w:t>
      </w:r>
      <w:r>
        <w:rPr>
          <w:rFonts w:ascii="Arial" w:hAnsi="Arial" w:cs="Arial"/>
          <w:sz w:val="22"/>
          <w:szCs w:val="22"/>
        </w:rPr>
        <w:t>are</w:t>
      </w:r>
      <w:r w:rsidR="00C7426E">
        <w:rPr>
          <w:rFonts w:ascii="Arial" w:hAnsi="Arial" w:cs="Arial"/>
          <w:sz w:val="22"/>
          <w:szCs w:val="22"/>
        </w:rPr>
        <w:t xml:space="preserve"> presented on a </w:t>
      </w:r>
      <w:r w:rsidR="00C7426E" w:rsidRPr="00C7426E">
        <w:rPr>
          <w:rFonts w:ascii="Arial" w:hAnsi="Arial" w:cs="Arial"/>
          <w:b/>
          <w:bCs/>
          <w:sz w:val="22"/>
          <w:szCs w:val="22"/>
        </w:rPr>
        <w:t>consolidated</w:t>
      </w:r>
      <w:r w:rsidR="00C7426E">
        <w:rPr>
          <w:rFonts w:ascii="Arial" w:hAnsi="Arial" w:cs="Arial"/>
          <w:sz w:val="22"/>
          <w:szCs w:val="22"/>
        </w:rPr>
        <w:t xml:space="preserve"> basis, </w:t>
      </w:r>
      <w:r>
        <w:rPr>
          <w:rFonts w:ascii="Arial" w:hAnsi="Arial" w:cs="Arial"/>
          <w:sz w:val="22"/>
          <w:szCs w:val="22"/>
        </w:rPr>
        <w:t>whereby</w:t>
      </w:r>
      <w:r w:rsidR="00C7426E">
        <w:rPr>
          <w:rFonts w:ascii="Arial" w:hAnsi="Arial" w:cs="Arial"/>
          <w:sz w:val="22"/>
          <w:szCs w:val="22"/>
        </w:rPr>
        <w:t xml:space="preserve"> </w:t>
      </w:r>
      <w:r w:rsidR="00093492" w:rsidRPr="00093492">
        <w:rPr>
          <w:rFonts w:ascii="Arial" w:hAnsi="Arial" w:cs="Arial"/>
          <w:sz w:val="22"/>
          <w:szCs w:val="22"/>
        </w:rPr>
        <w:t xml:space="preserve">all government units are combined and </w:t>
      </w:r>
      <w:r>
        <w:rPr>
          <w:rFonts w:ascii="Arial" w:hAnsi="Arial" w:cs="Arial"/>
          <w:sz w:val="22"/>
          <w:szCs w:val="22"/>
        </w:rPr>
        <w:t>treat</w:t>
      </w:r>
      <w:r w:rsidR="00093492" w:rsidRPr="00093492">
        <w:rPr>
          <w:rFonts w:ascii="Arial" w:hAnsi="Arial" w:cs="Arial"/>
          <w:sz w:val="22"/>
          <w:szCs w:val="22"/>
        </w:rPr>
        <w:t xml:space="preserve">ed as a single </w:t>
      </w:r>
      <w:r>
        <w:rPr>
          <w:rFonts w:ascii="Arial" w:hAnsi="Arial" w:cs="Arial"/>
          <w:sz w:val="22"/>
          <w:szCs w:val="22"/>
        </w:rPr>
        <w:t>entity</w:t>
      </w:r>
      <w:r w:rsidR="00093492">
        <w:rPr>
          <w:rFonts w:ascii="Arial" w:hAnsi="Arial" w:cs="Arial"/>
          <w:sz w:val="22"/>
          <w:szCs w:val="22"/>
        </w:rPr>
        <w:t xml:space="preserve">. </w:t>
      </w:r>
      <w:r w:rsidR="00093492" w:rsidRPr="00093492">
        <w:rPr>
          <w:rFonts w:ascii="Arial" w:hAnsi="Arial" w:cs="Arial"/>
          <w:sz w:val="22"/>
          <w:szCs w:val="22"/>
        </w:rPr>
        <w:t>This involves eliminating</w:t>
      </w:r>
      <w:r w:rsidR="00093492">
        <w:rPr>
          <w:rFonts w:ascii="Arial" w:hAnsi="Arial" w:cs="Arial"/>
          <w:sz w:val="22"/>
          <w:szCs w:val="22"/>
        </w:rPr>
        <w:t xml:space="preserve"> </w:t>
      </w:r>
      <w:r w:rsidR="00093492" w:rsidRPr="00093492">
        <w:rPr>
          <w:rFonts w:ascii="Arial" w:hAnsi="Arial" w:cs="Arial"/>
          <w:sz w:val="22"/>
          <w:szCs w:val="22"/>
        </w:rPr>
        <w:t>transactions</w:t>
      </w:r>
      <w:r w:rsidR="00093492">
        <w:rPr>
          <w:rFonts w:ascii="Arial" w:hAnsi="Arial" w:cs="Arial"/>
          <w:sz w:val="22"/>
          <w:szCs w:val="22"/>
        </w:rPr>
        <w:t xml:space="preserve"> </w:t>
      </w:r>
      <w:r w:rsidR="008E0BCA">
        <w:rPr>
          <w:rFonts w:ascii="Arial" w:hAnsi="Arial" w:cs="Arial"/>
          <w:sz w:val="22"/>
          <w:szCs w:val="22"/>
        </w:rPr>
        <w:t>between different</w:t>
      </w:r>
      <w:r w:rsidR="00093492">
        <w:rPr>
          <w:rFonts w:ascii="Arial" w:hAnsi="Arial" w:cs="Arial"/>
          <w:sz w:val="22"/>
          <w:szCs w:val="22"/>
        </w:rPr>
        <w:t xml:space="preserve"> government units </w:t>
      </w:r>
      <w:r w:rsidR="00554573">
        <w:rPr>
          <w:rFonts w:ascii="Arial" w:hAnsi="Arial" w:cs="Arial"/>
          <w:sz w:val="22"/>
          <w:szCs w:val="22"/>
        </w:rPr>
        <w:t xml:space="preserve">being consolidated </w:t>
      </w:r>
      <w:r>
        <w:rPr>
          <w:rFonts w:ascii="Arial" w:hAnsi="Arial" w:cs="Arial"/>
          <w:sz w:val="22"/>
          <w:szCs w:val="22"/>
        </w:rPr>
        <w:t>to avoid duplication.</w:t>
      </w:r>
    </w:p>
    <w:p w14:paraId="4736C0C8" w14:textId="77777777" w:rsidR="00BF5329" w:rsidRDefault="00BF5329" w:rsidP="00E025A3">
      <w:pPr>
        <w:tabs>
          <w:tab w:val="num" w:pos="720"/>
        </w:tabs>
        <w:jc w:val="both"/>
        <w:rPr>
          <w:rFonts w:ascii="Arial" w:hAnsi="Arial" w:cs="Arial"/>
          <w:sz w:val="22"/>
          <w:szCs w:val="22"/>
        </w:rPr>
      </w:pPr>
    </w:p>
    <w:p w14:paraId="6BCBB6A3" w14:textId="298B6276" w:rsidR="00F93A0D" w:rsidRDefault="00D85D8F" w:rsidP="00E025A3">
      <w:pPr>
        <w:numPr>
          <w:ilvl w:val="0"/>
          <w:numId w:val="10"/>
        </w:numPr>
        <w:spacing w:beforeLines="40" w:before="96" w:afterLines="40" w:after="96"/>
        <w:ind w:left="357" w:hanging="357"/>
        <w:jc w:val="both"/>
        <w:rPr>
          <w:rFonts w:ascii="Arial" w:hAnsi="Arial" w:cs="Arial"/>
          <w:b/>
          <w:smallCaps/>
          <w:sz w:val="22"/>
          <w:szCs w:val="22"/>
        </w:rPr>
      </w:pPr>
      <w:r>
        <w:rPr>
          <w:rFonts w:ascii="Arial" w:hAnsi="Arial" w:cs="Arial"/>
          <w:b/>
          <w:smallCaps/>
          <w:sz w:val="22"/>
          <w:szCs w:val="22"/>
        </w:rPr>
        <w:t xml:space="preserve">      </w:t>
      </w:r>
      <w:r w:rsidR="008175CD">
        <w:rPr>
          <w:rFonts w:ascii="Arial" w:hAnsi="Arial" w:cs="Arial"/>
          <w:b/>
          <w:smallCaps/>
          <w:sz w:val="22"/>
          <w:szCs w:val="22"/>
        </w:rPr>
        <w:t>H</w:t>
      </w:r>
      <w:r w:rsidR="00F93A0D">
        <w:rPr>
          <w:rFonts w:ascii="Arial" w:hAnsi="Arial" w:cs="Arial"/>
          <w:b/>
          <w:smallCaps/>
          <w:sz w:val="22"/>
          <w:szCs w:val="22"/>
        </w:rPr>
        <w:t xml:space="preserve">ighlights – </w:t>
      </w:r>
      <w:r w:rsidR="008175CD">
        <w:rPr>
          <w:rFonts w:ascii="Arial" w:hAnsi="Arial" w:cs="Arial"/>
          <w:b/>
          <w:smallCaps/>
          <w:sz w:val="22"/>
          <w:szCs w:val="22"/>
        </w:rPr>
        <w:t>C</w:t>
      </w:r>
      <w:r w:rsidR="00037E63">
        <w:rPr>
          <w:rFonts w:ascii="Arial" w:hAnsi="Arial" w:cs="Arial"/>
          <w:b/>
          <w:smallCaps/>
          <w:sz w:val="22"/>
          <w:szCs w:val="22"/>
        </w:rPr>
        <w:t xml:space="preserve">onsolidated </w:t>
      </w:r>
      <w:r w:rsidR="008175CD">
        <w:rPr>
          <w:rFonts w:ascii="Arial" w:hAnsi="Arial" w:cs="Arial"/>
          <w:b/>
          <w:smallCaps/>
          <w:sz w:val="22"/>
          <w:szCs w:val="22"/>
        </w:rPr>
        <w:t>G</w:t>
      </w:r>
      <w:r w:rsidR="00037E63">
        <w:rPr>
          <w:rFonts w:ascii="Arial" w:hAnsi="Arial" w:cs="Arial"/>
          <w:b/>
          <w:smallCaps/>
          <w:sz w:val="22"/>
          <w:szCs w:val="22"/>
        </w:rPr>
        <w:t xml:space="preserve">eneral </w:t>
      </w:r>
      <w:r w:rsidR="008175CD">
        <w:rPr>
          <w:rFonts w:ascii="Arial" w:hAnsi="Arial" w:cs="Arial"/>
          <w:b/>
          <w:smallCaps/>
          <w:sz w:val="22"/>
          <w:szCs w:val="22"/>
        </w:rPr>
        <w:t>G</w:t>
      </w:r>
      <w:r w:rsidR="00037E63">
        <w:rPr>
          <w:rFonts w:ascii="Arial" w:hAnsi="Arial" w:cs="Arial"/>
          <w:b/>
          <w:smallCaps/>
          <w:sz w:val="22"/>
          <w:szCs w:val="22"/>
        </w:rPr>
        <w:t>overnment</w:t>
      </w:r>
    </w:p>
    <w:p w14:paraId="756F674C" w14:textId="5B61A1C2" w:rsidR="002931DB" w:rsidRDefault="002931DB" w:rsidP="002931DB">
      <w:pPr>
        <w:adjustRightInd w:val="0"/>
        <w:spacing w:beforeLines="40" w:before="96" w:afterLines="40" w:after="96"/>
        <w:ind w:left="720"/>
        <w:jc w:val="both"/>
        <w:rPr>
          <w:rFonts w:ascii="Arial" w:hAnsi="Arial" w:cs="Arial"/>
          <w:sz w:val="22"/>
          <w:szCs w:val="22"/>
        </w:rPr>
      </w:pPr>
      <w:bookmarkStart w:id="0" w:name="_Hlk205878361"/>
      <w:r>
        <w:rPr>
          <w:rFonts w:ascii="Arial" w:hAnsi="Arial" w:cs="Arial"/>
          <w:sz w:val="22"/>
          <w:szCs w:val="22"/>
        </w:rPr>
        <w:t xml:space="preserve">In the </w:t>
      </w:r>
      <w:r w:rsidR="007F16B4">
        <w:rPr>
          <w:rFonts w:ascii="Arial" w:hAnsi="Arial" w:cs="Arial"/>
          <w:sz w:val="22"/>
          <w:szCs w:val="22"/>
        </w:rPr>
        <w:t xml:space="preserve">fiscal </w:t>
      </w:r>
      <w:r>
        <w:rPr>
          <w:rFonts w:ascii="Arial" w:hAnsi="Arial" w:cs="Arial"/>
          <w:sz w:val="22"/>
          <w:szCs w:val="22"/>
        </w:rPr>
        <w:t>year end</w:t>
      </w:r>
      <w:r w:rsidR="007F16B4">
        <w:rPr>
          <w:rFonts w:ascii="Arial" w:hAnsi="Arial" w:cs="Arial"/>
          <w:sz w:val="22"/>
          <w:szCs w:val="22"/>
        </w:rPr>
        <w:t>ing</w:t>
      </w:r>
      <w:r>
        <w:rPr>
          <w:rFonts w:ascii="Arial" w:hAnsi="Arial" w:cs="Arial"/>
          <w:sz w:val="22"/>
          <w:szCs w:val="22"/>
        </w:rPr>
        <w:t xml:space="preserve"> June 2024</w:t>
      </w:r>
      <w:bookmarkEnd w:id="0"/>
      <w:r>
        <w:rPr>
          <w:rFonts w:ascii="Arial" w:hAnsi="Arial" w:cs="Arial"/>
          <w:sz w:val="22"/>
          <w:szCs w:val="22"/>
        </w:rPr>
        <w:t>:</w:t>
      </w:r>
    </w:p>
    <w:p w14:paraId="53DAEB97" w14:textId="2B557A59" w:rsidR="00F93A0D" w:rsidRPr="00AB03F9" w:rsidRDefault="009B476A" w:rsidP="00070017">
      <w:pPr>
        <w:numPr>
          <w:ilvl w:val="0"/>
          <w:numId w:val="11"/>
        </w:numPr>
        <w:adjustRightInd w:val="0"/>
        <w:spacing w:beforeLines="40" w:before="96" w:afterLines="40" w:after="96"/>
        <w:jc w:val="both"/>
        <w:rPr>
          <w:rFonts w:ascii="Arial" w:hAnsi="Arial" w:cs="Arial"/>
          <w:sz w:val="22"/>
          <w:szCs w:val="22"/>
        </w:rPr>
      </w:pPr>
      <w:r>
        <w:rPr>
          <w:rFonts w:ascii="Arial" w:hAnsi="Arial" w:cs="Arial"/>
          <w:sz w:val="22"/>
          <w:szCs w:val="22"/>
        </w:rPr>
        <w:t xml:space="preserve">Public finances continued to show a deficit. The </w:t>
      </w:r>
      <w:r w:rsidR="00A03E74">
        <w:rPr>
          <w:rFonts w:ascii="Arial" w:hAnsi="Arial" w:cs="Arial"/>
          <w:sz w:val="22"/>
          <w:szCs w:val="22"/>
        </w:rPr>
        <w:t>gross</w:t>
      </w:r>
      <w:r w:rsidR="002931DB" w:rsidRPr="00AB299E">
        <w:rPr>
          <w:rFonts w:ascii="Arial" w:hAnsi="Arial" w:cs="Arial"/>
          <w:sz w:val="22"/>
          <w:szCs w:val="22"/>
        </w:rPr>
        <w:t xml:space="preserve"> operating balance</w:t>
      </w:r>
      <w:r w:rsidR="00871E14">
        <w:rPr>
          <w:rFonts w:ascii="Arial" w:hAnsi="Arial" w:cs="Arial"/>
          <w:sz w:val="22"/>
          <w:szCs w:val="22"/>
        </w:rPr>
        <w:t xml:space="preserve">, which represents the gap between revenue and </w:t>
      </w:r>
      <w:r w:rsidR="00A03E74">
        <w:rPr>
          <w:rFonts w:ascii="Arial" w:hAnsi="Arial" w:cs="Arial"/>
          <w:sz w:val="22"/>
          <w:szCs w:val="22"/>
        </w:rPr>
        <w:t xml:space="preserve">recurrent </w:t>
      </w:r>
      <w:r w:rsidR="00871E14">
        <w:rPr>
          <w:rFonts w:ascii="Arial" w:hAnsi="Arial" w:cs="Arial"/>
          <w:sz w:val="22"/>
          <w:szCs w:val="22"/>
        </w:rPr>
        <w:t xml:space="preserve">expenses, </w:t>
      </w:r>
      <w:r w:rsidR="002931DB" w:rsidRPr="00AB299E">
        <w:rPr>
          <w:rFonts w:ascii="Arial" w:hAnsi="Arial" w:cs="Arial"/>
          <w:sz w:val="22"/>
          <w:szCs w:val="22"/>
        </w:rPr>
        <w:t>recorded a deficit of R</w:t>
      </w:r>
      <w:r w:rsidR="00C04ED7">
        <w:rPr>
          <w:rFonts w:ascii="Arial" w:hAnsi="Arial" w:cs="Arial"/>
          <w:sz w:val="22"/>
          <w:szCs w:val="22"/>
        </w:rPr>
        <w:t>s</w:t>
      </w:r>
      <w:r w:rsidR="00AB299E" w:rsidRPr="00AB299E">
        <w:rPr>
          <w:rFonts w:ascii="Arial" w:hAnsi="Arial" w:cs="Arial"/>
          <w:sz w:val="22"/>
          <w:szCs w:val="22"/>
        </w:rPr>
        <w:t xml:space="preserve"> 44.3 billion</w:t>
      </w:r>
      <w:r w:rsidR="002931DB" w:rsidRPr="00AB299E">
        <w:rPr>
          <w:rFonts w:ascii="Arial" w:hAnsi="Arial" w:cs="Arial"/>
          <w:sz w:val="22"/>
          <w:szCs w:val="22"/>
        </w:rPr>
        <w:t xml:space="preserve"> </w:t>
      </w:r>
      <w:r w:rsidR="00A03E74">
        <w:rPr>
          <w:rFonts w:ascii="Arial" w:hAnsi="Arial" w:cs="Arial"/>
          <w:sz w:val="22"/>
          <w:szCs w:val="22"/>
        </w:rPr>
        <w:t>after</w:t>
      </w:r>
      <w:r w:rsidR="00AB299E" w:rsidRPr="00AB299E">
        <w:rPr>
          <w:rFonts w:ascii="Arial" w:hAnsi="Arial" w:cs="Arial"/>
          <w:sz w:val="22"/>
          <w:szCs w:val="22"/>
        </w:rPr>
        <w:t xml:space="preserve"> a shortfall of R</w:t>
      </w:r>
      <w:r w:rsidR="00C04ED7">
        <w:rPr>
          <w:rFonts w:ascii="Arial" w:hAnsi="Arial" w:cs="Arial"/>
          <w:sz w:val="22"/>
          <w:szCs w:val="22"/>
        </w:rPr>
        <w:t>s</w:t>
      </w:r>
      <w:r w:rsidR="00AB299E" w:rsidRPr="00AB299E">
        <w:rPr>
          <w:rFonts w:ascii="Arial" w:hAnsi="Arial" w:cs="Arial"/>
          <w:sz w:val="22"/>
          <w:szCs w:val="22"/>
        </w:rPr>
        <w:t xml:space="preserve"> 23.3 billion </w:t>
      </w:r>
      <w:r w:rsidR="002931DB" w:rsidRPr="00AB299E">
        <w:rPr>
          <w:rFonts w:ascii="Arial" w:hAnsi="Arial" w:cs="Arial"/>
          <w:sz w:val="22"/>
          <w:szCs w:val="22"/>
        </w:rPr>
        <w:t xml:space="preserve">in </w:t>
      </w:r>
      <w:r w:rsidR="00F93A0D" w:rsidRPr="00AB299E">
        <w:rPr>
          <w:rFonts w:ascii="Arial" w:hAnsi="Arial" w:cs="Arial"/>
          <w:sz w:val="22"/>
          <w:szCs w:val="22"/>
        </w:rPr>
        <w:t>20</w:t>
      </w:r>
      <w:r w:rsidR="00D906EB" w:rsidRPr="00AB299E">
        <w:rPr>
          <w:rFonts w:ascii="Arial" w:hAnsi="Arial" w:cs="Arial"/>
          <w:sz w:val="22"/>
          <w:szCs w:val="22"/>
        </w:rPr>
        <w:t>2</w:t>
      </w:r>
      <w:r w:rsidR="00DB6097" w:rsidRPr="00AB299E">
        <w:rPr>
          <w:rFonts w:ascii="Arial" w:hAnsi="Arial" w:cs="Arial"/>
          <w:sz w:val="22"/>
          <w:szCs w:val="22"/>
        </w:rPr>
        <w:t>2</w:t>
      </w:r>
      <w:r w:rsidR="00F93A0D" w:rsidRPr="00AB299E">
        <w:rPr>
          <w:rFonts w:ascii="Arial" w:hAnsi="Arial" w:cs="Arial"/>
          <w:sz w:val="22"/>
          <w:szCs w:val="22"/>
        </w:rPr>
        <w:t>/20</w:t>
      </w:r>
      <w:r w:rsidR="00317BBF" w:rsidRPr="00AB299E">
        <w:rPr>
          <w:rFonts w:ascii="Arial" w:hAnsi="Arial" w:cs="Arial"/>
          <w:sz w:val="22"/>
          <w:szCs w:val="22"/>
        </w:rPr>
        <w:t>2</w:t>
      </w:r>
      <w:r w:rsidR="00DB6097" w:rsidRPr="00AB299E">
        <w:rPr>
          <w:rFonts w:ascii="Arial" w:hAnsi="Arial" w:cs="Arial"/>
          <w:sz w:val="22"/>
          <w:szCs w:val="22"/>
        </w:rPr>
        <w:t>3</w:t>
      </w:r>
      <w:r w:rsidR="00F93A0D" w:rsidRPr="00AB299E">
        <w:rPr>
          <w:rFonts w:ascii="Arial" w:hAnsi="Arial" w:cs="Arial"/>
          <w:sz w:val="22"/>
          <w:szCs w:val="22"/>
        </w:rPr>
        <w:t>.</w:t>
      </w:r>
      <w:r w:rsidR="002931DB" w:rsidRPr="00AB299E">
        <w:rPr>
          <w:rFonts w:ascii="Arial" w:hAnsi="Arial" w:cs="Arial"/>
          <w:sz w:val="22"/>
          <w:szCs w:val="22"/>
        </w:rPr>
        <w:t xml:space="preserve"> This was due to expenses outpacing revenue.</w:t>
      </w:r>
    </w:p>
    <w:p w14:paraId="09C159B0" w14:textId="29711A8E" w:rsidR="00634635" w:rsidRDefault="00117D94" w:rsidP="00070017">
      <w:pPr>
        <w:numPr>
          <w:ilvl w:val="0"/>
          <w:numId w:val="11"/>
        </w:numPr>
        <w:spacing w:beforeLines="40" w:before="96" w:afterLines="40" w:after="96"/>
        <w:jc w:val="both"/>
        <w:rPr>
          <w:rFonts w:ascii="Arial" w:eastAsia="Calibri" w:hAnsi="Arial" w:cs="Arial"/>
          <w:sz w:val="22"/>
          <w:szCs w:val="22"/>
        </w:rPr>
      </w:pPr>
      <w:r>
        <w:rPr>
          <w:rFonts w:ascii="Arial" w:eastAsia="Calibri" w:hAnsi="Arial" w:cs="Arial"/>
          <w:sz w:val="22"/>
          <w:szCs w:val="22"/>
        </w:rPr>
        <w:t>R</w:t>
      </w:r>
      <w:r w:rsidR="00C04ED7" w:rsidRPr="00C04ED7">
        <w:rPr>
          <w:rFonts w:ascii="Arial" w:eastAsia="Calibri" w:hAnsi="Arial" w:cs="Arial"/>
          <w:sz w:val="22"/>
          <w:szCs w:val="22"/>
        </w:rPr>
        <w:t xml:space="preserve">evenue </w:t>
      </w:r>
      <w:r>
        <w:rPr>
          <w:rFonts w:ascii="Arial" w:eastAsia="Calibri" w:hAnsi="Arial" w:cs="Arial"/>
          <w:sz w:val="22"/>
          <w:szCs w:val="22"/>
        </w:rPr>
        <w:t>grew</w:t>
      </w:r>
      <w:r w:rsidR="00C04ED7" w:rsidRPr="00C04ED7">
        <w:rPr>
          <w:rFonts w:ascii="Arial" w:eastAsia="Calibri" w:hAnsi="Arial" w:cs="Arial"/>
          <w:sz w:val="22"/>
          <w:szCs w:val="22"/>
        </w:rPr>
        <w:t xml:space="preserve"> by 8.</w:t>
      </w:r>
      <w:r w:rsidR="006C6ACE">
        <w:rPr>
          <w:rFonts w:ascii="Arial" w:eastAsia="Calibri" w:hAnsi="Arial" w:cs="Arial"/>
          <w:sz w:val="22"/>
          <w:szCs w:val="22"/>
        </w:rPr>
        <w:t>1</w:t>
      </w:r>
      <w:r w:rsidR="00C04ED7" w:rsidRPr="00C04ED7">
        <w:rPr>
          <w:rFonts w:ascii="Arial" w:eastAsia="Calibri" w:hAnsi="Arial" w:cs="Arial"/>
          <w:sz w:val="22"/>
          <w:szCs w:val="22"/>
        </w:rPr>
        <w:t>% to reach around Rs 17</w:t>
      </w:r>
      <w:r w:rsidR="006C6ACE">
        <w:rPr>
          <w:rFonts w:ascii="Arial" w:eastAsia="Calibri" w:hAnsi="Arial" w:cs="Arial"/>
          <w:sz w:val="22"/>
          <w:szCs w:val="22"/>
        </w:rPr>
        <w:t>0</w:t>
      </w:r>
      <w:r w:rsidR="00C04ED7" w:rsidRPr="00C04ED7">
        <w:rPr>
          <w:rFonts w:ascii="Arial" w:eastAsia="Calibri" w:hAnsi="Arial" w:cs="Arial"/>
          <w:sz w:val="22"/>
          <w:szCs w:val="22"/>
        </w:rPr>
        <w:t>.</w:t>
      </w:r>
      <w:r w:rsidR="006C6ACE">
        <w:rPr>
          <w:rFonts w:ascii="Arial" w:eastAsia="Calibri" w:hAnsi="Arial" w:cs="Arial"/>
          <w:sz w:val="22"/>
          <w:szCs w:val="22"/>
        </w:rPr>
        <w:t>4</w:t>
      </w:r>
      <w:r w:rsidR="00C04ED7" w:rsidRPr="00C04ED7">
        <w:rPr>
          <w:rFonts w:ascii="Arial" w:eastAsia="Calibri" w:hAnsi="Arial" w:cs="Arial"/>
          <w:sz w:val="22"/>
          <w:szCs w:val="22"/>
        </w:rPr>
        <w:t xml:space="preserve"> billion</w:t>
      </w:r>
      <w:r>
        <w:rPr>
          <w:rFonts w:ascii="Arial" w:eastAsia="Calibri" w:hAnsi="Arial" w:cs="Arial"/>
          <w:sz w:val="22"/>
          <w:szCs w:val="22"/>
        </w:rPr>
        <w:t>, up</w:t>
      </w:r>
      <w:r w:rsidR="00C356E2">
        <w:rPr>
          <w:rFonts w:ascii="Arial" w:eastAsia="Calibri" w:hAnsi="Arial" w:cs="Arial"/>
          <w:sz w:val="22"/>
          <w:szCs w:val="22"/>
        </w:rPr>
        <w:t xml:space="preserve"> from Rs 157.7 billion in </w:t>
      </w:r>
      <w:r w:rsidR="00C356E2">
        <w:rPr>
          <w:rFonts w:ascii="Arial" w:hAnsi="Arial" w:cs="Arial"/>
          <w:sz w:val="22"/>
          <w:szCs w:val="22"/>
        </w:rPr>
        <w:t>the year ended June 2023</w:t>
      </w:r>
      <w:r w:rsidR="00F93A0D" w:rsidRPr="00C04ED7">
        <w:rPr>
          <w:rFonts w:ascii="Arial" w:eastAsia="Calibri" w:hAnsi="Arial" w:cs="Arial"/>
          <w:sz w:val="22"/>
          <w:szCs w:val="22"/>
        </w:rPr>
        <w:t>.</w:t>
      </w:r>
      <w:r w:rsidR="00C04ED7" w:rsidRPr="00C04ED7">
        <w:rPr>
          <w:rFonts w:ascii="Arial" w:eastAsia="Calibri" w:hAnsi="Arial" w:cs="Arial"/>
          <w:sz w:val="22"/>
          <w:szCs w:val="22"/>
        </w:rPr>
        <w:t xml:space="preserve"> Tax revenue was the largest contributor to the rise in revenue, accounting for 8</w:t>
      </w:r>
      <w:r w:rsidR="006C6ACE">
        <w:rPr>
          <w:rFonts w:ascii="Arial" w:eastAsia="Calibri" w:hAnsi="Arial" w:cs="Arial"/>
          <w:sz w:val="22"/>
          <w:szCs w:val="22"/>
        </w:rPr>
        <w:t>7</w:t>
      </w:r>
      <w:r w:rsidR="00C04ED7" w:rsidRPr="00C04ED7">
        <w:rPr>
          <w:rFonts w:ascii="Arial" w:eastAsia="Calibri" w:hAnsi="Arial" w:cs="Arial"/>
          <w:sz w:val="22"/>
          <w:szCs w:val="22"/>
        </w:rPr>
        <w:t>.</w:t>
      </w:r>
      <w:r w:rsidR="006C6ACE">
        <w:rPr>
          <w:rFonts w:ascii="Arial" w:eastAsia="Calibri" w:hAnsi="Arial" w:cs="Arial"/>
          <w:sz w:val="22"/>
          <w:szCs w:val="22"/>
        </w:rPr>
        <w:t>4</w:t>
      </w:r>
      <w:r w:rsidR="00C04ED7" w:rsidRPr="00C04ED7">
        <w:rPr>
          <w:rFonts w:ascii="Arial" w:eastAsia="Calibri" w:hAnsi="Arial" w:cs="Arial"/>
          <w:sz w:val="22"/>
          <w:szCs w:val="22"/>
        </w:rPr>
        <w:t>% of the growth in revenue.</w:t>
      </w:r>
    </w:p>
    <w:p w14:paraId="1AD129A4" w14:textId="1493D3B0" w:rsidR="00920D33" w:rsidRDefault="00F729D8" w:rsidP="00070017">
      <w:pPr>
        <w:numPr>
          <w:ilvl w:val="0"/>
          <w:numId w:val="11"/>
        </w:numPr>
        <w:spacing w:beforeLines="40" w:before="96" w:afterLines="40" w:after="96"/>
        <w:jc w:val="both"/>
        <w:rPr>
          <w:rFonts w:ascii="Arial" w:eastAsia="Calibri" w:hAnsi="Arial" w:cs="Arial"/>
          <w:sz w:val="22"/>
          <w:szCs w:val="22"/>
        </w:rPr>
      </w:pPr>
      <w:r w:rsidRPr="00F729D8">
        <w:rPr>
          <w:rFonts w:ascii="Arial" w:eastAsia="Calibri" w:hAnsi="Arial" w:cs="Arial"/>
          <w:sz w:val="22"/>
          <w:szCs w:val="22"/>
        </w:rPr>
        <w:t>Value</w:t>
      </w:r>
      <w:r w:rsidR="001721A3">
        <w:rPr>
          <w:rFonts w:ascii="Arial" w:eastAsia="Calibri" w:hAnsi="Arial" w:cs="Arial"/>
          <w:sz w:val="22"/>
          <w:szCs w:val="22"/>
        </w:rPr>
        <w:t>-</w:t>
      </w:r>
      <w:r w:rsidRPr="00F729D8">
        <w:rPr>
          <w:rFonts w:ascii="Arial" w:eastAsia="Calibri" w:hAnsi="Arial" w:cs="Arial"/>
          <w:sz w:val="22"/>
          <w:szCs w:val="22"/>
        </w:rPr>
        <w:t>Added Tax (</w:t>
      </w:r>
      <w:r>
        <w:rPr>
          <w:rFonts w:ascii="Arial" w:eastAsia="Calibri" w:hAnsi="Arial" w:cs="Arial"/>
          <w:sz w:val="22"/>
          <w:szCs w:val="22"/>
        </w:rPr>
        <w:t xml:space="preserve">Rs </w:t>
      </w:r>
      <w:r w:rsidR="00F04282">
        <w:rPr>
          <w:rFonts w:ascii="Arial" w:eastAsia="Calibri" w:hAnsi="Arial" w:cs="Arial"/>
          <w:sz w:val="22"/>
          <w:szCs w:val="22"/>
        </w:rPr>
        <w:t xml:space="preserve">53.2 </w:t>
      </w:r>
      <w:r>
        <w:rPr>
          <w:rFonts w:ascii="Arial" w:eastAsia="Calibri" w:hAnsi="Arial" w:cs="Arial"/>
          <w:sz w:val="22"/>
          <w:szCs w:val="22"/>
        </w:rPr>
        <w:t>billion</w:t>
      </w:r>
      <w:r w:rsidRPr="00F729D8">
        <w:rPr>
          <w:rFonts w:ascii="Arial" w:eastAsia="Calibri" w:hAnsi="Arial" w:cs="Arial"/>
          <w:sz w:val="22"/>
          <w:szCs w:val="22"/>
        </w:rPr>
        <w:t>)</w:t>
      </w:r>
      <w:r>
        <w:rPr>
          <w:rFonts w:ascii="Arial" w:eastAsia="Calibri" w:hAnsi="Arial" w:cs="Arial"/>
          <w:sz w:val="22"/>
          <w:szCs w:val="22"/>
        </w:rPr>
        <w:t xml:space="preserve">, </w:t>
      </w:r>
      <w:r w:rsidR="00221995">
        <w:rPr>
          <w:rFonts w:ascii="Arial" w:eastAsia="Calibri" w:hAnsi="Arial" w:cs="Arial"/>
          <w:sz w:val="22"/>
          <w:szCs w:val="22"/>
        </w:rPr>
        <w:t>corporate and business taxes</w:t>
      </w:r>
      <w:r w:rsidR="00F04282">
        <w:rPr>
          <w:rFonts w:ascii="Arial" w:eastAsia="Calibri" w:hAnsi="Arial" w:cs="Arial"/>
          <w:sz w:val="22"/>
          <w:szCs w:val="22"/>
        </w:rPr>
        <w:t xml:space="preserve"> (Rs 28.7 billion) and excise</w:t>
      </w:r>
      <w:r w:rsidR="00221995">
        <w:rPr>
          <w:rFonts w:ascii="Arial" w:eastAsia="Calibri" w:hAnsi="Arial" w:cs="Arial"/>
          <w:sz w:val="22"/>
          <w:szCs w:val="22"/>
        </w:rPr>
        <w:t xml:space="preserve"> dutie</w:t>
      </w:r>
      <w:r w:rsidR="00F04282">
        <w:rPr>
          <w:rFonts w:ascii="Arial" w:eastAsia="Calibri" w:hAnsi="Arial" w:cs="Arial"/>
          <w:sz w:val="22"/>
          <w:szCs w:val="22"/>
        </w:rPr>
        <w:t>s (Rs 21.1 billion)</w:t>
      </w:r>
      <w:r w:rsidR="00F35991" w:rsidRPr="00F35991">
        <w:t xml:space="preserve"> </w:t>
      </w:r>
      <w:r w:rsidR="00F35991">
        <w:rPr>
          <w:rFonts w:ascii="Arial" w:eastAsia="Calibri" w:hAnsi="Arial" w:cs="Arial"/>
          <w:sz w:val="22"/>
          <w:szCs w:val="22"/>
        </w:rPr>
        <w:t>were t</w:t>
      </w:r>
      <w:r w:rsidR="00F35991" w:rsidRPr="00F35991">
        <w:rPr>
          <w:rFonts w:ascii="Arial" w:eastAsia="Calibri" w:hAnsi="Arial" w:cs="Arial"/>
          <w:sz w:val="22"/>
          <w:szCs w:val="22"/>
        </w:rPr>
        <w:t>he largest tax revenue sources for the government</w:t>
      </w:r>
      <w:r w:rsidR="00F04282">
        <w:rPr>
          <w:rFonts w:ascii="Arial" w:eastAsia="Calibri" w:hAnsi="Arial" w:cs="Arial"/>
          <w:sz w:val="22"/>
          <w:szCs w:val="22"/>
        </w:rPr>
        <w:t xml:space="preserve">, </w:t>
      </w:r>
      <w:r w:rsidR="00221995">
        <w:rPr>
          <w:rFonts w:ascii="Arial" w:eastAsia="Calibri" w:hAnsi="Arial" w:cs="Arial"/>
          <w:sz w:val="22"/>
          <w:szCs w:val="22"/>
        </w:rPr>
        <w:t>highlight</w:t>
      </w:r>
      <w:r w:rsidR="00F04282">
        <w:rPr>
          <w:rFonts w:ascii="Arial" w:eastAsia="Calibri" w:hAnsi="Arial" w:cs="Arial"/>
          <w:sz w:val="22"/>
          <w:szCs w:val="22"/>
        </w:rPr>
        <w:t xml:space="preserve">ing </w:t>
      </w:r>
      <w:r w:rsidR="00221995">
        <w:rPr>
          <w:rFonts w:ascii="Arial" w:eastAsia="Calibri" w:hAnsi="Arial" w:cs="Arial"/>
          <w:sz w:val="22"/>
          <w:szCs w:val="22"/>
        </w:rPr>
        <w:t>a dependence</w:t>
      </w:r>
      <w:r w:rsidR="00F04282">
        <w:rPr>
          <w:rFonts w:ascii="Arial" w:eastAsia="Calibri" w:hAnsi="Arial" w:cs="Arial"/>
          <w:sz w:val="22"/>
          <w:szCs w:val="22"/>
        </w:rPr>
        <w:t xml:space="preserve"> on consumption</w:t>
      </w:r>
      <w:r w:rsidR="00221995">
        <w:rPr>
          <w:rFonts w:ascii="Arial" w:eastAsia="Calibri" w:hAnsi="Arial" w:cs="Arial"/>
          <w:sz w:val="22"/>
          <w:szCs w:val="22"/>
        </w:rPr>
        <w:t>-based</w:t>
      </w:r>
      <w:r w:rsidR="00F04282">
        <w:rPr>
          <w:rFonts w:ascii="Arial" w:eastAsia="Calibri" w:hAnsi="Arial" w:cs="Arial"/>
          <w:sz w:val="22"/>
          <w:szCs w:val="22"/>
        </w:rPr>
        <w:t xml:space="preserve"> tax</w:t>
      </w:r>
      <w:r w:rsidR="00221995">
        <w:rPr>
          <w:rFonts w:ascii="Arial" w:eastAsia="Calibri" w:hAnsi="Arial" w:cs="Arial"/>
          <w:sz w:val="22"/>
          <w:szCs w:val="22"/>
        </w:rPr>
        <w:t>ation</w:t>
      </w:r>
      <w:r w:rsidR="00F04282">
        <w:rPr>
          <w:rFonts w:ascii="Arial" w:eastAsia="Calibri" w:hAnsi="Arial" w:cs="Arial"/>
          <w:sz w:val="22"/>
          <w:szCs w:val="22"/>
        </w:rPr>
        <w:t>.</w:t>
      </w:r>
    </w:p>
    <w:p w14:paraId="4094A27E" w14:textId="6005B5DD" w:rsidR="0041275D" w:rsidRPr="00AB03F9" w:rsidRDefault="000A12CF" w:rsidP="00070017">
      <w:pPr>
        <w:numPr>
          <w:ilvl w:val="0"/>
          <w:numId w:val="11"/>
        </w:numPr>
        <w:spacing w:beforeLines="40" w:before="96" w:afterLines="40" w:after="96"/>
        <w:jc w:val="both"/>
        <w:rPr>
          <w:rFonts w:ascii="Arial" w:eastAsia="Calibri" w:hAnsi="Arial" w:cs="Arial"/>
          <w:sz w:val="22"/>
          <w:szCs w:val="22"/>
        </w:rPr>
      </w:pPr>
      <w:r>
        <w:rPr>
          <w:rFonts w:ascii="Arial" w:eastAsia="Calibri" w:hAnsi="Arial" w:cs="Arial"/>
          <w:sz w:val="22"/>
          <w:szCs w:val="22"/>
        </w:rPr>
        <w:t xml:space="preserve">Expenditure remained </w:t>
      </w:r>
      <w:r w:rsidR="0024735E">
        <w:rPr>
          <w:rFonts w:ascii="Arial" w:eastAsia="Calibri" w:hAnsi="Arial" w:cs="Arial"/>
          <w:sz w:val="22"/>
          <w:szCs w:val="22"/>
        </w:rPr>
        <w:t>high</w:t>
      </w:r>
      <w:r>
        <w:rPr>
          <w:rFonts w:ascii="Arial" w:eastAsia="Calibri" w:hAnsi="Arial" w:cs="Arial"/>
          <w:sz w:val="22"/>
          <w:szCs w:val="22"/>
        </w:rPr>
        <w:t xml:space="preserve"> (Rs 22</w:t>
      </w:r>
      <w:r w:rsidR="006C6ACE">
        <w:rPr>
          <w:rFonts w:ascii="Arial" w:eastAsia="Calibri" w:hAnsi="Arial" w:cs="Arial"/>
          <w:sz w:val="22"/>
          <w:szCs w:val="22"/>
        </w:rPr>
        <w:t>6</w:t>
      </w:r>
      <w:r>
        <w:rPr>
          <w:rFonts w:ascii="Arial" w:eastAsia="Calibri" w:hAnsi="Arial" w:cs="Arial"/>
          <w:sz w:val="22"/>
          <w:szCs w:val="22"/>
        </w:rPr>
        <w:t>.</w:t>
      </w:r>
      <w:r w:rsidR="006C6ACE">
        <w:rPr>
          <w:rFonts w:ascii="Arial" w:eastAsia="Calibri" w:hAnsi="Arial" w:cs="Arial"/>
          <w:sz w:val="22"/>
          <w:szCs w:val="22"/>
        </w:rPr>
        <w:t>7</w:t>
      </w:r>
      <w:r>
        <w:rPr>
          <w:rFonts w:ascii="Arial" w:eastAsia="Calibri" w:hAnsi="Arial" w:cs="Arial"/>
          <w:sz w:val="22"/>
          <w:szCs w:val="22"/>
        </w:rPr>
        <w:t xml:space="preserve"> billion), large</w:t>
      </w:r>
      <w:r w:rsidRPr="000A12CF">
        <w:rPr>
          <w:rFonts w:ascii="Arial" w:eastAsia="Calibri" w:hAnsi="Arial" w:cs="Arial"/>
          <w:sz w:val="22"/>
          <w:szCs w:val="22"/>
        </w:rPr>
        <w:t xml:space="preserve">ly </w:t>
      </w:r>
      <w:r>
        <w:rPr>
          <w:rFonts w:ascii="Arial" w:eastAsia="Calibri" w:hAnsi="Arial" w:cs="Arial"/>
          <w:sz w:val="22"/>
          <w:szCs w:val="22"/>
        </w:rPr>
        <w:t>driven by recurrent expenses (94.</w:t>
      </w:r>
      <w:r w:rsidR="006C6ACE">
        <w:rPr>
          <w:rFonts w:ascii="Arial" w:eastAsia="Calibri" w:hAnsi="Arial" w:cs="Arial"/>
          <w:sz w:val="22"/>
          <w:szCs w:val="22"/>
        </w:rPr>
        <w:t>7</w:t>
      </w:r>
      <w:r>
        <w:rPr>
          <w:rFonts w:ascii="Arial" w:eastAsia="Calibri" w:hAnsi="Arial" w:cs="Arial"/>
          <w:sz w:val="22"/>
          <w:szCs w:val="22"/>
        </w:rPr>
        <w:t>%).</w:t>
      </w:r>
    </w:p>
    <w:p w14:paraId="1359BF8C" w14:textId="203D0095" w:rsidR="00F93A0D" w:rsidRPr="00AB03F9" w:rsidRDefault="006B34EE" w:rsidP="00070017">
      <w:pPr>
        <w:numPr>
          <w:ilvl w:val="0"/>
          <w:numId w:val="11"/>
        </w:numPr>
        <w:spacing w:beforeLines="40" w:before="96" w:afterLines="40" w:after="96"/>
        <w:ind w:left="714" w:hanging="357"/>
        <w:jc w:val="both"/>
        <w:rPr>
          <w:rFonts w:ascii="Arial" w:eastAsia="Calibri" w:hAnsi="Arial" w:cs="Arial"/>
          <w:sz w:val="22"/>
          <w:szCs w:val="22"/>
        </w:rPr>
      </w:pPr>
      <w:r>
        <w:rPr>
          <w:rFonts w:ascii="Arial" w:eastAsia="Calibri" w:hAnsi="Arial" w:cs="Arial"/>
          <w:sz w:val="22"/>
          <w:szCs w:val="22"/>
        </w:rPr>
        <w:t>Recurrent</w:t>
      </w:r>
      <w:r w:rsidR="00A9412D" w:rsidRPr="00A9412D">
        <w:rPr>
          <w:rFonts w:ascii="Arial" w:eastAsia="Calibri" w:hAnsi="Arial" w:cs="Arial"/>
          <w:sz w:val="22"/>
          <w:szCs w:val="22"/>
        </w:rPr>
        <w:t xml:space="preserve"> expenses attained </w:t>
      </w:r>
      <w:r w:rsidR="00CB56E0">
        <w:rPr>
          <w:rFonts w:ascii="Arial" w:eastAsia="Calibri" w:hAnsi="Arial" w:cs="Arial"/>
          <w:sz w:val="22"/>
          <w:szCs w:val="22"/>
        </w:rPr>
        <w:t xml:space="preserve">about </w:t>
      </w:r>
      <w:r w:rsidR="00A9412D" w:rsidRPr="00A9412D">
        <w:rPr>
          <w:rFonts w:ascii="Arial" w:eastAsia="Calibri" w:hAnsi="Arial" w:cs="Arial"/>
          <w:sz w:val="22"/>
          <w:szCs w:val="22"/>
        </w:rPr>
        <w:t>Rs 21</w:t>
      </w:r>
      <w:r w:rsidR="00726D8D">
        <w:rPr>
          <w:rFonts w:ascii="Arial" w:eastAsia="Calibri" w:hAnsi="Arial" w:cs="Arial"/>
          <w:sz w:val="22"/>
          <w:szCs w:val="22"/>
        </w:rPr>
        <w:t>4</w:t>
      </w:r>
      <w:r w:rsidR="00A9412D" w:rsidRPr="00A9412D">
        <w:rPr>
          <w:rFonts w:ascii="Arial" w:eastAsia="Calibri" w:hAnsi="Arial" w:cs="Arial"/>
          <w:sz w:val="22"/>
          <w:szCs w:val="22"/>
        </w:rPr>
        <w:t>.</w:t>
      </w:r>
      <w:r w:rsidR="00726D8D">
        <w:rPr>
          <w:rFonts w:ascii="Arial" w:eastAsia="Calibri" w:hAnsi="Arial" w:cs="Arial"/>
          <w:sz w:val="22"/>
          <w:szCs w:val="22"/>
        </w:rPr>
        <w:t>7</w:t>
      </w:r>
      <w:r w:rsidR="00A9412D" w:rsidRPr="00A9412D">
        <w:rPr>
          <w:rFonts w:ascii="Arial" w:eastAsia="Calibri" w:hAnsi="Arial" w:cs="Arial"/>
          <w:sz w:val="22"/>
          <w:szCs w:val="22"/>
        </w:rPr>
        <w:t xml:space="preserve"> billion, representing an increase of 1</w:t>
      </w:r>
      <w:r w:rsidR="00726D8D">
        <w:rPr>
          <w:rFonts w:ascii="Arial" w:eastAsia="Calibri" w:hAnsi="Arial" w:cs="Arial"/>
          <w:sz w:val="22"/>
          <w:szCs w:val="22"/>
        </w:rPr>
        <w:t>8</w:t>
      </w:r>
      <w:r w:rsidR="00A9412D" w:rsidRPr="00A9412D">
        <w:rPr>
          <w:rFonts w:ascii="Arial" w:eastAsia="Calibri" w:hAnsi="Arial" w:cs="Arial"/>
          <w:sz w:val="22"/>
          <w:szCs w:val="22"/>
        </w:rPr>
        <w:t>.</w:t>
      </w:r>
      <w:r w:rsidR="00726D8D">
        <w:rPr>
          <w:rFonts w:ascii="Arial" w:eastAsia="Calibri" w:hAnsi="Arial" w:cs="Arial"/>
          <w:sz w:val="22"/>
          <w:szCs w:val="22"/>
        </w:rPr>
        <w:t>7</w:t>
      </w:r>
      <w:r w:rsidR="00A9412D" w:rsidRPr="00A9412D">
        <w:rPr>
          <w:rFonts w:ascii="Arial" w:eastAsia="Calibri" w:hAnsi="Arial" w:cs="Arial"/>
          <w:sz w:val="22"/>
          <w:szCs w:val="22"/>
        </w:rPr>
        <w:t>% from Rs 181.0 billion in the fiscal year 2022/2023</w:t>
      </w:r>
      <w:r w:rsidR="00634635" w:rsidRPr="00A9412D">
        <w:rPr>
          <w:rFonts w:ascii="Arial" w:eastAsia="Calibri" w:hAnsi="Arial" w:cs="Arial"/>
          <w:sz w:val="22"/>
          <w:szCs w:val="22"/>
        </w:rPr>
        <w:t>.</w:t>
      </w:r>
      <w:r w:rsidR="00BF631B">
        <w:rPr>
          <w:rFonts w:ascii="Arial" w:eastAsia="Calibri" w:hAnsi="Arial" w:cs="Arial"/>
          <w:sz w:val="22"/>
          <w:szCs w:val="22"/>
        </w:rPr>
        <w:t xml:space="preserve"> The growth in expenses was </w:t>
      </w:r>
      <w:r w:rsidR="000A12CF">
        <w:rPr>
          <w:rFonts w:ascii="Arial" w:eastAsia="Calibri" w:hAnsi="Arial" w:cs="Arial"/>
          <w:sz w:val="22"/>
          <w:szCs w:val="22"/>
        </w:rPr>
        <w:t>primarily fuelled</w:t>
      </w:r>
      <w:r w:rsidR="00BF631B">
        <w:rPr>
          <w:rFonts w:ascii="Arial" w:eastAsia="Calibri" w:hAnsi="Arial" w:cs="Arial"/>
          <w:sz w:val="22"/>
          <w:szCs w:val="22"/>
        </w:rPr>
        <w:t xml:space="preserve"> by increases in transfers (Rs 1</w:t>
      </w:r>
      <w:r w:rsidR="00726D8D">
        <w:rPr>
          <w:rFonts w:ascii="Arial" w:eastAsia="Calibri" w:hAnsi="Arial" w:cs="Arial"/>
          <w:sz w:val="22"/>
          <w:szCs w:val="22"/>
        </w:rPr>
        <w:t>3</w:t>
      </w:r>
      <w:r w:rsidR="00BF631B">
        <w:rPr>
          <w:rFonts w:ascii="Arial" w:eastAsia="Calibri" w:hAnsi="Arial" w:cs="Arial"/>
          <w:sz w:val="22"/>
          <w:szCs w:val="22"/>
        </w:rPr>
        <w:t>.9 billion)</w:t>
      </w:r>
      <w:r w:rsidR="0086176B">
        <w:rPr>
          <w:rFonts w:ascii="Arial" w:eastAsia="Calibri" w:hAnsi="Arial" w:cs="Arial"/>
          <w:sz w:val="22"/>
          <w:szCs w:val="22"/>
        </w:rPr>
        <w:t xml:space="preserve"> and </w:t>
      </w:r>
      <w:r w:rsidR="00BF631B">
        <w:rPr>
          <w:rFonts w:ascii="Arial" w:eastAsia="Calibri" w:hAnsi="Arial" w:cs="Arial"/>
          <w:sz w:val="22"/>
          <w:szCs w:val="22"/>
        </w:rPr>
        <w:t>social benefits (</w:t>
      </w:r>
      <w:r w:rsidR="00DE1341">
        <w:rPr>
          <w:rFonts w:ascii="Arial" w:eastAsia="Calibri" w:hAnsi="Arial" w:cs="Arial"/>
          <w:sz w:val="22"/>
          <w:szCs w:val="22"/>
        </w:rPr>
        <w:t xml:space="preserve">Rs </w:t>
      </w:r>
      <w:r w:rsidR="00726D8D">
        <w:rPr>
          <w:rFonts w:ascii="Arial" w:eastAsia="Calibri" w:hAnsi="Arial" w:cs="Arial"/>
          <w:sz w:val="22"/>
          <w:szCs w:val="22"/>
        </w:rPr>
        <w:t>13</w:t>
      </w:r>
      <w:r w:rsidR="00DE1341">
        <w:rPr>
          <w:rFonts w:ascii="Arial" w:eastAsia="Calibri" w:hAnsi="Arial" w:cs="Arial"/>
          <w:sz w:val="22"/>
          <w:szCs w:val="22"/>
        </w:rPr>
        <w:t>.</w:t>
      </w:r>
      <w:r w:rsidR="00726D8D">
        <w:rPr>
          <w:rFonts w:ascii="Arial" w:eastAsia="Calibri" w:hAnsi="Arial" w:cs="Arial"/>
          <w:sz w:val="22"/>
          <w:szCs w:val="22"/>
        </w:rPr>
        <w:t>1</w:t>
      </w:r>
      <w:r w:rsidR="00DE1341">
        <w:rPr>
          <w:rFonts w:ascii="Arial" w:eastAsia="Calibri" w:hAnsi="Arial" w:cs="Arial"/>
          <w:sz w:val="22"/>
          <w:szCs w:val="22"/>
        </w:rPr>
        <w:t xml:space="preserve"> billion</w:t>
      </w:r>
      <w:r w:rsidR="00BF631B">
        <w:rPr>
          <w:rFonts w:ascii="Arial" w:eastAsia="Calibri" w:hAnsi="Arial" w:cs="Arial"/>
          <w:sz w:val="22"/>
          <w:szCs w:val="22"/>
        </w:rPr>
        <w:t>)</w:t>
      </w:r>
      <w:r w:rsidR="003350A4">
        <w:rPr>
          <w:rFonts w:ascii="Arial" w:eastAsia="Calibri" w:hAnsi="Arial" w:cs="Arial"/>
          <w:sz w:val="22"/>
          <w:szCs w:val="22"/>
        </w:rPr>
        <w:t xml:space="preserve">, </w:t>
      </w:r>
      <w:r w:rsidR="0086176B">
        <w:rPr>
          <w:rFonts w:ascii="Arial" w:eastAsia="Calibri" w:hAnsi="Arial" w:cs="Arial"/>
          <w:sz w:val="22"/>
          <w:szCs w:val="22"/>
        </w:rPr>
        <w:t>accounting for 79.8% of the total increase in recurrent expenses</w:t>
      </w:r>
      <w:r w:rsidR="00DE1341">
        <w:rPr>
          <w:rFonts w:ascii="Arial" w:eastAsia="Calibri" w:hAnsi="Arial" w:cs="Arial"/>
          <w:sz w:val="22"/>
          <w:szCs w:val="22"/>
        </w:rPr>
        <w:t>.</w:t>
      </w:r>
    </w:p>
    <w:p w14:paraId="6961F065" w14:textId="428D6D12" w:rsidR="00F93A0D" w:rsidRPr="00067EA7" w:rsidRDefault="00B67A1D" w:rsidP="00070017">
      <w:pPr>
        <w:numPr>
          <w:ilvl w:val="0"/>
          <w:numId w:val="11"/>
        </w:numPr>
        <w:tabs>
          <w:tab w:val="num" w:pos="720"/>
        </w:tabs>
        <w:spacing w:beforeLines="40" w:before="96" w:afterLines="40" w:after="96"/>
        <w:ind w:left="714" w:hanging="357"/>
        <w:jc w:val="both"/>
        <w:rPr>
          <w:rFonts w:ascii="Arial" w:hAnsi="Arial" w:cs="Arial"/>
          <w:sz w:val="22"/>
          <w:szCs w:val="22"/>
        </w:rPr>
      </w:pPr>
      <w:r>
        <w:rPr>
          <w:rFonts w:ascii="Arial" w:hAnsi="Arial" w:cs="Arial"/>
          <w:sz w:val="22"/>
          <w:szCs w:val="22"/>
        </w:rPr>
        <w:t xml:space="preserve">Despite heavy recurrent obligations, the government still allocated resources to the acquisition of physical </w:t>
      </w:r>
      <w:r w:rsidR="00B10FA9">
        <w:rPr>
          <w:rFonts w:ascii="Arial" w:hAnsi="Arial" w:cs="Arial"/>
          <w:sz w:val="22"/>
          <w:szCs w:val="22"/>
        </w:rPr>
        <w:t xml:space="preserve">and non-produced </w:t>
      </w:r>
      <w:r>
        <w:rPr>
          <w:rFonts w:ascii="Arial" w:hAnsi="Arial" w:cs="Arial"/>
          <w:sz w:val="22"/>
          <w:szCs w:val="22"/>
        </w:rPr>
        <w:t>assets, though at a slower pace</w:t>
      </w:r>
      <w:r w:rsidR="008F1C66">
        <w:rPr>
          <w:rFonts w:ascii="Arial" w:hAnsi="Arial" w:cs="Arial"/>
          <w:sz w:val="22"/>
          <w:szCs w:val="22"/>
        </w:rPr>
        <w:t>.</w:t>
      </w:r>
      <w:r>
        <w:rPr>
          <w:rFonts w:ascii="Arial" w:hAnsi="Arial" w:cs="Arial"/>
          <w:sz w:val="22"/>
          <w:szCs w:val="22"/>
        </w:rPr>
        <w:t xml:space="preserve"> </w:t>
      </w:r>
      <w:r w:rsidR="005771F5">
        <w:rPr>
          <w:rFonts w:ascii="Arial" w:hAnsi="Arial" w:cs="Arial"/>
          <w:sz w:val="22"/>
          <w:szCs w:val="22"/>
        </w:rPr>
        <w:t>Gross</w:t>
      </w:r>
      <w:r>
        <w:rPr>
          <w:rFonts w:ascii="Arial" w:hAnsi="Arial" w:cs="Arial"/>
          <w:sz w:val="22"/>
          <w:szCs w:val="22"/>
        </w:rPr>
        <w:t xml:space="preserve"> investment in non-financial assets amounted to Rs 11.9 billion compared to Rs 13.4 billion in 2022/2023.</w:t>
      </w:r>
      <w:r w:rsidR="00B10FA9">
        <w:rPr>
          <w:rFonts w:ascii="Arial" w:hAnsi="Arial" w:cs="Arial"/>
          <w:sz w:val="22"/>
          <w:szCs w:val="22"/>
        </w:rPr>
        <w:t xml:space="preserve"> The bulk of this investment (93.1%) was directed towards fixed assets</w:t>
      </w:r>
      <w:r w:rsidR="000E30E7">
        <w:rPr>
          <w:rFonts w:ascii="Arial" w:hAnsi="Arial" w:cs="Arial"/>
          <w:sz w:val="22"/>
          <w:szCs w:val="22"/>
        </w:rPr>
        <w:t>.</w:t>
      </w:r>
    </w:p>
    <w:p w14:paraId="50C53178" w14:textId="2AD5FC14" w:rsidR="00B6066A" w:rsidRPr="00F04282" w:rsidRDefault="00330A64" w:rsidP="00070017">
      <w:pPr>
        <w:numPr>
          <w:ilvl w:val="0"/>
          <w:numId w:val="11"/>
        </w:numPr>
        <w:tabs>
          <w:tab w:val="num" w:pos="720"/>
        </w:tabs>
        <w:adjustRightInd w:val="0"/>
        <w:spacing w:beforeLines="40" w:before="96" w:afterLines="40" w:after="96"/>
        <w:ind w:left="714" w:hanging="357"/>
        <w:jc w:val="both"/>
        <w:rPr>
          <w:rFonts w:ascii="Arial" w:hAnsi="Arial" w:cs="Arial"/>
          <w:bCs/>
          <w:iCs/>
          <w:sz w:val="22"/>
          <w:szCs w:val="22"/>
        </w:rPr>
      </w:pPr>
      <w:r>
        <w:rPr>
          <w:rFonts w:ascii="Arial" w:hAnsi="Arial" w:cs="Arial"/>
          <w:bCs/>
          <w:iCs/>
          <w:sz w:val="22"/>
          <w:szCs w:val="22"/>
        </w:rPr>
        <w:lastRenderedPageBreak/>
        <w:t xml:space="preserve">The government prioritised spending in many areas. </w:t>
      </w:r>
      <w:r w:rsidR="00B9157B">
        <w:rPr>
          <w:rFonts w:ascii="Arial" w:hAnsi="Arial" w:cs="Arial"/>
          <w:bCs/>
          <w:iCs/>
          <w:sz w:val="22"/>
          <w:szCs w:val="22"/>
        </w:rPr>
        <w:t>It directed over half of its expenditure</w:t>
      </w:r>
      <w:r w:rsidR="00323714">
        <w:rPr>
          <w:rFonts w:ascii="Arial" w:hAnsi="Arial" w:cs="Arial"/>
          <w:bCs/>
          <w:iCs/>
          <w:sz w:val="22"/>
          <w:szCs w:val="22"/>
        </w:rPr>
        <w:t xml:space="preserve"> (53.4%)</w:t>
      </w:r>
      <w:r w:rsidR="00B9157B">
        <w:rPr>
          <w:rFonts w:ascii="Arial" w:hAnsi="Arial" w:cs="Arial"/>
          <w:bCs/>
          <w:iCs/>
          <w:sz w:val="22"/>
          <w:szCs w:val="22"/>
        </w:rPr>
        <w:t xml:space="preserve"> towards social priorities, namely social protection, education and health</w:t>
      </w:r>
      <w:r w:rsidR="00B6066A">
        <w:rPr>
          <w:rFonts w:ascii="Arial" w:hAnsi="Arial" w:cs="Arial"/>
          <w:bCs/>
          <w:iCs/>
          <w:sz w:val="22"/>
          <w:szCs w:val="22"/>
        </w:rPr>
        <w:t>.</w:t>
      </w:r>
      <w:r w:rsidR="00B9157B">
        <w:rPr>
          <w:rFonts w:ascii="Arial" w:hAnsi="Arial" w:cs="Arial"/>
          <w:bCs/>
          <w:iCs/>
          <w:sz w:val="22"/>
          <w:szCs w:val="22"/>
        </w:rPr>
        <w:t xml:space="preserve"> </w:t>
      </w:r>
      <w:r w:rsidR="00323714">
        <w:rPr>
          <w:rFonts w:ascii="Arial" w:hAnsi="Arial" w:cs="Arial"/>
          <w:bCs/>
          <w:iCs/>
          <w:sz w:val="22"/>
          <w:szCs w:val="22"/>
        </w:rPr>
        <w:t>At the same time, significant allocations were made to general public services, economic affairs and security, ensuring a balanced approach to both social welfare and economic resilience.</w:t>
      </w:r>
    </w:p>
    <w:p w14:paraId="31AEBC20" w14:textId="0657E89C" w:rsidR="00641E76" w:rsidRDefault="00DC44E5" w:rsidP="00070017">
      <w:pPr>
        <w:numPr>
          <w:ilvl w:val="0"/>
          <w:numId w:val="11"/>
        </w:numPr>
        <w:tabs>
          <w:tab w:val="num" w:pos="720"/>
        </w:tabs>
        <w:adjustRightInd w:val="0"/>
        <w:spacing w:beforeLines="40" w:before="96" w:afterLines="40" w:after="96"/>
        <w:jc w:val="both"/>
        <w:rPr>
          <w:rFonts w:ascii="Arial" w:hAnsi="Arial" w:cs="Arial"/>
          <w:bCs/>
          <w:iCs/>
          <w:sz w:val="22"/>
          <w:szCs w:val="22"/>
        </w:rPr>
      </w:pPr>
      <w:r>
        <w:rPr>
          <w:rFonts w:ascii="Arial" w:hAnsi="Arial" w:cs="Arial"/>
          <w:bCs/>
          <w:iCs/>
          <w:sz w:val="22"/>
          <w:szCs w:val="22"/>
        </w:rPr>
        <w:t xml:space="preserve">Debt repayments continued to consume a large portion of the government’s budget. Public debt transactions amounted to Rs 15.3 billion, representing 6.7% of total expenditure. </w:t>
      </w:r>
      <w:r w:rsidR="00C6593A">
        <w:rPr>
          <w:rFonts w:ascii="Arial" w:hAnsi="Arial" w:cs="Arial"/>
          <w:bCs/>
          <w:iCs/>
          <w:sz w:val="22"/>
          <w:szCs w:val="22"/>
        </w:rPr>
        <w:t>F</w:t>
      </w:r>
      <w:r>
        <w:rPr>
          <w:rFonts w:ascii="Arial" w:hAnsi="Arial" w:cs="Arial"/>
          <w:bCs/>
          <w:iCs/>
          <w:sz w:val="22"/>
          <w:szCs w:val="22"/>
        </w:rPr>
        <w:t xml:space="preserve">or every Rs 100 spent by the government, </w:t>
      </w:r>
      <w:r w:rsidR="000A12CF">
        <w:rPr>
          <w:rFonts w:ascii="Arial" w:hAnsi="Arial" w:cs="Arial"/>
          <w:bCs/>
          <w:iCs/>
          <w:sz w:val="22"/>
          <w:szCs w:val="22"/>
        </w:rPr>
        <w:t xml:space="preserve">around </w:t>
      </w:r>
      <w:r>
        <w:rPr>
          <w:rFonts w:ascii="Arial" w:hAnsi="Arial" w:cs="Arial"/>
          <w:bCs/>
          <w:iCs/>
          <w:sz w:val="22"/>
          <w:szCs w:val="22"/>
        </w:rPr>
        <w:t xml:space="preserve">Rs 6.7 went towards servicing </w:t>
      </w:r>
      <w:r w:rsidR="00C6593A">
        <w:rPr>
          <w:rFonts w:ascii="Arial" w:hAnsi="Arial" w:cs="Arial"/>
          <w:bCs/>
          <w:iCs/>
          <w:sz w:val="22"/>
          <w:szCs w:val="22"/>
        </w:rPr>
        <w:t>its</w:t>
      </w:r>
      <w:r>
        <w:rPr>
          <w:rFonts w:ascii="Arial" w:hAnsi="Arial" w:cs="Arial"/>
          <w:bCs/>
          <w:iCs/>
          <w:sz w:val="22"/>
          <w:szCs w:val="22"/>
        </w:rPr>
        <w:t xml:space="preserve"> debt.</w:t>
      </w:r>
    </w:p>
    <w:p w14:paraId="0AEEBFFB" w14:textId="17010273" w:rsidR="006841CE" w:rsidRPr="006841CE" w:rsidRDefault="00CD1637" w:rsidP="00D306EB">
      <w:pPr>
        <w:numPr>
          <w:ilvl w:val="0"/>
          <w:numId w:val="11"/>
        </w:numPr>
        <w:tabs>
          <w:tab w:val="num" w:pos="720"/>
        </w:tabs>
        <w:adjustRightInd w:val="0"/>
        <w:spacing w:beforeLines="40" w:before="96" w:afterLines="40" w:after="96"/>
        <w:ind w:left="714" w:hanging="357"/>
        <w:jc w:val="both"/>
        <w:rPr>
          <w:rFonts w:ascii="Arial" w:hAnsi="Arial" w:cs="Arial"/>
          <w:bCs/>
          <w:iCs/>
          <w:sz w:val="22"/>
          <w:szCs w:val="22"/>
        </w:rPr>
      </w:pPr>
      <w:r w:rsidRPr="00641E76">
        <w:rPr>
          <w:rFonts w:ascii="Arial" w:hAnsi="Arial" w:cs="Arial"/>
          <w:bCs/>
          <w:iCs/>
          <w:sz w:val="22"/>
          <w:szCs w:val="22"/>
        </w:rPr>
        <w:t xml:space="preserve">The </w:t>
      </w:r>
      <w:r w:rsidR="009C7AB3">
        <w:rPr>
          <w:rFonts w:ascii="Arial" w:hAnsi="Arial" w:cs="Arial"/>
          <w:bCs/>
          <w:iCs/>
          <w:sz w:val="22"/>
          <w:szCs w:val="22"/>
        </w:rPr>
        <w:t>overall fiscal balance</w:t>
      </w:r>
      <w:r w:rsidR="00086547">
        <w:rPr>
          <w:rFonts w:ascii="Arial" w:hAnsi="Arial" w:cs="Arial"/>
          <w:bCs/>
          <w:iCs/>
          <w:sz w:val="22"/>
          <w:szCs w:val="22"/>
        </w:rPr>
        <w:t>,</w:t>
      </w:r>
      <w:r w:rsidR="009C7AB3">
        <w:rPr>
          <w:rFonts w:ascii="Arial" w:hAnsi="Arial" w:cs="Arial"/>
          <w:bCs/>
          <w:iCs/>
          <w:sz w:val="22"/>
          <w:szCs w:val="22"/>
        </w:rPr>
        <w:t xml:space="preserve"> </w:t>
      </w:r>
      <w:r w:rsidR="00086547" w:rsidRPr="00086547">
        <w:rPr>
          <w:rFonts w:ascii="Arial" w:hAnsi="Arial" w:cs="Arial"/>
          <w:bCs/>
          <w:iCs/>
          <w:sz w:val="22"/>
          <w:szCs w:val="22"/>
        </w:rPr>
        <w:t>the most appropriate budget balance measure</w:t>
      </w:r>
      <w:r w:rsidR="00086547">
        <w:rPr>
          <w:rFonts w:ascii="Arial" w:hAnsi="Arial" w:cs="Arial"/>
          <w:bCs/>
          <w:iCs/>
          <w:sz w:val="22"/>
          <w:szCs w:val="22"/>
        </w:rPr>
        <w:t>,</w:t>
      </w:r>
      <w:r w:rsidR="00B03879">
        <w:rPr>
          <w:rFonts w:ascii="Arial" w:hAnsi="Arial" w:cs="Arial"/>
          <w:bCs/>
          <w:iCs/>
          <w:sz w:val="22"/>
          <w:szCs w:val="22"/>
        </w:rPr>
        <w:t xml:space="preserve"> </w:t>
      </w:r>
      <w:r w:rsidR="009C7AB3">
        <w:rPr>
          <w:rFonts w:ascii="Arial" w:hAnsi="Arial" w:cs="Arial"/>
          <w:bCs/>
          <w:iCs/>
          <w:sz w:val="22"/>
          <w:szCs w:val="22"/>
        </w:rPr>
        <w:t>show</w:t>
      </w:r>
      <w:r w:rsidR="00086547">
        <w:rPr>
          <w:rFonts w:ascii="Arial" w:hAnsi="Arial" w:cs="Arial"/>
          <w:bCs/>
          <w:iCs/>
          <w:sz w:val="22"/>
          <w:szCs w:val="22"/>
        </w:rPr>
        <w:t>ed</w:t>
      </w:r>
      <w:r w:rsidR="009C7AB3">
        <w:rPr>
          <w:rFonts w:ascii="Arial" w:hAnsi="Arial" w:cs="Arial"/>
          <w:bCs/>
          <w:iCs/>
          <w:sz w:val="22"/>
          <w:szCs w:val="22"/>
        </w:rPr>
        <w:t xml:space="preserve"> </w:t>
      </w:r>
      <w:r w:rsidR="00B03879">
        <w:rPr>
          <w:rFonts w:ascii="Arial" w:hAnsi="Arial" w:cs="Arial"/>
          <w:bCs/>
          <w:iCs/>
          <w:sz w:val="22"/>
          <w:szCs w:val="22"/>
        </w:rPr>
        <w:t xml:space="preserve">a negative balance which placed </w:t>
      </w:r>
      <w:r w:rsidR="009C7AB3">
        <w:rPr>
          <w:rFonts w:ascii="Arial" w:hAnsi="Arial" w:cs="Arial"/>
          <w:bCs/>
          <w:iCs/>
          <w:sz w:val="22"/>
          <w:szCs w:val="22"/>
        </w:rPr>
        <w:t xml:space="preserve">the </w:t>
      </w:r>
      <w:r w:rsidRPr="00641E76">
        <w:rPr>
          <w:rFonts w:ascii="Arial" w:hAnsi="Arial" w:cs="Arial"/>
          <w:bCs/>
          <w:iCs/>
          <w:sz w:val="22"/>
          <w:szCs w:val="22"/>
        </w:rPr>
        <w:t xml:space="preserve">government </w:t>
      </w:r>
      <w:r w:rsidR="00B03879">
        <w:rPr>
          <w:rFonts w:ascii="Arial" w:hAnsi="Arial" w:cs="Arial"/>
          <w:bCs/>
          <w:iCs/>
          <w:sz w:val="22"/>
          <w:szCs w:val="22"/>
        </w:rPr>
        <w:t>firmly</w:t>
      </w:r>
      <w:r w:rsidRPr="00641E76">
        <w:rPr>
          <w:rFonts w:ascii="Arial" w:hAnsi="Arial" w:cs="Arial"/>
          <w:bCs/>
          <w:iCs/>
          <w:sz w:val="22"/>
          <w:szCs w:val="22"/>
        </w:rPr>
        <w:t xml:space="preserve"> in a borrowing position,</w:t>
      </w:r>
      <w:r w:rsidR="00086547">
        <w:rPr>
          <w:rFonts w:ascii="Arial" w:hAnsi="Arial" w:cs="Arial"/>
          <w:bCs/>
          <w:iCs/>
          <w:sz w:val="22"/>
          <w:szCs w:val="22"/>
        </w:rPr>
        <w:t xml:space="preserve"> </w:t>
      </w:r>
      <w:r w:rsidR="0070018A" w:rsidRPr="00641E76">
        <w:rPr>
          <w:rFonts w:ascii="Arial" w:hAnsi="Arial" w:cs="Arial"/>
          <w:bCs/>
          <w:iCs/>
          <w:sz w:val="22"/>
          <w:szCs w:val="22"/>
        </w:rPr>
        <w:t xml:space="preserve">with net borrowing climbing sharply to Rs 56.2 billion, up from Rs 36.6 billion </w:t>
      </w:r>
      <w:r w:rsidR="0070018A" w:rsidRPr="00641E76">
        <w:rPr>
          <w:rFonts w:ascii="Arial" w:eastAsia="Calibri" w:hAnsi="Arial" w:cs="Arial"/>
          <w:sz w:val="22"/>
          <w:szCs w:val="22"/>
        </w:rPr>
        <w:t>in 2022/2023.</w:t>
      </w:r>
    </w:p>
    <w:p w14:paraId="69075D9A" w14:textId="09E6FD59" w:rsidR="00581EF1" w:rsidRPr="00581EF1" w:rsidRDefault="00CF062F" w:rsidP="00D306EB">
      <w:pPr>
        <w:numPr>
          <w:ilvl w:val="0"/>
          <w:numId w:val="11"/>
        </w:numPr>
        <w:adjustRightInd w:val="0"/>
        <w:spacing w:beforeLines="40" w:before="96" w:afterLines="40" w:after="96"/>
        <w:ind w:left="714" w:hanging="357"/>
        <w:jc w:val="both"/>
        <w:rPr>
          <w:rFonts w:ascii="Arial" w:hAnsi="Arial" w:cs="Arial"/>
          <w:bCs/>
          <w:iCs/>
          <w:sz w:val="22"/>
          <w:szCs w:val="22"/>
        </w:rPr>
      </w:pPr>
      <w:bookmarkStart w:id="1" w:name="_Hlk206344544"/>
      <w:r>
        <w:rPr>
          <w:rFonts w:ascii="Arial" w:hAnsi="Arial" w:cs="Arial"/>
          <w:bCs/>
          <w:iCs/>
          <w:sz w:val="22"/>
          <w:szCs w:val="22"/>
        </w:rPr>
        <w:t>T</w:t>
      </w:r>
      <w:r w:rsidR="009C7AB3">
        <w:rPr>
          <w:rFonts w:ascii="Arial" w:hAnsi="Arial" w:cs="Arial"/>
          <w:bCs/>
          <w:iCs/>
          <w:sz w:val="22"/>
          <w:szCs w:val="22"/>
        </w:rPr>
        <w:t xml:space="preserve">he </w:t>
      </w:r>
      <w:r>
        <w:rPr>
          <w:rFonts w:ascii="Arial" w:hAnsi="Arial" w:cs="Arial"/>
          <w:bCs/>
          <w:iCs/>
          <w:sz w:val="22"/>
          <w:szCs w:val="22"/>
        </w:rPr>
        <w:t xml:space="preserve">government </w:t>
      </w:r>
      <w:r w:rsidR="00282BF0">
        <w:rPr>
          <w:rFonts w:ascii="Arial" w:hAnsi="Arial" w:cs="Arial"/>
          <w:bCs/>
          <w:iCs/>
          <w:sz w:val="22"/>
          <w:szCs w:val="22"/>
        </w:rPr>
        <w:t xml:space="preserve">did not finance the </w:t>
      </w:r>
      <w:r w:rsidR="00F1786B">
        <w:rPr>
          <w:rFonts w:ascii="Arial" w:hAnsi="Arial" w:cs="Arial"/>
          <w:bCs/>
          <w:iCs/>
          <w:sz w:val="22"/>
          <w:szCs w:val="22"/>
        </w:rPr>
        <w:t xml:space="preserve">fiscal </w:t>
      </w:r>
      <w:r w:rsidR="00282BF0">
        <w:rPr>
          <w:rFonts w:ascii="Arial" w:hAnsi="Arial" w:cs="Arial"/>
          <w:bCs/>
          <w:iCs/>
          <w:sz w:val="22"/>
          <w:szCs w:val="22"/>
        </w:rPr>
        <w:t xml:space="preserve">deficit wholly through borrowing but </w:t>
      </w:r>
      <w:r w:rsidR="00F35991">
        <w:rPr>
          <w:rFonts w:ascii="Arial" w:hAnsi="Arial" w:cs="Arial"/>
          <w:bCs/>
          <w:iCs/>
          <w:sz w:val="22"/>
          <w:szCs w:val="22"/>
        </w:rPr>
        <w:t>pursued a blended strategy</w:t>
      </w:r>
      <w:r w:rsidR="0070018A" w:rsidRPr="00641E76">
        <w:rPr>
          <w:rFonts w:ascii="Arial" w:eastAsia="Calibri" w:hAnsi="Arial" w:cs="Arial"/>
          <w:sz w:val="22"/>
          <w:szCs w:val="22"/>
        </w:rPr>
        <w:t>.</w:t>
      </w:r>
      <w:r w:rsidR="00F35991">
        <w:rPr>
          <w:rFonts w:ascii="Arial" w:eastAsia="Calibri" w:hAnsi="Arial" w:cs="Arial"/>
          <w:sz w:val="22"/>
          <w:szCs w:val="22"/>
        </w:rPr>
        <w:t xml:space="preserve"> </w:t>
      </w:r>
      <w:r w:rsidR="00F627F9">
        <w:rPr>
          <w:rFonts w:ascii="Arial" w:eastAsia="Calibri" w:hAnsi="Arial" w:cs="Arial"/>
          <w:sz w:val="22"/>
          <w:szCs w:val="22"/>
        </w:rPr>
        <w:t>It p</w:t>
      </w:r>
      <w:r w:rsidR="00F35991">
        <w:rPr>
          <w:rFonts w:ascii="Arial" w:eastAsia="Calibri" w:hAnsi="Arial" w:cs="Arial"/>
          <w:sz w:val="22"/>
          <w:szCs w:val="22"/>
        </w:rPr>
        <w:t>rimarily</w:t>
      </w:r>
      <w:r w:rsidR="00F627F9">
        <w:rPr>
          <w:rFonts w:ascii="Arial" w:eastAsia="Calibri" w:hAnsi="Arial" w:cs="Arial"/>
          <w:sz w:val="22"/>
          <w:szCs w:val="22"/>
        </w:rPr>
        <w:t xml:space="preserve"> </w:t>
      </w:r>
      <w:r w:rsidR="00F35991">
        <w:rPr>
          <w:rFonts w:ascii="Arial" w:eastAsia="Calibri" w:hAnsi="Arial" w:cs="Arial"/>
          <w:sz w:val="22"/>
          <w:szCs w:val="22"/>
        </w:rPr>
        <w:t xml:space="preserve">used </w:t>
      </w:r>
      <w:r w:rsidR="00282BF0">
        <w:rPr>
          <w:rFonts w:ascii="Arial" w:eastAsia="Calibri" w:hAnsi="Arial" w:cs="Arial"/>
          <w:sz w:val="22"/>
          <w:szCs w:val="22"/>
        </w:rPr>
        <w:t xml:space="preserve">domestic </w:t>
      </w:r>
      <w:r w:rsidR="00F35991">
        <w:rPr>
          <w:rFonts w:ascii="Arial" w:eastAsia="Calibri" w:hAnsi="Arial" w:cs="Arial"/>
          <w:sz w:val="22"/>
          <w:szCs w:val="22"/>
        </w:rPr>
        <w:t>debt financing</w:t>
      </w:r>
      <w:r w:rsidR="005440F8" w:rsidRPr="005440F8">
        <w:rPr>
          <w:rFonts w:ascii="Arial" w:eastAsia="Calibri" w:hAnsi="Arial" w:cs="Arial"/>
          <w:sz w:val="22"/>
          <w:szCs w:val="22"/>
        </w:rPr>
        <w:t>, amounting to Rs 4</w:t>
      </w:r>
      <w:r w:rsidR="009870FD">
        <w:rPr>
          <w:rFonts w:ascii="Arial" w:eastAsia="Calibri" w:hAnsi="Arial" w:cs="Arial"/>
          <w:sz w:val="22"/>
          <w:szCs w:val="22"/>
        </w:rPr>
        <w:t>0</w:t>
      </w:r>
      <w:r w:rsidR="005440F8" w:rsidRPr="005440F8">
        <w:rPr>
          <w:rFonts w:ascii="Arial" w:eastAsia="Calibri" w:hAnsi="Arial" w:cs="Arial"/>
          <w:sz w:val="22"/>
          <w:szCs w:val="22"/>
        </w:rPr>
        <w:t>.</w:t>
      </w:r>
      <w:r w:rsidR="009870FD">
        <w:rPr>
          <w:rFonts w:ascii="Arial" w:eastAsia="Calibri" w:hAnsi="Arial" w:cs="Arial"/>
          <w:sz w:val="22"/>
          <w:szCs w:val="22"/>
        </w:rPr>
        <w:t>4</w:t>
      </w:r>
      <w:r w:rsidR="005440F8" w:rsidRPr="005440F8">
        <w:rPr>
          <w:rFonts w:ascii="Arial" w:eastAsia="Calibri" w:hAnsi="Arial" w:cs="Arial"/>
          <w:sz w:val="22"/>
          <w:szCs w:val="22"/>
        </w:rPr>
        <w:t xml:space="preserve"> billion</w:t>
      </w:r>
      <w:r w:rsidR="00F35991">
        <w:rPr>
          <w:rFonts w:ascii="Arial" w:eastAsia="Calibri" w:hAnsi="Arial" w:cs="Arial"/>
          <w:sz w:val="22"/>
          <w:szCs w:val="22"/>
        </w:rPr>
        <w:t xml:space="preserve">. Simultaneously, </w:t>
      </w:r>
      <w:r w:rsidR="005440F8">
        <w:rPr>
          <w:rFonts w:ascii="Arial" w:eastAsia="Calibri" w:hAnsi="Arial" w:cs="Arial"/>
          <w:sz w:val="22"/>
          <w:szCs w:val="22"/>
        </w:rPr>
        <w:t>it tapped into financial assets to reduce the need for additional borrowing.</w:t>
      </w:r>
    </w:p>
    <w:p w14:paraId="3DAB6B50" w14:textId="7D5E6168" w:rsidR="00481457" w:rsidRPr="00641E76" w:rsidRDefault="00217B89" w:rsidP="00882B0C">
      <w:pPr>
        <w:numPr>
          <w:ilvl w:val="0"/>
          <w:numId w:val="11"/>
        </w:numPr>
        <w:adjustRightInd w:val="0"/>
        <w:spacing w:beforeLines="40" w:before="96"/>
        <w:ind w:left="714" w:hanging="357"/>
        <w:jc w:val="both"/>
        <w:rPr>
          <w:rFonts w:ascii="Arial" w:hAnsi="Arial" w:cs="Arial"/>
          <w:bCs/>
          <w:iCs/>
          <w:sz w:val="22"/>
          <w:szCs w:val="22"/>
        </w:rPr>
      </w:pPr>
      <w:r>
        <w:rPr>
          <w:rFonts w:ascii="Arial" w:eastAsia="Calibri" w:hAnsi="Arial" w:cs="Arial"/>
          <w:sz w:val="22"/>
          <w:szCs w:val="22"/>
        </w:rPr>
        <w:t>D</w:t>
      </w:r>
      <w:r w:rsidR="001977AA">
        <w:rPr>
          <w:rFonts w:ascii="Arial" w:eastAsia="Calibri" w:hAnsi="Arial" w:cs="Arial"/>
          <w:sz w:val="22"/>
          <w:szCs w:val="22"/>
        </w:rPr>
        <w:t xml:space="preserve">ebt </w:t>
      </w:r>
      <w:r>
        <w:rPr>
          <w:rFonts w:ascii="Arial" w:eastAsia="Calibri" w:hAnsi="Arial" w:cs="Arial"/>
          <w:sz w:val="22"/>
          <w:szCs w:val="22"/>
        </w:rPr>
        <w:t>increased by</w:t>
      </w:r>
      <w:r w:rsidR="001977AA">
        <w:rPr>
          <w:rFonts w:ascii="Arial" w:eastAsia="Calibri" w:hAnsi="Arial" w:cs="Arial"/>
          <w:sz w:val="22"/>
          <w:szCs w:val="22"/>
        </w:rPr>
        <w:t xml:space="preserve"> less than the </w:t>
      </w:r>
      <w:r>
        <w:rPr>
          <w:rFonts w:ascii="Arial" w:eastAsia="Calibri" w:hAnsi="Arial" w:cs="Arial"/>
          <w:sz w:val="22"/>
          <w:szCs w:val="22"/>
        </w:rPr>
        <w:t xml:space="preserve">fiscal </w:t>
      </w:r>
      <w:r w:rsidR="001977AA">
        <w:rPr>
          <w:rFonts w:ascii="Arial" w:eastAsia="Calibri" w:hAnsi="Arial" w:cs="Arial"/>
          <w:sz w:val="22"/>
          <w:szCs w:val="22"/>
        </w:rPr>
        <w:t>deficit as it was not fully financed by borrowing.</w:t>
      </w:r>
    </w:p>
    <w:bookmarkEnd w:id="1"/>
    <w:p w14:paraId="7D7D3F88" w14:textId="77777777" w:rsidR="00641E76" w:rsidRPr="00641E76" w:rsidRDefault="00641E76" w:rsidP="00882B0C">
      <w:pPr>
        <w:tabs>
          <w:tab w:val="num" w:pos="720"/>
        </w:tabs>
        <w:jc w:val="both"/>
        <w:rPr>
          <w:rFonts w:ascii="Arial" w:hAnsi="Arial" w:cs="Arial"/>
          <w:sz w:val="22"/>
          <w:szCs w:val="22"/>
        </w:rPr>
      </w:pPr>
    </w:p>
    <w:p w14:paraId="7440AA82" w14:textId="2F233B2F" w:rsidR="00F93A0D" w:rsidRDefault="00F93A0D" w:rsidP="00415F9C">
      <w:pPr>
        <w:numPr>
          <w:ilvl w:val="0"/>
          <w:numId w:val="10"/>
        </w:numPr>
        <w:spacing w:beforeLines="40" w:before="96" w:afterLines="40" w:after="96"/>
        <w:ind w:left="357" w:hanging="357"/>
        <w:jc w:val="both"/>
        <w:rPr>
          <w:rFonts w:ascii="Arial" w:hAnsi="Arial" w:cs="Arial"/>
          <w:b/>
          <w:smallCaps/>
          <w:sz w:val="22"/>
          <w:szCs w:val="22"/>
        </w:rPr>
      </w:pPr>
      <w:r>
        <w:rPr>
          <w:rFonts w:ascii="Arial" w:hAnsi="Arial" w:cs="Arial"/>
          <w:b/>
          <w:sz w:val="22"/>
          <w:szCs w:val="22"/>
        </w:rPr>
        <w:t xml:space="preserve">      </w:t>
      </w:r>
      <w:r w:rsidR="008175CD">
        <w:rPr>
          <w:rFonts w:ascii="Arial" w:hAnsi="Arial" w:cs="Arial"/>
          <w:b/>
          <w:smallCaps/>
          <w:sz w:val="22"/>
          <w:szCs w:val="22"/>
        </w:rPr>
        <w:t>O</w:t>
      </w:r>
      <w:r w:rsidR="003F786E">
        <w:rPr>
          <w:rFonts w:ascii="Arial" w:hAnsi="Arial" w:cs="Arial"/>
          <w:b/>
          <w:smallCaps/>
          <w:sz w:val="22"/>
          <w:szCs w:val="22"/>
        </w:rPr>
        <w:t xml:space="preserve">perational </w:t>
      </w:r>
      <w:r w:rsidR="008175CD">
        <w:rPr>
          <w:rFonts w:ascii="Arial" w:hAnsi="Arial" w:cs="Arial"/>
          <w:b/>
          <w:smallCaps/>
          <w:sz w:val="22"/>
          <w:szCs w:val="22"/>
        </w:rPr>
        <w:t>P</w:t>
      </w:r>
      <w:r w:rsidR="003F786E">
        <w:rPr>
          <w:rFonts w:ascii="Arial" w:hAnsi="Arial" w:cs="Arial"/>
          <w:b/>
          <w:smallCaps/>
          <w:sz w:val="22"/>
          <w:szCs w:val="22"/>
        </w:rPr>
        <w:t>erformance</w:t>
      </w:r>
    </w:p>
    <w:p w14:paraId="23F682FA" w14:textId="0F67B0E2" w:rsidR="003F786E" w:rsidRPr="007779F0" w:rsidRDefault="004B18DD" w:rsidP="007E7A7C">
      <w:pPr>
        <w:pStyle w:val="BodyText"/>
        <w:tabs>
          <w:tab w:val="num" w:pos="720"/>
        </w:tabs>
        <w:spacing w:beforeLines="40" w:before="96" w:afterLines="40" w:after="96" w:line="240" w:lineRule="auto"/>
        <w:rPr>
          <w:rFonts w:ascii="Arial" w:hAnsi="Arial" w:cs="Arial"/>
          <w:sz w:val="22"/>
          <w:szCs w:val="22"/>
        </w:rPr>
      </w:pPr>
      <w:r>
        <w:rPr>
          <w:rFonts w:ascii="Arial" w:hAnsi="Arial" w:cs="Arial"/>
          <w:sz w:val="22"/>
          <w:szCs w:val="22"/>
          <w:lang w:val="en-GB"/>
        </w:rPr>
        <w:t>One</w:t>
      </w:r>
      <w:r w:rsidR="003F786E" w:rsidRPr="003F786E">
        <w:rPr>
          <w:rFonts w:ascii="Arial" w:hAnsi="Arial" w:cs="Arial"/>
          <w:sz w:val="22"/>
          <w:szCs w:val="22"/>
        </w:rPr>
        <w:t xml:space="preserve"> useful approach to evaluate the government’s operational performance is to examine its </w:t>
      </w:r>
      <w:r w:rsidR="00BB1C6A">
        <w:rPr>
          <w:rFonts w:ascii="Arial" w:hAnsi="Arial" w:cs="Arial"/>
          <w:sz w:val="22"/>
          <w:szCs w:val="22"/>
          <w:lang w:val="en-GB"/>
        </w:rPr>
        <w:t>gross</w:t>
      </w:r>
      <w:r w:rsidR="003F786E" w:rsidRPr="003F786E">
        <w:rPr>
          <w:rFonts w:ascii="Arial" w:hAnsi="Arial" w:cs="Arial"/>
          <w:sz w:val="22"/>
          <w:szCs w:val="22"/>
        </w:rPr>
        <w:t xml:space="preserve"> operating balance</w:t>
      </w:r>
      <w:r w:rsidR="00681548">
        <w:rPr>
          <w:rFonts w:ascii="Arial" w:hAnsi="Arial" w:cs="Arial"/>
          <w:sz w:val="22"/>
          <w:szCs w:val="22"/>
          <w:lang w:val="en-GB"/>
        </w:rPr>
        <w:t>.</w:t>
      </w:r>
      <w:r w:rsidR="003F786E" w:rsidRPr="003F786E">
        <w:rPr>
          <w:rFonts w:ascii="Arial" w:hAnsi="Arial" w:cs="Arial"/>
          <w:sz w:val="22"/>
          <w:szCs w:val="22"/>
        </w:rPr>
        <w:t xml:space="preserve"> </w:t>
      </w:r>
      <w:r w:rsidR="007779F0">
        <w:rPr>
          <w:rFonts w:ascii="Arial" w:hAnsi="Arial" w:cs="Arial"/>
          <w:sz w:val="22"/>
          <w:szCs w:val="22"/>
          <w:lang w:val="en-GB"/>
        </w:rPr>
        <w:t>It</w:t>
      </w:r>
      <w:r w:rsidR="00681548" w:rsidRPr="00681548">
        <w:rPr>
          <w:rFonts w:ascii="Arial" w:hAnsi="Arial" w:cs="Arial"/>
          <w:sz w:val="22"/>
          <w:szCs w:val="22"/>
        </w:rPr>
        <w:t xml:space="preserve"> </w:t>
      </w:r>
      <w:r w:rsidR="003F786E" w:rsidRPr="003F786E">
        <w:rPr>
          <w:rFonts w:ascii="Arial" w:hAnsi="Arial" w:cs="Arial"/>
          <w:sz w:val="22"/>
          <w:szCs w:val="22"/>
        </w:rPr>
        <w:t xml:space="preserve">reflects the extent to which </w:t>
      </w:r>
      <w:r>
        <w:rPr>
          <w:rFonts w:ascii="Arial" w:hAnsi="Arial" w:cs="Arial"/>
          <w:sz w:val="22"/>
          <w:szCs w:val="22"/>
          <w:lang w:val="en-GB"/>
        </w:rPr>
        <w:t xml:space="preserve">the government’s regular </w:t>
      </w:r>
      <w:r w:rsidR="003F786E" w:rsidRPr="003F786E">
        <w:rPr>
          <w:rFonts w:ascii="Arial" w:hAnsi="Arial" w:cs="Arial"/>
          <w:sz w:val="22"/>
          <w:szCs w:val="22"/>
        </w:rPr>
        <w:t xml:space="preserve">revenues cover </w:t>
      </w:r>
      <w:r>
        <w:rPr>
          <w:rFonts w:ascii="Arial" w:hAnsi="Arial" w:cs="Arial"/>
          <w:sz w:val="22"/>
          <w:szCs w:val="22"/>
          <w:lang w:val="en-GB"/>
        </w:rPr>
        <w:t xml:space="preserve">its </w:t>
      </w:r>
      <w:r w:rsidR="003F786E" w:rsidRPr="003F786E">
        <w:rPr>
          <w:rFonts w:ascii="Arial" w:hAnsi="Arial" w:cs="Arial"/>
          <w:sz w:val="22"/>
          <w:szCs w:val="22"/>
        </w:rPr>
        <w:t>recurrent</w:t>
      </w:r>
      <w:r>
        <w:rPr>
          <w:rFonts w:ascii="Arial" w:hAnsi="Arial" w:cs="Arial"/>
          <w:sz w:val="22"/>
          <w:szCs w:val="22"/>
          <w:lang w:val="en-GB"/>
        </w:rPr>
        <w:t xml:space="preserve"> </w:t>
      </w:r>
      <w:r w:rsidR="003F786E" w:rsidRPr="003F786E">
        <w:rPr>
          <w:rFonts w:ascii="Arial" w:hAnsi="Arial" w:cs="Arial"/>
          <w:sz w:val="22"/>
          <w:szCs w:val="22"/>
        </w:rPr>
        <w:t>expenses</w:t>
      </w:r>
      <w:r w:rsidR="008143ED">
        <w:rPr>
          <w:rFonts w:ascii="Arial" w:hAnsi="Arial" w:cs="Arial"/>
          <w:sz w:val="22"/>
          <w:szCs w:val="22"/>
          <w:lang w:val="en-GB"/>
        </w:rPr>
        <w:t xml:space="preserve">, excluding </w:t>
      </w:r>
      <w:r w:rsidR="00761FC4">
        <w:rPr>
          <w:rFonts w:ascii="Arial" w:hAnsi="Arial" w:cs="Arial"/>
          <w:sz w:val="22"/>
          <w:szCs w:val="22"/>
          <w:lang w:val="en-GB"/>
        </w:rPr>
        <w:t>gross</w:t>
      </w:r>
      <w:r w:rsidR="004569DF">
        <w:rPr>
          <w:rFonts w:ascii="Arial" w:hAnsi="Arial" w:cs="Arial"/>
          <w:sz w:val="22"/>
          <w:szCs w:val="22"/>
          <w:lang w:val="en-GB"/>
        </w:rPr>
        <w:t xml:space="preserve"> investment</w:t>
      </w:r>
      <w:r w:rsidR="008C6030">
        <w:rPr>
          <w:rFonts w:ascii="Arial" w:hAnsi="Arial" w:cs="Arial"/>
          <w:sz w:val="22"/>
          <w:szCs w:val="22"/>
          <w:lang w:val="en-GB"/>
        </w:rPr>
        <w:t xml:space="preserve"> in </w:t>
      </w:r>
      <w:r w:rsidR="008C6030" w:rsidRPr="008C6030">
        <w:rPr>
          <w:rFonts w:ascii="Arial" w:hAnsi="Arial" w:cs="Arial"/>
          <w:sz w:val="22"/>
          <w:szCs w:val="22"/>
          <w:lang w:val="en-GB"/>
        </w:rPr>
        <w:t>non-financial assets</w:t>
      </w:r>
      <w:r w:rsidR="003F786E" w:rsidRPr="003F786E">
        <w:rPr>
          <w:rFonts w:ascii="Arial" w:hAnsi="Arial" w:cs="Arial"/>
          <w:sz w:val="22"/>
          <w:szCs w:val="22"/>
        </w:rPr>
        <w:t>.</w:t>
      </w:r>
    </w:p>
    <w:p w14:paraId="234A0CDA" w14:textId="626D8CF3" w:rsidR="00F42C68" w:rsidRPr="00D0343E" w:rsidRDefault="00042B00" w:rsidP="00F42C68">
      <w:pPr>
        <w:pStyle w:val="BodyText"/>
        <w:tabs>
          <w:tab w:val="clear" w:pos="8370"/>
        </w:tabs>
        <w:spacing w:beforeLines="40" w:before="96" w:afterLines="40" w:after="96" w:line="240" w:lineRule="auto"/>
        <w:rPr>
          <w:rFonts w:ascii="Arial" w:hAnsi="Arial" w:cs="Arial"/>
          <w:b/>
          <w:smallCaps/>
          <w:sz w:val="22"/>
          <w:szCs w:val="22"/>
          <w:lang w:val="en-GB"/>
        </w:rPr>
      </w:pPr>
      <w:r>
        <w:rPr>
          <w:rFonts w:ascii="Arial" w:hAnsi="Arial" w:cs="Arial"/>
          <w:sz w:val="22"/>
          <w:szCs w:val="22"/>
          <w:lang w:val="en-GB"/>
        </w:rPr>
        <w:t xml:space="preserve">For the </w:t>
      </w:r>
      <w:r w:rsidR="001732B3">
        <w:rPr>
          <w:rFonts w:ascii="Arial" w:hAnsi="Arial" w:cs="Arial"/>
          <w:sz w:val="22"/>
          <w:szCs w:val="22"/>
          <w:lang w:val="en-GB"/>
        </w:rPr>
        <w:t xml:space="preserve">fiscal </w:t>
      </w:r>
      <w:r>
        <w:rPr>
          <w:rFonts w:ascii="Arial" w:hAnsi="Arial" w:cs="Arial"/>
          <w:sz w:val="22"/>
          <w:szCs w:val="22"/>
          <w:lang w:val="en-GB"/>
        </w:rPr>
        <w:t>year ending June 2024, revenue grew by 8.</w:t>
      </w:r>
      <w:r w:rsidR="008C31B3">
        <w:rPr>
          <w:rFonts w:ascii="Arial" w:hAnsi="Arial" w:cs="Arial"/>
          <w:sz w:val="22"/>
          <w:szCs w:val="22"/>
          <w:lang w:val="en-GB"/>
        </w:rPr>
        <w:t>1</w:t>
      </w:r>
      <w:r>
        <w:rPr>
          <w:rFonts w:ascii="Arial" w:hAnsi="Arial" w:cs="Arial"/>
          <w:sz w:val="22"/>
          <w:szCs w:val="22"/>
          <w:lang w:val="en-GB"/>
        </w:rPr>
        <w:t>%, while expenses expanded by 1</w:t>
      </w:r>
      <w:r w:rsidR="008C31B3">
        <w:rPr>
          <w:rFonts w:ascii="Arial" w:hAnsi="Arial" w:cs="Arial"/>
          <w:sz w:val="22"/>
          <w:szCs w:val="22"/>
          <w:lang w:val="en-GB"/>
        </w:rPr>
        <w:t>8</w:t>
      </w:r>
      <w:r>
        <w:rPr>
          <w:rFonts w:ascii="Arial" w:hAnsi="Arial" w:cs="Arial"/>
          <w:sz w:val="22"/>
          <w:szCs w:val="22"/>
          <w:lang w:val="en-GB"/>
        </w:rPr>
        <w:t>.</w:t>
      </w:r>
      <w:r w:rsidR="008C31B3">
        <w:rPr>
          <w:rFonts w:ascii="Arial" w:hAnsi="Arial" w:cs="Arial"/>
          <w:sz w:val="22"/>
          <w:szCs w:val="22"/>
          <w:lang w:val="en-GB"/>
        </w:rPr>
        <w:t>7</w:t>
      </w:r>
      <w:r>
        <w:rPr>
          <w:rFonts w:ascii="Arial" w:hAnsi="Arial" w:cs="Arial"/>
          <w:sz w:val="22"/>
          <w:szCs w:val="22"/>
          <w:lang w:val="en-GB"/>
        </w:rPr>
        <w:t>%</w:t>
      </w:r>
      <w:r w:rsidR="004B18DD" w:rsidRPr="003A32A8">
        <w:rPr>
          <w:rFonts w:ascii="Arial" w:hAnsi="Arial" w:cs="Arial"/>
          <w:sz w:val="22"/>
          <w:szCs w:val="22"/>
        </w:rPr>
        <w:t>.</w:t>
      </w:r>
      <w:r w:rsidR="00A115C7">
        <w:rPr>
          <w:rFonts w:ascii="Arial" w:hAnsi="Arial" w:cs="Arial"/>
          <w:sz w:val="22"/>
          <w:szCs w:val="22"/>
          <w:lang w:val="en-GB"/>
        </w:rPr>
        <w:t xml:space="preserve"> </w:t>
      </w:r>
      <w:r>
        <w:rPr>
          <w:rFonts w:ascii="Arial" w:hAnsi="Arial" w:cs="Arial"/>
          <w:sz w:val="22"/>
          <w:szCs w:val="22"/>
          <w:lang w:val="en-GB"/>
        </w:rPr>
        <w:t xml:space="preserve">This indicates that revenue was not sufficient to meet recurring expenses, resulting in a negative </w:t>
      </w:r>
      <w:r w:rsidR="00BB1C6A">
        <w:rPr>
          <w:rFonts w:ascii="Arial" w:hAnsi="Arial" w:cs="Arial"/>
          <w:sz w:val="22"/>
          <w:szCs w:val="22"/>
          <w:lang w:val="en-GB"/>
        </w:rPr>
        <w:t>gross</w:t>
      </w:r>
      <w:r>
        <w:rPr>
          <w:rFonts w:ascii="Arial" w:hAnsi="Arial" w:cs="Arial"/>
          <w:sz w:val="22"/>
          <w:szCs w:val="22"/>
          <w:lang w:val="en-GB"/>
        </w:rPr>
        <w:t xml:space="preserve"> operating balance of Rs 44.3 billion (Table 1).</w:t>
      </w:r>
      <w:r w:rsidR="00B66D93" w:rsidRPr="00B66D93">
        <w:rPr>
          <w:rFonts w:ascii="Arial" w:hAnsi="Arial" w:cs="Arial"/>
          <w:sz w:val="22"/>
          <w:szCs w:val="22"/>
          <w:lang w:val="en-GB"/>
        </w:rPr>
        <w:t xml:space="preserve"> </w:t>
      </w:r>
      <w:r w:rsidR="00B0754C">
        <w:rPr>
          <w:rFonts w:ascii="Arial" w:hAnsi="Arial" w:cs="Arial"/>
          <w:sz w:val="22"/>
          <w:szCs w:val="22"/>
          <w:lang w:val="en-GB"/>
        </w:rPr>
        <w:t xml:space="preserve">This </w:t>
      </w:r>
      <w:r w:rsidR="004569DF">
        <w:rPr>
          <w:rFonts w:ascii="Arial" w:hAnsi="Arial" w:cs="Arial"/>
          <w:sz w:val="22"/>
          <w:szCs w:val="22"/>
          <w:lang w:val="en-GB"/>
        </w:rPr>
        <w:t>represents</w:t>
      </w:r>
      <w:r w:rsidR="00B0754C">
        <w:rPr>
          <w:rFonts w:ascii="Arial" w:hAnsi="Arial" w:cs="Arial"/>
          <w:sz w:val="22"/>
          <w:szCs w:val="22"/>
          <w:lang w:val="en-GB"/>
        </w:rPr>
        <w:t xml:space="preserve"> a </w:t>
      </w:r>
      <w:r w:rsidR="00B0754C" w:rsidRPr="00294807">
        <w:rPr>
          <w:rFonts w:ascii="Arial" w:hAnsi="Arial" w:cs="Arial"/>
          <w:sz w:val="22"/>
          <w:szCs w:val="22"/>
        </w:rPr>
        <w:t xml:space="preserve">worsening from </w:t>
      </w:r>
      <w:r w:rsidR="00B0754C">
        <w:rPr>
          <w:rFonts w:ascii="Arial" w:hAnsi="Arial" w:cs="Arial"/>
          <w:sz w:val="22"/>
          <w:szCs w:val="22"/>
          <w:lang w:val="en-GB"/>
        </w:rPr>
        <w:t xml:space="preserve">the </w:t>
      </w:r>
      <w:r w:rsidR="00B0754C" w:rsidRPr="00294807">
        <w:rPr>
          <w:rFonts w:ascii="Arial" w:hAnsi="Arial" w:cs="Arial"/>
          <w:sz w:val="22"/>
          <w:szCs w:val="22"/>
        </w:rPr>
        <w:t>Rs 23.3 billion</w:t>
      </w:r>
      <w:r w:rsidR="00B0754C" w:rsidRPr="00B0754C">
        <w:rPr>
          <w:rFonts w:ascii="Arial" w:hAnsi="Arial" w:cs="Arial"/>
          <w:sz w:val="22"/>
          <w:szCs w:val="22"/>
        </w:rPr>
        <w:t xml:space="preserve"> </w:t>
      </w:r>
      <w:r w:rsidR="00B0754C" w:rsidRPr="00294807">
        <w:rPr>
          <w:rFonts w:ascii="Arial" w:hAnsi="Arial" w:cs="Arial"/>
          <w:sz w:val="22"/>
          <w:szCs w:val="22"/>
        </w:rPr>
        <w:t xml:space="preserve">shortfall </w:t>
      </w:r>
      <w:r w:rsidR="00B0754C">
        <w:rPr>
          <w:rFonts w:ascii="Arial" w:hAnsi="Arial" w:cs="Arial"/>
          <w:sz w:val="22"/>
          <w:szCs w:val="22"/>
          <w:lang w:val="en-GB"/>
        </w:rPr>
        <w:t xml:space="preserve">recorded in </w:t>
      </w:r>
      <w:r w:rsidR="00B0754C" w:rsidRPr="00294807">
        <w:rPr>
          <w:rFonts w:ascii="Arial" w:hAnsi="Arial" w:cs="Arial"/>
          <w:sz w:val="22"/>
          <w:szCs w:val="22"/>
        </w:rPr>
        <w:t xml:space="preserve">the </w:t>
      </w:r>
      <w:r w:rsidR="00B0754C">
        <w:rPr>
          <w:rFonts w:ascii="Arial" w:hAnsi="Arial" w:cs="Arial"/>
          <w:sz w:val="22"/>
          <w:szCs w:val="22"/>
          <w:lang w:val="en-GB"/>
        </w:rPr>
        <w:t xml:space="preserve">fiscal </w:t>
      </w:r>
      <w:r w:rsidR="00B0754C" w:rsidRPr="00294807">
        <w:rPr>
          <w:rFonts w:ascii="Arial" w:hAnsi="Arial" w:cs="Arial"/>
          <w:sz w:val="22"/>
          <w:szCs w:val="22"/>
        </w:rPr>
        <w:t>year ended June 20</w:t>
      </w:r>
      <w:r w:rsidR="00B0754C">
        <w:rPr>
          <w:rFonts w:ascii="Arial" w:hAnsi="Arial" w:cs="Arial"/>
          <w:sz w:val="22"/>
          <w:szCs w:val="22"/>
          <w:lang w:val="en-GB"/>
        </w:rPr>
        <w:t>23.</w:t>
      </w:r>
      <w:r w:rsidR="00B0754C" w:rsidRPr="00B0754C">
        <w:t xml:space="preserve"> </w:t>
      </w:r>
      <w:r w:rsidR="00B0754C" w:rsidRPr="00B0754C">
        <w:rPr>
          <w:rFonts w:ascii="Arial" w:hAnsi="Arial" w:cs="Arial"/>
          <w:sz w:val="22"/>
          <w:szCs w:val="22"/>
        </w:rPr>
        <w:t xml:space="preserve">As a ratio to GDP, </w:t>
      </w:r>
      <w:r w:rsidR="00B0754C">
        <w:rPr>
          <w:rFonts w:ascii="Arial" w:hAnsi="Arial" w:cs="Arial"/>
          <w:sz w:val="22"/>
          <w:szCs w:val="22"/>
          <w:lang w:val="en-GB"/>
        </w:rPr>
        <w:t xml:space="preserve">the </w:t>
      </w:r>
      <w:r w:rsidR="00B0754C" w:rsidRPr="00B0754C">
        <w:rPr>
          <w:rFonts w:ascii="Arial" w:hAnsi="Arial" w:cs="Arial"/>
          <w:sz w:val="22"/>
          <w:szCs w:val="22"/>
        </w:rPr>
        <w:t xml:space="preserve">gross operating </w:t>
      </w:r>
      <w:r w:rsidR="006C1B38">
        <w:rPr>
          <w:rFonts w:ascii="Arial" w:hAnsi="Arial" w:cs="Arial"/>
          <w:sz w:val="22"/>
          <w:szCs w:val="22"/>
          <w:lang w:val="en-GB"/>
        </w:rPr>
        <w:t>deficit</w:t>
      </w:r>
      <w:r w:rsidR="00B0754C" w:rsidRPr="00B0754C">
        <w:rPr>
          <w:rFonts w:ascii="Arial" w:hAnsi="Arial" w:cs="Arial"/>
          <w:sz w:val="22"/>
          <w:szCs w:val="22"/>
        </w:rPr>
        <w:t xml:space="preserve"> increased from </w:t>
      </w:r>
      <w:r w:rsidR="008C31B3">
        <w:rPr>
          <w:rFonts w:ascii="Arial" w:hAnsi="Arial" w:cs="Arial"/>
          <w:sz w:val="22"/>
          <w:szCs w:val="22"/>
          <w:lang w:val="en-GB"/>
        </w:rPr>
        <w:t>3.8</w:t>
      </w:r>
      <w:r w:rsidR="00B0754C" w:rsidRPr="00B0754C">
        <w:rPr>
          <w:rFonts w:ascii="Arial" w:hAnsi="Arial" w:cs="Arial"/>
          <w:sz w:val="22"/>
          <w:szCs w:val="22"/>
        </w:rPr>
        <w:t xml:space="preserve">% </w:t>
      </w:r>
      <w:r w:rsidR="00B0754C">
        <w:rPr>
          <w:rFonts w:ascii="Arial" w:hAnsi="Arial" w:cs="Arial"/>
          <w:sz w:val="22"/>
          <w:szCs w:val="22"/>
          <w:lang w:val="en-GB"/>
        </w:rPr>
        <w:t>of GDP in 202</w:t>
      </w:r>
      <w:r w:rsidR="008C31B3">
        <w:rPr>
          <w:rFonts w:ascii="Arial" w:hAnsi="Arial" w:cs="Arial"/>
          <w:sz w:val="22"/>
          <w:szCs w:val="22"/>
          <w:lang w:val="en-GB"/>
        </w:rPr>
        <w:t>2</w:t>
      </w:r>
      <w:r w:rsidR="00B0754C">
        <w:rPr>
          <w:rFonts w:ascii="Arial" w:hAnsi="Arial" w:cs="Arial"/>
          <w:sz w:val="22"/>
          <w:szCs w:val="22"/>
          <w:lang w:val="en-GB"/>
        </w:rPr>
        <w:t>/202</w:t>
      </w:r>
      <w:r w:rsidR="008C31B3">
        <w:rPr>
          <w:rFonts w:ascii="Arial" w:hAnsi="Arial" w:cs="Arial"/>
          <w:sz w:val="22"/>
          <w:szCs w:val="22"/>
          <w:lang w:val="en-GB"/>
        </w:rPr>
        <w:t>3</w:t>
      </w:r>
      <w:r w:rsidR="00B0754C">
        <w:rPr>
          <w:rFonts w:ascii="Arial" w:hAnsi="Arial" w:cs="Arial"/>
          <w:sz w:val="22"/>
          <w:szCs w:val="22"/>
          <w:lang w:val="en-GB"/>
        </w:rPr>
        <w:t xml:space="preserve"> </w:t>
      </w:r>
      <w:r w:rsidR="00B0754C" w:rsidRPr="00B0754C">
        <w:rPr>
          <w:rFonts w:ascii="Arial" w:hAnsi="Arial" w:cs="Arial"/>
          <w:sz w:val="22"/>
          <w:szCs w:val="22"/>
        </w:rPr>
        <w:t xml:space="preserve">to </w:t>
      </w:r>
      <w:r w:rsidR="008C31B3">
        <w:rPr>
          <w:rFonts w:ascii="Arial" w:hAnsi="Arial" w:cs="Arial"/>
          <w:sz w:val="22"/>
          <w:szCs w:val="22"/>
          <w:lang w:val="en-GB"/>
        </w:rPr>
        <w:t>6.6</w:t>
      </w:r>
      <w:r w:rsidR="00B0754C" w:rsidRPr="00B0754C">
        <w:rPr>
          <w:rFonts w:ascii="Arial" w:hAnsi="Arial" w:cs="Arial"/>
          <w:sz w:val="22"/>
          <w:szCs w:val="22"/>
        </w:rPr>
        <w:t>% of GDP</w:t>
      </w:r>
      <w:r w:rsidR="00B0754C">
        <w:rPr>
          <w:rFonts w:ascii="Arial" w:hAnsi="Arial" w:cs="Arial"/>
          <w:sz w:val="22"/>
          <w:szCs w:val="22"/>
          <w:lang w:val="en-GB"/>
        </w:rPr>
        <w:t xml:space="preserve"> in 202</w:t>
      </w:r>
      <w:r w:rsidR="008C31B3">
        <w:rPr>
          <w:rFonts w:ascii="Arial" w:hAnsi="Arial" w:cs="Arial"/>
          <w:sz w:val="22"/>
          <w:szCs w:val="22"/>
          <w:lang w:val="en-GB"/>
        </w:rPr>
        <w:t>3</w:t>
      </w:r>
      <w:r w:rsidR="00B0754C">
        <w:rPr>
          <w:rFonts w:ascii="Arial" w:hAnsi="Arial" w:cs="Arial"/>
          <w:sz w:val="22"/>
          <w:szCs w:val="22"/>
          <w:lang w:val="en-GB"/>
        </w:rPr>
        <w:t>/202</w:t>
      </w:r>
      <w:r w:rsidR="008C31B3">
        <w:rPr>
          <w:rFonts w:ascii="Arial" w:hAnsi="Arial" w:cs="Arial"/>
          <w:sz w:val="22"/>
          <w:szCs w:val="22"/>
          <w:lang w:val="en-GB"/>
        </w:rPr>
        <w:t>4</w:t>
      </w:r>
      <w:r w:rsidR="00B66D93">
        <w:rPr>
          <w:rFonts w:ascii="Arial" w:hAnsi="Arial" w:cs="Arial"/>
          <w:sz w:val="22"/>
          <w:szCs w:val="22"/>
          <w:lang w:val="en-GB"/>
        </w:rPr>
        <w:t>.</w:t>
      </w:r>
      <w:r w:rsidR="00B0754C">
        <w:rPr>
          <w:rFonts w:ascii="Arial" w:hAnsi="Arial" w:cs="Arial"/>
          <w:sz w:val="22"/>
          <w:szCs w:val="22"/>
          <w:lang w:val="en-GB"/>
        </w:rPr>
        <w:t xml:space="preserve"> </w:t>
      </w:r>
    </w:p>
    <w:p w14:paraId="41EE184F" w14:textId="3219C94D" w:rsidR="00A115C7" w:rsidRPr="00A84CED" w:rsidRDefault="00491C6D" w:rsidP="004740D8">
      <w:pPr>
        <w:pStyle w:val="BodyText"/>
        <w:tabs>
          <w:tab w:val="clear" w:pos="8370"/>
        </w:tabs>
        <w:spacing w:beforeLines="40" w:before="96" w:afterLines="40" w:after="96" w:line="240" w:lineRule="auto"/>
        <w:rPr>
          <w:rFonts w:ascii="Arial" w:hAnsi="Arial" w:cs="Arial"/>
          <w:sz w:val="22"/>
          <w:szCs w:val="22"/>
          <w:lang w:val="en-GB"/>
        </w:rPr>
      </w:pPr>
      <w:r w:rsidRPr="00294807">
        <w:rPr>
          <w:rFonts w:ascii="Arial" w:hAnsi="Arial" w:cs="Arial"/>
          <w:sz w:val="22"/>
          <w:szCs w:val="22"/>
        </w:rPr>
        <w:t>Despite a significant increase in revenue</w:t>
      </w:r>
      <w:r w:rsidR="008906DA" w:rsidRPr="008906DA">
        <w:t xml:space="preserve"> </w:t>
      </w:r>
      <w:r w:rsidR="001732B3">
        <w:rPr>
          <w:rFonts w:ascii="Arial" w:hAnsi="Arial" w:cs="Arial"/>
          <w:sz w:val="22"/>
          <w:szCs w:val="22"/>
          <w:lang w:val="en-GB"/>
        </w:rPr>
        <w:t>(Rs 1</w:t>
      </w:r>
      <w:r w:rsidR="005E2707">
        <w:rPr>
          <w:rFonts w:ascii="Arial" w:hAnsi="Arial" w:cs="Arial"/>
          <w:sz w:val="22"/>
          <w:szCs w:val="22"/>
          <w:lang w:val="en-GB"/>
        </w:rPr>
        <w:t>2</w:t>
      </w:r>
      <w:r w:rsidR="001732B3">
        <w:rPr>
          <w:rFonts w:ascii="Arial" w:hAnsi="Arial" w:cs="Arial"/>
          <w:sz w:val="22"/>
          <w:szCs w:val="22"/>
          <w:lang w:val="en-GB"/>
        </w:rPr>
        <w:t>.</w:t>
      </w:r>
      <w:r w:rsidR="005E2707">
        <w:rPr>
          <w:rFonts w:ascii="Arial" w:hAnsi="Arial" w:cs="Arial"/>
          <w:sz w:val="22"/>
          <w:szCs w:val="22"/>
          <w:lang w:val="en-GB"/>
        </w:rPr>
        <w:t>7</w:t>
      </w:r>
      <w:r w:rsidR="001732B3">
        <w:rPr>
          <w:rFonts w:ascii="Arial" w:hAnsi="Arial" w:cs="Arial"/>
          <w:sz w:val="22"/>
          <w:szCs w:val="22"/>
          <w:lang w:val="en-GB"/>
        </w:rPr>
        <w:t xml:space="preserve"> billion) </w:t>
      </w:r>
      <w:r w:rsidR="008906DA" w:rsidRPr="008906DA">
        <w:rPr>
          <w:rFonts w:ascii="Arial" w:hAnsi="Arial" w:cs="Arial"/>
          <w:sz w:val="22"/>
          <w:szCs w:val="22"/>
        </w:rPr>
        <w:t>during the period under review</w:t>
      </w:r>
      <w:r w:rsidRPr="00294807">
        <w:rPr>
          <w:rFonts w:ascii="Arial" w:hAnsi="Arial" w:cs="Arial"/>
          <w:sz w:val="22"/>
          <w:szCs w:val="22"/>
        </w:rPr>
        <w:t xml:space="preserve">, the </w:t>
      </w:r>
      <w:r w:rsidR="00BB1C6A">
        <w:rPr>
          <w:rFonts w:ascii="Arial" w:hAnsi="Arial" w:cs="Arial"/>
          <w:sz w:val="22"/>
          <w:szCs w:val="22"/>
          <w:lang w:val="en-GB"/>
        </w:rPr>
        <w:t>gross</w:t>
      </w:r>
      <w:r w:rsidRPr="00294807">
        <w:rPr>
          <w:rFonts w:ascii="Arial" w:hAnsi="Arial" w:cs="Arial"/>
          <w:sz w:val="22"/>
          <w:szCs w:val="22"/>
        </w:rPr>
        <w:t xml:space="preserve"> operating balance continued to register a deficit</w:t>
      </w:r>
      <w:r w:rsidR="004B18DD" w:rsidRPr="00294807">
        <w:rPr>
          <w:rFonts w:ascii="Arial" w:hAnsi="Arial" w:cs="Arial"/>
          <w:sz w:val="22"/>
          <w:szCs w:val="22"/>
        </w:rPr>
        <w:t>.</w:t>
      </w:r>
      <w:r w:rsidRPr="00294807">
        <w:rPr>
          <w:rFonts w:ascii="Arial" w:hAnsi="Arial" w:cs="Arial"/>
          <w:sz w:val="22"/>
          <w:szCs w:val="22"/>
        </w:rPr>
        <w:t xml:space="preserve"> Th</w:t>
      </w:r>
      <w:r w:rsidR="004569DF">
        <w:rPr>
          <w:rFonts w:ascii="Arial" w:hAnsi="Arial" w:cs="Arial"/>
          <w:sz w:val="22"/>
          <w:szCs w:val="22"/>
          <w:lang w:val="en-GB"/>
        </w:rPr>
        <w:t>is</w:t>
      </w:r>
      <w:r w:rsidRPr="00294807">
        <w:rPr>
          <w:rFonts w:ascii="Arial" w:hAnsi="Arial" w:cs="Arial"/>
          <w:sz w:val="22"/>
          <w:szCs w:val="22"/>
        </w:rPr>
        <w:t xml:space="preserve"> gap was fuelled by </w:t>
      </w:r>
      <w:r w:rsidR="004569DF">
        <w:rPr>
          <w:rFonts w:ascii="Arial" w:hAnsi="Arial" w:cs="Arial"/>
          <w:sz w:val="22"/>
          <w:szCs w:val="22"/>
          <w:lang w:val="en-GB"/>
        </w:rPr>
        <w:t xml:space="preserve">a </w:t>
      </w:r>
      <w:r w:rsidR="005424FB">
        <w:rPr>
          <w:rFonts w:ascii="Arial" w:hAnsi="Arial" w:cs="Arial"/>
          <w:sz w:val="22"/>
          <w:szCs w:val="22"/>
          <w:lang w:val="en-GB"/>
        </w:rPr>
        <w:t>large</w:t>
      </w:r>
      <w:r w:rsidR="004569DF">
        <w:rPr>
          <w:rFonts w:ascii="Arial" w:hAnsi="Arial" w:cs="Arial"/>
          <w:sz w:val="22"/>
          <w:szCs w:val="22"/>
          <w:lang w:val="en-GB"/>
        </w:rPr>
        <w:t xml:space="preserve"> increase in</w:t>
      </w:r>
      <w:r w:rsidRPr="00294807">
        <w:rPr>
          <w:rFonts w:ascii="Arial" w:hAnsi="Arial" w:cs="Arial"/>
          <w:sz w:val="22"/>
          <w:szCs w:val="22"/>
        </w:rPr>
        <w:t xml:space="preserve"> recurrent expenses</w:t>
      </w:r>
      <w:r w:rsidR="004569DF">
        <w:rPr>
          <w:rFonts w:ascii="Arial" w:hAnsi="Arial" w:cs="Arial"/>
          <w:sz w:val="22"/>
          <w:szCs w:val="22"/>
          <w:lang w:val="en-GB"/>
        </w:rPr>
        <w:t xml:space="preserve"> (Rs 3</w:t>
      </w:r>
      <w:r w:rsidR="005E2707">
        <w:rPr>
          <w:rFonts w:ascii="Arial" w:hAnsi="Arial" w:cs="Arial"/>
          <w:sz w:val="22"/>
          <w:szCs w:val="22"/>
          <w:lang w:val="en-GB"/>
        </w:rPr>
        <w:t>3</w:t>
      </w:r>
      <w:r w:rsidR="004569DF">
        <w:rPr>
          <w:rFonts w:ascii="Arial" w:hAnsi="Arial" w:cs="Arial"/>
          <w:sz w:val="22"/>
          <w:szCs w:val="22"/>
          <w:lang w:val="en-GB"/>
        </w:rPr>
        <w:t>.</w:t>
      </w:r>
      <w:r w:rsidR="005E2707">
        <w:rPr>
          <w:rFonts w:ascii="Arial" w:hAnsi="Arial" w:cs="Arial"/>
          <w:sz w:val="22"/>
          <w:szCs w:val="22"/>
          <w:lang w:val="en-GB"/>
        </w:rPr>
        <w:t>8</w:t>
      </w:r>
      <w:r w:rsidR="004569DF">
        <w:rPr>
          <w:rFonts w:ascii="Arial" w:hAnsi="Arial" w:cs="Arial"/>
          <w:sz w:val="22"/>
          <w:szCs w:val="22"/>
          <w:lang w:val="en-GB"/>
        </w:rPr>
        <w:t xml:space="preserve"> billion)</w:t>
      </w:r>
      <w:r w:rsidRPr="00294807">
        <w:rPr>
          <w:rFonts w:ascii="Arial" w:hAnsi="Arial" w:cs="Arial"/>
          <w:sz w:val="22"/>
          <w:szCs w:val="22"/>
        </w:rPr>
        <w:t xml:space="preserve">, notably </w:t>
      </w:r>
      <w:r w:rsidR="004059E5" w:rsidRPr="00294807">
        <w:rPr>
          <w:rFonts w:ascii="Arial" w:hAnsi="Arial" w:cs="Arial"/>
          <w:sz w:val="22"/>
          <w:szCs w:val="22"/>
        </w:rPr>
        <w:t>transfers</w:t>
      </w:r>
      <w:r w:rsidR="00581EF1">
        <w:rPr>
          <w:rFonts w:ascii="Arial" w:hAnsi="Arial" w:cs="Arial"/>
          <w:sz w:val="22"/>
          <w:szCs w:val="22"/>
          <w:lang w:val="en-GB"/>
        </w:rPr>
        <w:t xml:space="preserve"> and </w:t>
      </w:r>
      <w:r w:rsidRPr="00294807">
        <w:rPr>
          <w:rFonts w:ascii="Arial" w:hAnsi="Arial" w:cs="Arial"/>
          <w:sz w:val="22"/>
          <w:szCs w:val="22"/>
        </w:rPr>
        <w:t>social benefits</w:t>
      </w:r>
      <w:r w:rsidR="00F42C68" w:rsidRPr="00812B08">
        <w:rPr>
          <w:rFonts w:ascii="Arial" w:hAnsi="Arial" w:cs="Arial"/>
          <w:sz w:val="22"/>
          <w:szCs w:val="22"/>
        </w:rPr>
        <w:t>.</w:t>
      </w:r>
      <w:r w:rsidR="00D85D8F" w:rsidRPr="00812B08">
        <w:rPr>
          <w:rFonts w:ascii="Arial" w:hAnsi="Arial" w:cs="Arial"/>
          <w:sz w:val="22"/>
          <w:szCs w:val="22"/>
        </w:rPr>
        <w:t xml:space="preserve"> </w:t>
      </w:r>
      <w:r w:rsidR="004F07C6">
        <w:rPr>
          <w:rFonts w:ascii="Arial" w:hAnsi="Arial" w:cs="Arial"/>
          <w:sz w:val="22"/>
          <w:szCs w:val="22"/>
          <w:lang w:val="en-GB"/>
        </w:rPr>
        <w:t>It should be underlined that the s</w:t>
      </w:r>
      <w:r w:rsidR="00E263D4">
        <w:rPr>
          <w:rFonts w:ascii="Arial" w:hAnsi="Arial" w:cs="Arial"/>
          <w:sz w:val="22"/>
          <w:szCs w:val="22"/>
          <w:lang w:val="en-GB"/>
        </w:rPr>
        <w:t>ocial support measures introduced during and after the COVID-19 pandemic kept current spending high</w:t>
      </w:r>
      <w:r w:rsidR="00A84CED">
        <w:rPr>
          <w:rFonts w:ascii="Arial" w:hAnsi="Arial" w:cs="Arial"/>
          <w:sz w:val="22"/>
          <w:szCs w:val="22"/>
          <w:lang w:val="en-GB"/>
        </w:rPr>
        <w:t xml:space="preserve"> and pushed </w:t>
      </w:r>
      <w:r w:rsidR="00A84CED" w:rsidRPr="00294807">
        <w:rPr>
          <w:rFonts w:ascii="Arial" w:hAnsi="Arial" w:cs="Arial"/>
          <w:sz w:val="22"/>
          <w:szCs w:val="22"/>
        </w:rPr>
        <w:t xml:space="preserve">the </w:t>
      </w:r>
      <w:r w:rsidR="00A84CED">
        <w:rPr>
          <w:rFonts w:ascii="Arial" w:hAnsi="Arial" w:cs="Arial"/>
          <w:sz w:val="22"/>
          <w:szCs w:val="22"/>
          <w:lang w:val="en-GB"/>
        </w:rPr>
        <w:t>gross</w:t>
      </w:r>
      <w:r w:rsidR="00A84CED" w:rsidRPr="00294807">
        <w:rPr>
          <w:rFonts w:ascii="Arial" w:hAnsi="Arial" w:cs="Arial"/>
          <w:sz w:val="22"/>
          <w:szCs w:val="22"/>
        </w:rPr>
        <w:t xml:space="preserve"> operating balance</w:t>
      </w:r>
      <w:r w:rsidR="00A84CED">
        <w:rPr>
          <w:rFonts w:ascii="Arial" w:hAnsi="Arial" w:cs="Arial"/>
          <w:sz w:val="22"/>
          <w:szCs w:val="22"/>
          <w:lang w:val="en-GB"/>
        </w:rPr>
        <w:t xml:space="preserve"> in</w:t>
      </w:r>
      <w:r w:rsidR="00EA34DC">
        <w:rPr>
          <w:rFonts w:ascii="Arial" w:hAnsi="Arial" w:cs="Arial"/>
          <w:sz w:val="22"/>
          <w:szCs w:val="22"/>
          <w:lang w:val="en-GB"/>
        </w:rPr>
        <w:t>to</w:t>
      </w:r>
      <w:r w:rsidR="00A84CED">
        <w:rPr>
          <w:rFonts w:ascii="Arial" w:hAnsi="Arial" w:cs="Arial"/>
          <w:sz w:val="22"/>
          <w:szCs w:val="22"/>
          <w:lang w:val="en-GB"/>
        </w:rPr>
        <w:t xml:space="preserve"> a weaker position.</w:t>
      </w:r>
    </w:p>
    <w:p w14:paraId="5D054260" w14:textId="0170698E" w:rsidR="00412D53" w:rsidRDefault="00024BE2" w:rsidP="00321577">
      <w:pPr>
        <w:pStyle w:val="BodyText"/>
        <w:tabs>
          <w:tab w:val="clear" w:pos="8370"/>
        </w:tabs>
        <w:spacing w:beforeLines="40" w:before="96" w:afterLines="40" w:after="96" w:line="240" w:lineRule="auto"/>
        <w:jc w:val="left"/>
        <w:rPr>
          <w:rFonts w:ascii="Arial" w:hAnsi="Arial" w:cs="Arial"/>
          <w:b/>
          <w:smallCaps/>
          <w:sz w:val="22"/>
          <w:szCs w:val="22"/>
        </w:rPr>
      </w:pPr>
      <w:r w:rsidRPr="00024BE2">
        <w:rPr>
          <w:noProof/>
        </w:rPr>
        <w:drawing>
          <wp:inline distT="0" distB="0" distL="0" distR="0" wp14:anchorId="2603837E" wp14:editId="59283F86">
            <wp:extent cx="3116580" cy="32385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6580" cy="3238500"/>
                    </a:xfrm>
                    <a:prstGeom prst="rect">
                      <a:avLst/>
                    </a:prstGeom>
                    <a:noFill/>
                    <a:ln>
                      <a:noFill/>
                    </a:ln>
                  </pic:spPr>
                </pic:pic>
              </a:graphicData>
            </a:graphic>
          </wp:inline>
        </w:drawing>
      </w:r>
      <w:r w:rsidR="00321577" w:rsidRPr="00321577">
        <w:rPr>
          <w:rFonts w:ascii="Arial" w:hAnsi="Arial" w:cs="Arial"/>
          <w:b/>
          <w:smallCaps/>
          <w:sz w:val="22"/>
          <w:szCs w:val="22"/>
        </w:rPr>
        <w:t xml:space="preserve"> </w:t>
      </w:r>
      <w:r w:rsidR="00F627F9" w:rsidRPr="00F627F9">
        <w:rPr>
          <w:noProof/>
        </w:rPr>
        <w:drawing>
          <wp:inline distT="0" distB="0" distL="0" distR="0" wp14:anchorId="2FFF91BD" wp14:editId="5249205F">
            <wp:extent cx="3032760" cy="3238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2760" cy="3238500"/>
                    </a:xfrm>
                    <a:prstGeom prst="rect">
                      <a:avLst/>
                    </a:prstGeom>
                    <a:noFill/>
                    <a:ln>
                      <a:noFill/>
                    </a:ln>
                  </pic:spPr>
                </pic:pic>
              </a:graphicData>
            </a:graphic>
          </wp:inline>
        </w:drawing>
      </w:r>
    </w:p>
    <w:p w14:paraId="34D001F9" w14:textId="01524FC5" w:rsidR="00681548" w:rsidRPr="00C82E71" w:rsidRDefault="00412D53" w:rsidP="00412D53">
      <w:pPr>
        <w:pStyle w:val="BodyText"/>
        <w:tabs>
          <w:tab w:val="clear" w:pos="8370"/>
        </w:tabs>
        <w:spacing w:beforeLines="40" w:before="96" w:afterLines="40" w:after="96" w:line="240" w:lineRule="auto"/>
        <w:rPr>
          <w:rFonts w:ascii="Arial" w:hAnsi="Arial" w:cs="Arial"/>
          <w:b/>
          <w:smallCaps/>
          <w:sz w:val="22"/>
          <w:szCs w:val="22"/>
          <w:lang w:val="en-GB"/>
        </w:rPr>
      </w:pPr>
      <w:r>
        <w:rPr>
          <w:rFonts w:ascii="Arial" w:hAnsi="Arial" w:cs="Arial"/>
          <w:b/>
          <w:smallCaps/>
          <w:sz w:val="22"/>
          <w:szCs w:val="22"/>
          <w:lang w:val="en-GB"/>
        </w:rPr>
        <w:lastRenderedPageBreak/>
        <w:t>4.</w:t>
      </w:r>
      <w:r>
        <w:rPr>
          <w:rFonts w:ascii="Arial" w:hAnsi="Arial" w:cs="Arial"/>
          <w:b/>
          <w:smallCaps/>
          <w:sz w:val="22"/>
          <w:szCs w:val="22"/>
          <w:lang w:val="en-GB"/>
        </w:rPr>
        <w:tab/>
      </w:r>
      <w:r w:rsidR="008175CD">
        <w:rPr>
          <w:rFonts w:ascii="Arial" w:hAnsi="Arial" w:cs="Arial"/>
          <w:b/>
          <w:smallCaps/>
          <w:sz w:val="22"/>
          <w:szCs w:val="22"/>
          <w:lang w:val="en-US" w:eastAsia="en-US"/>
        </w:rPr>
        <w:t>R</w:t>
      </w:r>
      <w:r w:rsidR="00877C8A" w:rsidRPr="00877C8A">
        <w:rPr>
          <w:rFonts w:ascii="Arial" w:hAnsi="Arial" w:cs="Arial"/>
          <w:b/>
          <w:smallCaps/>
          <w:sz w:val="22"/>
          <w:szCs w:val="22"/>
          <w:lang w:val="en-US" w:eastAsia="en-US"/>
        </w:rPr>
        <w:t>evenue</w:t>
      </w:r>
    </w:p>
    <w:p w14:paraId="791105CD" w14:textId="618ECCAD" w:rsidR="00750C57" w:rsidRDefault="000E607C" w:rsidP="00750C57">
      <w:pPr>
        <w:tabs>
          <w:tab w:val="num" w:pos="720"/>
        </w:tabs>
        <w:spacing w:beforeLines="40" w:before="96"/>
        <w:jc w:val="both"/>
        <w:rPr>
          <w:rFonts w:ascii="Arial" w:hAnsi="Arial" w:cs="Arial"/>
          <w:sz w:val="22"/>
          <w:szCs w:val="22"/>
        </w:rPr>
      </w:pPr>
      <w:r>
        <w:rPr>
          <w:rFonts w:ascii="Arial" w:hAnsi="Arial" w:cs="Arial"/>
          <w:sz w:val="22"/>
          <w:szCs w:val="22"/>
        </w:rPr>
        <w:t>T</w:t>
      </w:r>
      <w:r w:rsidR="002B4569">
        <w:rPr>
          <w:rFonts w:ascii="Arial" w:hAnsi="Arial" w:cs="Arial"/>
          <w:sz w:val="22"/>
          <w:szCs w:val="22"/>
        </w:rPr>
        <w:t xml:space="preserve">he </w:t>
      </w:r>
      <w:r w:rsidR="001805A4">
        <w:rPr>
          <w:rFonts w:ascii="Arial" w:hAnsi="Arial" w:cs="Arial"/>
          <w:sz w:val="22"/>
          <w:szCs w:val="22"/>
        </w:rPr>
        <w:t xml:space="preserve">consolidated general </w:t>
      </w:r>
      <w:r w:rsidR="002B4569">
        <w:rPr>
          <w:rFonts w:ascii="Arial" w:hAnsi="Arial" w:cs="Arial"/>
          <w:sz w:val="22"/>
          <w:szCs w:val="22"/>
        </w:rPr>
        <w:t xml:space="preserve">government raised </w:t>
      </w:r>
      <w:r w:rsidR="004823C2">
        <w:rPr>
          <w:rFonts w:ascii="Arial" w:hAnsi="Arial" w:cs="Arial"/>
          <w:sz w:val="22"/>
          <w:szCs w:val="22"/>
        </w:rPr>
        <w:t xml:space="preserve">about </w:t>
      </w:r>
      <w:r w:rsidR="00B54B27">
        <w:rPr>
          <w:rFonts w:ascii="Arial" w:hAnsi="Arial" w:cs="Arial"/>
          <w:sz w:val="22"/>
          <w:szCs w:val="22"/>
        </w:rPr>
        <w:t>Rs 17</w:t>
      </w:r>
      <w:r w:rsidR="00240342">
        <w:rPr>
          <w:rFonts w:ascii="Arial" w:hAnsi="Arial" w:cs="Arial"/>
          <w:sz w:val="22"/>
          <w:szCs w:val="22"/>
        </w:rPr>
        <w:t>0</w:t>
      </w:r>
      <w:r w:rsidR="00B54B27">
        <w:rPr>
          <w:rFonts w:ascii="Arial" w:hAnsi="Arial" w:cs="Arial"/>
          <w:sz w:val="22"/>
          <w:szCs w:val="22"/>
        </w:rPr>
        <w:t>.</w:t>
      </w:r>
      <w:r w:rsidR="00240342">
        <w:rPr>
          <w:rFonts w:ascii="Arial" w:hAnsi="Arial" w:cs="Arial"/>
          <w:sz w:val="22"/>
          <w:szCs w:val="22"/>
        </w:rPr>
        <w:t>4</w:t>
      </w:r>
      <w:r w:rsidR="00B54B27">
        <w:rPr>
          <w:rFonts w:ascii="Arial" w:hAnsi="Arial" w:cs="Arial"/>
          <w:sz w:val="22"/>
          <w:szCs w:val="22"/>
        </w:rPr>
        <w:t xml:space="preserve"> billion</w:t>
      </w:r>
      <w:r w:rsidR="004823C2">
        <w:rPr>
          <w:rFonts w:ascii="Arial" w:hAnsi="Arial" w:cs="Arial"/>
          <w:sz w:val="22"/>
          <w:szCs w:val="22"/>
        </w:rPr>
        <w:t xml:space="preserve"> </w:t>
      </w:r>
      <w:r w:rsidR="001805A4">
        <w:rPr>
          <w:rFonts w:ascii="Arial" w:hAnsi="Arial" w:cs="Arial"/>
          <w:sz w:val="22"/>
          <w:szCs w:val="22"/>
        </w:rPr>
        <w:t>in</w:t>
      </w:r>
      <w:r w:rsidR="004823C2">
        <w:rPr>
          <w:rFonts w:ascii="Arial" w:hAnsi="Arial" w:cs="Arial"/>
          <w:sz w:val="22"/>
          <w:szCs w:val="22"/>
        </w:rPr>
        <w:t xml:space="preserve"> revenue </w:t>
      </w:r>
      <w:r>
        <w:rPr>
          <w:rFonts w:ascii="Arial" w:hAnsi="Arial" w:cs="Arial"/>
          <w:sz w:val="22"/>
          <w:szCs w:val="22"/>
        </w:rPr>
        <w:t xml:space="preserve">during the fiscal year 2023/2024, </w:t>
      </w:r>
      <w:r w:rsidR="00660161">
        <w:rPr>
          <w:rFonts w:ascii="Arial" w:hAnsi="Arial" w:cs="Arial"/>
          <w:sz w:val="22"/>
          <w:szCs w:val="22"/>
        </w:rPr>
        <w:t>equivalent to around 25.</w:t>
      </w:r>
      <w:r w:rsidR="00240342">
        <w:rPr>
          <w:rFonts w:ascii="Arial" w:hAnsi="Arial" w:cs="Arial"/>
          <w:sz w:val="22"/>
          <w:szCs w:val="22"/>
        </w:rPr>
        <w:t>6</w:t>
      </w:r>
      <w:r w:rsidR="00660161">
        <w:rPr>
          <w:rFonts w:ascii="Arial" w:hAnsi="Arial" w:cs="Arial"/>
          <w:sz w:val="22"/>
          <w:szCs w:val="22"/>
        </w:rPr>
        <w:t>% of GDP</w:t>
      </w:r>
      <w:r w:rsidR="004823C2">
        <w:rPr>
          <w:rFonts w:ascii="Arial" w:hAnsi="Arial" w:cs="Arial"/>
          <w:sz w:val="22"/>
          <w:szCs w:val="22"/>
        </w:rPr>
        <w:t>.</w:t>
      </w:r>
      <w:r w:rsidR="00DA5333">
        <w:rPr>
          <w:rFonts w:ascii="Arial" w:hAnsi="Arial" w:cs="Arial"/>
          <w:sz w:val="22"/>
          <w:szCs w:val="22"/>
        </w:rPr>
        <w:t xml:space="preserve"> </w:t>
      </w:r>
      <w:r w:rsidR="001805A4">
        <w:rPr>
          <w:rFonts w:ascii="Arial" w:hAnsi="Arial" w:cs="Arial"/>
          <w:sz w:val="22"/>
          <w:szCs w:val="22"/>
        </w:rPr>
        <w:t>This marks an increase of 8.</w:t>
      </w:r>
      <w:r w:rsidR="00240342">
        <w:rPr>
          <w:rFonts w:ascii="Arial" w:hAnsi="Arial" w:cs="Arial"/>
          <w:sz w:val="22"/>
          <w:szCs w:val="22"/>
        </w:rPr>
        <w:t>1</w:t>
      </w:r>
      <w:r w:rsidR="001805A4">
        <w:rPr>
          <w:rFonts w:ascii="Arial" w:hAnsi="Arial" w:cs="Arial"/>
          <w:sz w:val="22"/>
          <w:szCs w:val="22"/>
        </w:rPr>
        <w:t>% compared to the Rs 157.7 billion collected in 2022/2023, reflecting sustained revenue mobilisation efforts</w:t>
      </w:r>
      <w:r w:rsidR="00713EFF">
        <w:rPr>
          <w:rFonts w:ascii="Arial" w:hAnsi="Arial" w:cs="Arial"/>
          <w:sz w:val="22"/>
          <w:szCs w:val="22"/>
        </w:rPr>
        <w:t xml:space="preserve"> (Table 2)</w:t>
      </w:r>
      <w:r w:rsidR="001805A4">
        <w:rPr>
          <w:rFonts w:ascii="Arial" w:hAnsi="Arial" w:cs="Arial"/>
          <w:sz w:val="22"/>
          <w:szCs w:val="22"/>
        </w:rPr>
        <w:t>.</w:t>
      </w:r>
    </w:p>
    <w:p w14:paraId="46448992" w14:textId="49F5E2F7" w:rsidR="00F93A0D" w:rsidRDefault="001805A4" w:rsidP="00B52D96">
      <w:pPr>
        <w:tabs>
          <w:tab w:val="num" w:pos="720"/>
        </w:tabs>
        <w:jc w:val="both"/>
        <w:rPr>
          <w:rFonts w:ascii="Arial" w:hAnsi="Arial" w:cs="Arial"/>
          <w:sz w:val="22"/>
          <w:szCs w:val="22"/>
        </w:rPr>
      </w:pPr>
      <w:r>
        <w:rPr>
          <w:rFonts w:ascii="Arial" w:hAnsi="Arial" w:cs="Arial"/>
          <w:sz w:val="22"/>
          <w:szCs w:val="22"/>
        </w:rPr>
        <w:t xml:space="preserve"> </w:t>
      </w:r>
    </w:p>
    <w:p w14:paraId="787BF842" w14:textId="5C6423A7" w:rsidR="00750C57" w:rsidRPr="003A32A8" w:rsidRDefault="00750C57" w:rsidP="00B52D96">
      <w:pPr>
        <w:spacing w:afterLines="40" w:after="96"/>
        <w:jc w:val="both"/>
        <w:rPr>
          <w:rFonts w:ascii="Arial" w:hAnsi="Arial" w:cs="Arial"/>
          <w:b/>
          <w:i/>
          <w:sz w:val="22"/>
          <w:szCs w:val="22"/>
        </w:rPr>
      </w:pPr>
      <w:r w:rsidRPr="003A32A8">
        <w:rPr>
          <w:rFonts w:ascii="Arial" w:hAnsi="Arial" w:cs="Arial"/>
          <w:b/>
          <w:sz w:val="22"/>
          <w:szCs w:val="22"/>
        </w:rPr>
        <w:t>4.</w:t>
      </w:r>
      <w:r w:rsidR="00070DB1">
        <w:rPr>
          <w:rFonts w:ascii="Arial" w:hAnsi="Arial" w:cs="Arial"/>
          <w:b/>
          <w:sz w:val="22"/>
          <w:szCs w:val="22"/>
        </w:rPr>
        <w:t>1</w:t>
      </w:r>
      <w:r w:rsidRPr="003A32A8">
        <w:rPr>
          <w:rFonts w:ascii="Arial" w:hAnsi="Arial" w:cs="Arial"/>
          <w:b/>
          <w:sz w:val="22"/>
          <w:szCs w:val="22"/>
        </w:rPr>
        <w:tab/>
      </w:r>
      <w:r>
        <w:rPr>
          <w:rFonts w:ascii="Arial" w:hAnsi="Arial" w:cs="Arial"/>
          <w:b/>
          <w:smallCaps/>
          <w:sz w:val="22"/>
          <w:szCs w:val="22"/>
        </w:rPr>
        <w:t xml:space="preserve">Revenue </w:t>
      </w:r>
      <w:r w:rsidR="008A19C1">
        <w:rPr>
          <w:rFonts w:ascii="Arial" w:hAnsi="Arial" w:cs="Arial"/>
          <w:b/>
          <w:smallCaps/>
          <w:sz w:val="22"/>
          <w:szCs w:val="22"/>
        </w:rPr>
        <w:t>B</w:t>
      </w:r>
      <w:r>
        <w:rPr>
          <w:rFonts w:ascii="Arial" w:hAnsi="Arial" w:cs="Arial"/>
          <w:b/>
          <w:smallCaps/>
          <w:sz w:val="22"/>
          <w:szCs w:val="22"/>
        </w:rPr>
        <w:t xml:space="preserve">y </w:t>
      </w:r>
      <w:r w:rsidR="008A19C1">
        <w:rPr>
          <w:rFonts w:ascii="Arial" w:hAnsi="Arial" w:cs="Arial"/>
          <w:b/>
          <w:smallCaps/>
          <w:sz w:val="22"/>
          <w:szCs w:val="22"/>
        </w:rPr>
        <w:t>T</w:t>
      </w:r>
      <w:r>
        <w:rPr>
          <w:rFonts w:ascii="Arial" w:hAnsi="Arial" w:cs="Arial"/>
          <w:b/>
          <w:smallCaps/>
          <w:sz w:val="22"/>
          <w:szCs w:val="22"/>
        </w:rPr>
        <w:t>ype</w:t>
      </w:r>
    </w:p>
    <w:p w14:paraId="46EFE148" w14:textId="086F976E" w:rsidR="00750C57" w:rsidRPr="003A32A8" w:rsidRDefault="00750C57" w:rsidP="00750C57">
      <w:pPr>
        <w:spacing w:beforeLines="40" w:before="96" w:afterLines="40" w:after="96"/>
        <w:jc w:val="both"/>
        <w:rPr>
          <w:rFonts w:ascii="Arial" w:hAnsi="Arial" w:cs="Arial"/>
          <w:b/>
          <w:sz w:val="22"/>
          <w:szCs w:val="22"/>
        </w:rPr>
      </w:pPr>
      <w:r w:rsidRPr="003A32A8">
        <w:rPr>
          <w:rFonts w:ascii="Arial" w:hAnsi="Arial" w:cs="Arial"/>
          <w:b/>
          <w:sz w:val="22"/>
          <w:szCs w:val="22"/>
        </w:rPr>
        <w:t>4.</w:t>
      </w:r>
      <w:r w:rsidR="00070DB1">
        <w:rPr>
          <w:rFonts w:ascii="Arial" w:hAnsi="Arial" w:cs="Arial"/>
          <w:b/>
          <w:sz w:val="22"/>
          <w:szCs w:val="22"/>
        </w:rPr>
        <w:t>1</w:t>
      </w:r>
      <w:r w:rsidRPr="003A32A8">
        <w:rPr>
          <w:rFonts w:ascii="Arial" w:hAnsi="Arial" w:cs="Arial"/>
          <w:b/>
          <w:sz w:val="22"/>
          <w:szCs w:val="22"/>
        </w:rPr>
        <w:t>.1</w:t>
      </w:r>
      <w:r w:rsidRPr="003A32A8">
        <w:rPr>
          <w:rFonts w:ascii="Arial" w:hAnsi="Arial" w:cs="Arial"/>
          <w:b/>
          <w:sz w:val="22"/>
          <w:szCs w:val="22"/>
        </w:rPr>
        <w:tab/>
      </w:r>
      <w:r>
        <w:rPr>
          <w:rFonts w:ascii="Arial" w:hAnsi="Arial" w:cs="Arial"/>
          <w:b/>
          <w:sz w:val="22"/>
          <w:szCs w:val="22"/>
        </w:rPr>
        <w:t>Taxes</w:t>
      </w:r>
    </w:p>
    <w:p w14:paraId="5B3CA64A" w14:textId="03BADD72" w:rsidR="00863FA2" w:rsidRDefault="00852A3A" w:rsidP="00750C57">
      <w:pPr>
        <w:spacing w:beforeLines="40" w:before="96" w:afterLines="40" w:after="96"/>
        <w:jc w:val="both"/>
        <w:rPr>
          <w:rFonts w:ascii="Arial" w:hAnsi="Arial" w:cs="Arial"/>
          <w:sz w:val="22"/>
          <w:szCs w:val="22"/>
        </w:rPr>
      </w:pPr>
      <w:r>
        <w:rPr>
          <w:rFonts w:ascii="Arial" w:hAnsi="Arial" w:cs="Arial"/>
          <w:sz w:val="22"/>
          <w:szCs w:val="22"/>
        </w:rPr>
        <w:t>Taxes remained t</w:t>
      </w:r>
      <w:r w:rsidR="00DA5333">
        <w:rPr>
          <w:rFonts w:ascii="Arial" w:hAnsi="Arial" w:cs="Arial"/>
          <w:sz w:val="22"/>
          <w:szCs w:val="22"/>
        </w:rPr>
        <w:t xml:space="preserve">he </w:t>
      </w:r>
      <w:r>
        <w:rPr>
          <w:rFonts w:ascii="Arial" w:hAnsi="Arial" w:cs="Arial"/>
          <w:sz w:val="22"/>
          <w:szCs w:val="22"/>
        </w:rPr>
        <w:t>primary</w:t>
      </w:r>
      <w:r w:rsidR="00DA5333">
        <w:rPr>
          <w:rFonts w:ascii="Arial" w:hAnsi="Arial" w:cs="Arial"/>
          <w:sz w:val="22"/>
          <w:szCs w:val="22"/>
        </w:rPr>
        <w:t xml:space="preserve"> source of government revenue </w:t>
      </w:r>
      <w:r w:rsidR="00C373EE">
        <w:rPr>
          <w:rFonts w:ascii="Arial" w:hAnsi="Arial" w:cs="Arial"/>
          <w:sz w:val="22"/>
          <w:szCs w:val="22"/>
        </w:rPr>
        <w:t>in 2023/2024</w:t>
      </w:r>
      <w:r w:rsidR="003C3456">
        <w:rPr>
          <w:rFonts w:ascii="Arial" w:hAnsi="Arial" w:cs="Arial"/>
          <w:sz w:val="22"/>
          <w:szCs w:val="22"/>
        </w:rPr>
        <w:t xml:space="preserve">. Taxation revenue was to the tune of Rs 142.6 billion, </w:t>
      </w:r>
      <w:r w:rsidR="00DA5333">
        <w:rPr>
          <w:rFonts w:ascii="Arial" w:hAnsi="Arial" w:cs="Arial"/>
          <w:sz w:val="22"/>
          <w:szCs w:val="22"/>
        </w:rPr>
        <w:t xml:space="preserve">representing </w:t>
      </w:r>
      <w:r w:rsidR="003C3456">
        <w:rPr>
          <w:rFonts w:ascii="Arial" w:hAnsi="Arial" w:cs="Arial"/>
          <w:sz w:val="22"/>
          <w:szCs w:val="22"/>
        </w:rPr>
        <w:t>83.</w:t>
      </w:r>
      <w:r w:rsidR="00240342">
        <w:rPr>
          <w:rFonts w:ascii="Arial" w:hAnsi="Arial" w:cs="Arial"/>
          <w:sz w:val="22"/>
          <w:szCs w:val="22"/>
        </w:rPr>
        <w:t>6</w:t>
      </w:r>
      <w:r w:rsidR="00DA5333">
        <w:rPr>
          <w:rFonts w:ascii="Arial" w:hAnsi="Arial" w:cs="Arial"/>
          <w:sz w:val="22"/>
          <w:szCs w:val="22"/>
        </w:rPr>
        <w:t>% of total revenue.</w:t>
      </w:r>
      <w:r w:rsidR="00924DAE" w:rsidRPr="00924DAE">
        <w:rPr>
          <w:rFonts w:ascii="Arial" w:hAnsi="Arial" w:cs="Arial"/>
          <w:sz w:val="22"/>
          <w:szCs w:val="22"/>
        </w:rPr>
        <w:t xml:space="preserve"> </w:t>
      </w:r>
      <w:r w:rsidR="00100069">
        <w:rPr>
          <w:rFonts w:ascii="Arial" w:hAnsi="Arial" w:cs="Arial"/>
          <w:sz w:val="22"/>
          <w:szCs w:val="22"/>
        </w:rPr>
        <w:t>While t</w:t>
      </w:r>
      <w:r w:rsidR="00BB121F">
        <w:rPr>
          <w:rFonts w:ascii="Arial" w:hAnsi="Arial" w:cs="Arial"/>
          <w:sz w:val="22"/>
          <w:szCs w:val="22"/>
        </w:rPr>
        <w:t xml:space="preserve">ax receipts </w:t>
      </w:r>
      <w:r>
        <w:rPr>
          <w:rFonts w:ascii="Arial" w:hAnsi="Arial" w:cs="Arial"/>
          <w:sz w:val="22"/>
          <w:szCs w:val="22"/>
        </w:rPr>
        <w:t>grew</w:t>
      </w:r>
      <w:r w:rsidR="00BB121F">
        <w:rPr>
          <w:rFonts w:ascii="Arial" w:hAnsi="Arial" w:cs="Arial"/>
          <w:sz w:val="22"/>
          <w:szCs w:val="22"/>
        </w:rPr>
        <w:t xml:space="preserve"> by 8.5%</w:t>
      </w:r>
      <w:r w:rsidR="00100069">
        <w:rPr>
          <w:rFonts w:ascii="Arial" w:hAnsi="Arial" w:cs="Arial"/>
          <w:sz w:val="22"/>
          <w:szCs w:val="22"/>
        </w:rPr>
        <w:t>,</w:t>
      </w:r>
      <w:r>
        <w:rPr>
          <w:rFonts w:ascii="Arial" w:hAnsi="Arial" w:cs="Arial"/>
          <w:sz w:val="22"/>
          <w:szCs w:val="22"/>
        </w:rPr>
        <w:t xml:space="preserve"> </w:t>
      </w:r>
      <w:r w:rsidR="00100069">
        <w:rPr>
          <w:rFonts w:ascii="Arial" w:hAnsi="Arial" w:cs="Arial"/>
          <w:sz w:val="22"/>
          <w:szCs w:val="22"/>
        </w:rPr>
        <w:t>the increase</w:t>
      </w:r>
      <w:r>
        <w:rPr>
          <w:rFonts w:ascii="Arial" w:hAnsi="Arial" w:cs="Arial"/>
          <w:sz w:val="22"/>
          <w:szCs w:val="22"/>
        </w:rPr>
        <w:t xml:space="preserve"> was </w:t>
      </w:r>
      <w:r w:rsidR="00100069">
        <w:rPr>
          <w:rFonts w:ascii="Arial" w:hAnsi="Arial" w:cs="Arial"/>
          <w:sz w:val="22"/>
          <w:szCs w:val="22"/>
        </w:rPr>
        <w:t>slightly below</w:t>
      </w:r>
      <w:r w:rsidR="00BB121F">
        <w:rPr>
          <w:rFonts w:ascii="Arial" w:hAnsi="Arial" w:cs="Arial"/>
          <w:sz w:val="22"/>
          <w:szCs w:val="22"/>
        </w:rPr>
        <w:t xml:space="preserve"> the nominal </w:t>
      </w:r>
      <w:r w:rsidR="00100069">
        <w:rPr>
          <w:rFonts w:ascii="Arial" w:hAnsi="Arial" w:cs="Arial"/>
          <w:sz w:val="22"/>
          <w:szCs w:val="22"/>
        </w:rPr>
        <w:t xml:space="preserve">GDP </w:t>
      </w:r>
      <w:r w:rsidR="00BB121F">
        <w:rPr>
          <w:rFonts w:ascii="Arial" w:hAnsi="Arial" w:cs="Arial"/>
          <w:sz w:val="22"/>
          <w:szCs w:val="22"/>
        </w:rPr>
        <w:t xml:space="preserve">growth </w:t>
      </w:r>
      <w:r w:rsidR="00100069">
        <w:rPr>
          <w:rFonts w:ascii="Arial" w:hAnsi="Arial" w:cs="Arial"/>
          <w:sz w:val="22"/>
          <w:szCs w:val="22"/>
        </w:rPr>
        <w:t xml:space="preserve">of </w:t>
      </w:r>
      <w:r w:rsidR="00BB121F">
        <w:rPr>
          <w:rFonts w:ascii="Arial" w:hAnsi="Arial" w:cs="Arial"/>
          <w:sz w:val="22"/>
          <w:szCs w:val="22"/>
        </w:rPr>
        <w:t>10.0%.</w:t>
      </w:r>
    </w:p>
    <w:p w14:paraId="6236E1AB" w14:textId="626413B9" w:rsidR="00086E6C" w:rsidRDefault="005C5C30" w:rsidP="001A14E0">
      <w:pPr>
        <w:spacing w:beforeLines="40" w:before="96" w:afterLines="40" w:after="96"/>
        <w:jc w:val="both"/>
        <w:rPr>
          <w:rFonts w:ascii="Arial" w:hAnsi="Arial" w:cs="Arial"/>
          <w:sz w:val="22"/>
          <w:szCs w:val="22"/>
        </w:rPr>
      </w:pPr>
      <w:r>
        <w:rPr>
          <w:rFonts w:ascii="Arial" w:hAnsi="Arial" w:cs="Arial"/>
          <w:sz w:val="22"/>
          <w:szCs w:val="22"/>
        </w:rPr>
        <w:t xml:space="preserve">VAT </w:t>
      </w:r>
      <w:r w:rsidR="00204015">
        <w:rPr>
          <w:rFonts w:ascii="Arial" w:hAnsi="Arial" w:cs="Arial"/>
          <w:sz w:val="22"/>
          <w:szCs w:val="22"/>
        </w:rPr>
        <w:t xml:space="preserve">was the largest contributor to government tax revenue in 2023/2024, generating </w:t>
      </w:r>
      <w:r>
        <w:rPr>
          <w:rFonts w:ascii="Arial" w:hAnsi="Arial" w:cs="Arial"/>
          <w:sz w:val="22"/>
          <w:szCs w:val="22"/>
        </w:rPr>
        <w:t>Rs 53.2 billion</w:t>
      </w:r>
      <w:r w:rsidR="00CB0599">
        <w:rPr>
          <w:rFonts w:ascii="Arial" w:hAnsi="Arial" w:cs="Arial"/>
          <w:sz w:val="22"/>
          <w:szCs w:val="22"/>
        </w:rPr>
        <w:t xml:space="preserve">. </w:t>
      </w:r>
      <w:r w:rsidR="00204015">
        <w:rPr>
          <w:rFonts w:ascii="Arial" w:hAnsi="Arial" w:cs="Arial"/>
          <w:sz w:val="22"/>
          <w:szCs w:val="22"/>
        </w:rPr>
        <w:t>Corporate and enterprise taxes</w:t>
      </w:r>
      <w:r>
        <w:rPr>
          <w:rFonts w:ascii="Arial" w:hAnsi="Arial" w:cs="Arial"/>
          <w:sz w:val="22"/>
          <w:szCs w:val="22"/>
        </w:rPr>
        <w:t xml:space="preserve"> </w:t>
      </w:r>
      <w:r w:rsidR="00204015">
        <w:rPr>
          <w:rFonts w:ascii="Arial" w:hAnsi="Arial" w:cs="Arial"/>
          <w:sz w:val="22"/>
          <w:szCs w:val="22"/>
        </w:rPr>
        <w:t>followed</w:t>
      </w:r>
      <w:r w:rsidR="00184DDF">
        <w:rPr>
          <w:rFonts w:ascii="Arial" w:hAnsi="Arial" w:cs="Arial"/>
          <w:sz w:val="22"/>
          <w:szCs w:val="22"/>
        </w:rPr>
        <w:t xml:space="preserve"> with a collection of</w:t>
      </w:r>
      <w:r w:rsidR="00204015">
        <w:rPr>
          <w:rFonts w:ascii="Arial" w:hAnsi="Arial" w:cs="Arial"/>
          <w:sz w:val="22"/>
          <w:szCs w:val="22"/>
        </w:rPr>
        <w:t xml:space="preserve"> </w:t>
      </w:r>
      <w:r>
        <w:rPr>
          <w:rFonts w:ascii="Arial" w:hAnsi="Arial" w:cs="Arial"/>
          <w:sz w:val="22"/>
          <w:szCs w:val="22"/>
        </w:rPr>
        <w:t>Rs 28.7 billion</w:t>
      </w:r>
      <w:r w:rsidR="00204015">
        <w:rPr>
          <w:rFonts w:ascii="Arial" w:hAnsi="Arial" w:cs="Arial"/>
          <w:sz w:val="22"/>
          <w:szCs w:val="22"/>
        </w:rPr>
        <w:t xml:space="preserve">, while </w:t>
      </w:r>
      <w:r w:rsidR="00CB0599" w:rsidRPr="00CB0599">
        <w:rPr>
          <w:rFonts w:ascii="Arial" w:hAnsi="Arial" w:cs="Arial"/>
          <w:sz w:val="22"/>
          <w:szCs w:val="22"/>
        </w:rPr>
        <w:t>excise duties</w:t>
      </w:r>
      <w:r w:rsidR="005A267F">
        <w:rPr>
          <w:rFonts w:ascii="Arial" w:hAnsi="Arial" w:cs="Arial"/>
          <w:sz w:val="22"/>
          <w:szCs w:val="22"/>
        </w:rPr>
        <w:t xml:space="preserve"> </w:t>
      </w:r>
      <w:r w:rsidR="00204015">
        <w:rPr>
          <w:rFonts w:ascii="Arial" w:hAnsi="Arial" w:cs="Arial"/>
          <w:sz w:val="22"/>
          <w:szCs w:val="22"/>
        </w:rPr>
        <w:t xml:space="preserve">ranked third with </w:t>
      </w:r>
      <w:r w:rsidR="005A267F">
        <w:rPr>
          <w:rFonts w:ascii="Arial" w:hAnsi="Arial" w:cs="Arial"/>
          <w:sz w:val="22"/>
          <w:szCs w:val="22"/>
        </w:rPr>
        <w:t>Rs 21.1 billion</w:t>
      </w:r>
      <w:r w:rsidR="00CB0599" w:rsidRPr="00CB0599">
        <w:rPr>
          <w:rFonts w:ascii="Arial" w:hAnsi="Arial" w:cs="Arial"/>
          <w:sz w:val="22"/>
          <w:szCs w:val="22"/>
        </w:rPr>
        <w:t>.</w:t>
      </w:r>
      <w:r w:rsidR="005A267F">
        <w:rPr>
          <w:rFonts w:ascii="Arial" w:hAnsi="Arial" w:cs="Arial"/>
          <w:sz w:val="22"/>
          <w:szCs w:val="22"/>
        </w:rPr>
        <w:t xml:space="preserve"> </w:t>
      </w:r>
      <w:r w:rsidR="00204015">
        <w:rPr>
          <w:rFonts w:ascii="Arial" w:hAnsi="Arial" w:cs="Arial"/>
          <w:sz w:val="22"/>
          <w:szCs w:val="22"/>
        </w:rPr>
        <w:t>Together</w:t>
      </w:r>
      <w:r w:rsidR="005A267F">
        <w:rPr>
          <w:rFonts w:ascii="Arial" w:hAnsi="Arial" w:cs="Arial"/>
          <w:sz w:val="22"/>
          <w:szCs w:val="22"/>
        </w:rPr>
        <w:t xml:space="preserve"> VAT and </w:t>
      </w:r>
      <w:r w:rsidR="005A267F" w:rsidRPr="00CB0599">
        <w:rPr>
          <w:rFonts w:ascii="Arial" w:hAnsi="Arial" w:cs="Arial"/>
          <w:sz w:val="22"/>
          <w:szCs w:val="22"/>
        </w:rPr>
        <w:t>excise duties</w:t>
      </w:r>
      <w:r w:rsidR="00204015">
        <w:rPr>
          <w:rFonts w:ascii="Arial" w:hAnsi="Arial" w:cs="Arial"/>
          <w:sz w:val="22"/>
          <w:szCs w:val="22"/>
        </w:rPr>
        <w:t xml:space="preserve"> accounted for 52.1% of total tax revenue</w:t>
      </w:r>
      <w:r w:rsidR="005A267F">
        <w:rPr>
          <w:rFonts w:ascii="Arial" w:hAnsi="Arial" w:cs="Arial"/>
          <w:sz w:val="22"/>
          <w:szCs w:val="22"/>
        </w:rPr>
        <w:t>, showing a composition led by consumption taxes.</w:t>
      </w:r>
      <w:r w:rsidR="00FA646F">
        <w:rPr>
          <w:rFonts w:ascii="Arial" w:hAnsi="Arial" w:cs="Arial"/>
          <w:sz w:val="22"/>
          <w:szCs w:val="22"/>
        </w:rPr>
        <w:t xml:space="preserve"> Other </w:t>
      </w:r>
      <w:r w:rsidR="00204015">
        <w:rPr>
          <w:rFonts w:ascii="Arial" w:hAnsi="Arial" w:cs="Arial"/>
          <w:sz w:val="22"/>
          <w:szCs w:val="22"/>
        </w:rPr>
        <w:t>significant sources</w:t>
      </w:r>
      <w:r w:rsidR="00FA646F">
        <w:rPr>
          <w:rFonts w:ascii="Arial" w:hAnsi="Arial" w:cs="Arial"/>
          <w:sz w:val="22"/>
          <w:szCs w:val="22"/>
        </w:rPr>
        <w:t xml:space="preserve"> include</w:t>
      </w:r>
      <w:r w:rsidR="00204015">
        <w:rPr>
          <w:rFonts w:ascii="Arial" w:hAnsi="Arial" w:cs="Arial"/>
          <w:sz w:val="22"/>
          <w:szCs w:val="22"/>
        </w:rPr>
        <w:t>d</w:t>
      </w:r>
      <w:r w:rsidR="00F2307A">
        <w:rPr>
          <w:rFonts w:ascii="Arial" w:hAnsi="Arial" w:cs="Arial"/>
          <w:sz w:val="22"/>
          <w:szCs w:val="22"/>
        </w:rPr>
        <w:t xml:space="preserve"> p</w:t>
      </w:r>
      <w:r w:rsidR="00F2307A" w:rsidRPr="00F2307A">
        <w:rPr>
          <w:rFonts w:ascii="Arial" w:hAnsi="Arial" w:cs="Arial"/>
          <w:sz w:val="22"/>
          <w:szCs w:val="22"/>
        </w:rPr>
        <w:t>ersonal income tax</w:t>
      </w:r>
      <w:r w:rsidR="00F2307A">
        <w:rPr>
          <w:rFonts w:ascii="Arial" w:hAnsi="Arial" w:cs="Arial"/>
          <w:sz w:val="22"/>
          <w:szCs w:val="22"/>
        </w:rPr>
        <w:t xml:space="preserve"> (Rs 13.4 billion) and t</w:t>
      </w:r>
      <w:r w:rsidR="00F2307A" w:rsidRPr="00F2307A">
        <w:rPr>
          <w:rFonts w:ascii="Arial" w:hAnsi="Arial" w:cs="Arial"/>
          <w:sz w:val="22"/>
          <w:szCs w:val="22"/>
        </w:rPr>
        <w:t>axes on financial and capital transactions</w:t>
      </w:r>
      <w:r w:rsidR="00F2307A">
        <w:rPr>
          <w:rFonts w:ascii="Arial" w:hAnsi="Arial" w:cs="Arial"/>
          <w:sz w:val="22"/>
          <w:szCs w:val="22"/>
        </w:rPr>
        <w:t xml:space="preserve"> (Rs 9.4 billion).</w:t>
      </w:r>
    </w:p>
    <w:p w14:paraId="3EE6E9AA" w14:textId="664EED4D" w:rsidR="00C14D57" w:rsidRDefault="00256CCA" w:rsidP="001A14E0">
      <w:pPr>
        <w:spacing w:beforeLines="40" w:before="96" w:afterLines="40" w:after="96"/>
        <w:jc w:val="both"/>
        <w:rPr>
          <w:rFonts w:ascii="Arial" w:hAnsi="Arial" w:cs="Arial"/>
          <w:sz w:val="22"/>
          <w:szCs w:val="22"/>
        </w:rPr>
      </w:pPr>
      <w:r>
        <w:rPr>
          <w:rFonts w:ascii="Arial" w:hAnsi="Arial" w:cs="Arial"/>
          <w:sz w:val="22"/>
          <w:szCs w:val="22"/>
        </w:rPr>
        <w:t>From</w:t>
      </w:r>
      <w:r w:rsidR="00C14D57">
        <w:rPr>
          <w:rFonts w:ascii="Arial" w:hAnsi="Arial" w:cs="Arial"/>
          <w:sz w:val="22"/>
          <w:szCs w:val="22"/>
        </w:rPr>
        <w:t xml:space="preserve"> July 2023 to June 2024, tax </w:t>
      </w:r>
      <w:r>
        <w:rPr>
          <w:rFonts w:ascii="Arial" w:hAnsi="Arial" w:cs="Arial"/>
          <w:sz w:val="22"/>
          <w:szCs w:val="22"/>
        </w:rPr>
        <w:t>collections were</w:t>
      </w:r>
      <w:r w:rsidR="00C14D57">
        <w:rPr>
          <w:rFonts w:ascii="Arial" w:hAnsi="Arial" w:cs="Arial"/>
          <w:sz w:val="22"/>
          <w:szCs w:val="22"/>
        </w:rPr>
        <w:t xml:space="preserve"> influenced by policy </w:t>
      </w:r>
      <w:r>
        <w:rPr>
          <w:rFonts w:ascii="Arial" w:hAnsi="Arial" w:cs="Arial"/>
          <w:sz w:val="22"/>
          <w:szCs w:val="22"/>
        </w:rPr>
        <w:t xml:space="preserve">adjustments to </w:t>
      </w:r>
      <w:r w:rsidR="005B7D10">
        <w:rPr>
          <w:rFonts w:ascii="Arial" w:hAnsi="Arial" w:cs="Arial"/>
          <w:sz w:val="22"/>
          <w:szCs w:val="22"/>
        </w:rPr>
        <w:t>rate</w:t>
      </w:r>
      <w:r>
        <w:rPr>
          <w:rFonts w:ascii="Arial" w:hAnsi="Arial" w:cs="Arial"/>
          <w:sz w:val="22"/>
          <w:szCs w:val="22"/>
        </w:rPr>
        <w:t xml:space="preserve">s and </w:t>
      </w:r>
      <w:r w:rsidR="005B7D10">
        <w:rPr>
          <w:rFonts w:ascii="Arial" w:hAnsi="Arial" w:cs="Arial"/>
          <w:sz w:val="22"/>
          <w:szCs w:val="22"/>
        </w:rPr>
        <w:t>threshold</w:t>
      </w:r>
      <w:r>
        <w:rPr>
          <w:rFonts w:ascii="Arial" w:hAnsi="Arial" w:cs="Arial"/>
          <w:sz w:val="22"/>
          <w:szCs w:val="22"/>
        </w:rPr>
        <w:t>s</w:t>
      </w:r>
      <w:r w:rsidR="00C14D57">
        <w:rPr>
          <w:rFonts w:ascii="Arial" w:hAnsi="Arial" w:cs="Arial"/>
          <w:sz w:val="22"/>
          <w:szCs w:val="22"/>
        </w:rPr>
        <w:t>. Excise</w:t>
      </w:r>
      <w:r>
        <w:rPr>
          <w:rFonts w:ascii="Arial" w:hAnsi="Arial" w:cs="Arial"/>
          <w:sz w:val="22"/>
          <w:szCs w:val="22"/>
        </w:rPr>
        <w:t xml:space="preserve"> receipts increased marginally by just</w:t>
      </w:r>
      <w:r w:rsidR="00C14D57">
        <w:rPr>
          <w:rFonts w:ascii="Arial" w:hAnsi="Arial" w:cs="Arial"/>
          <w:sz w:val="22"/>
          <w:szCs w:val="22"/>
        </w:rPr>
        <w:t xml:space="preserve"> 0.4%</w:t>
      </w:r>
      <w:r>
        <w:rPr>
          <w:rFonts w:ascii="Arial" w:hAnsi="Arial" w:cs="Arial"/>
          <w:sz w:val="22"/>
          <w:szCs w:val="22"/>
        </w:rPr>
        <w:t xml:space="preserve"> despite higher rates on</w:t>
      </w:r>
      <w:r w:rsidR="00C14D57">
        <w:rPr>
          <w:rFonts w:ascii="Arial" w:hAnsi="Arial" w:cs="Arial"/>
          <w:sz w:val="22"/>
          <w:szCs w:val="22"/>
        </w:rPr>
        <w:t xml:space="preserve"> alcoholic beverages and tobacco products. </w:t>
      </w:r>
      <w:r>
        <w:rPr>
          <w:rFonts w:ascii="Arial" w:hAnsi="Arial" w:cs="Arial"/>
          <w:sz w:val="22"/>
          <w:szCs w:val="22"/>
        </w:rPr>
        <w:t>In contrast, the introduction of progressive personal income tax bands led to a sharp decline of 14.4% in p</w:t>
      </w:r>
      <w:r w:rsidR="00822B10">
        <w:rPr>
          <w:rFonts w:ascii="Arial" w:hAnsi="Arial" w:cs="Arial"/>
          <w:sz w:val="22"/>
          <w:szCs w:val="22"/>
        </w:rPr>
        <w:t>ersonal income tax</w:t>
      </w:r>
      <w:r>
        <w:rPr>
          <w:rFonts w:ascii="Arial" w:hAnsi="Arial" w:cs="Arial"/>
          <w:sz w:val="22"/>
          <w:szCs w:val="22"/>
        </w:rPr>
        <w:t xml:space="preserve"> r</w:t>
      </w:r>
      <w:r w:rsidR="00822B10">
        <w:rPr>
          <w:rFonts w:ascii="Arial" w:hAnsi="Arial" w:cs="Arial"/>
          <w:sz w:val="22"/>
          <w:szCs w:val="22"/>
        </w:rPr>
        <w:t>e</w:t>
      </w:r>
      <w:r>
        <w:rPr>
          <w:rFonts w:ascii="Arial" w:hAnsi="Arial" w:cs="Arial"/>
          <w:sz w:val="22"/>
          <w:szCs w:val="22"/>
        </w:rPr>
        <w:t>venue</w:t>
      </w:r>
      <w:r w:rsidR="005B7D10">
        <w:rPr>
          <w:rFonts w:ascii="Arial" w:hAnsi="Arial" w:cs="Arial"/>
          <w:sz w:val="22"/>
          <w:szCs w:val="22"/>
        </w:rPr>
        <w:t>.</w:t>
      </w:r>
    </w:p>
    <w:p w14:paraId="6180B7C4" w14:textId="79B9C2E4" w:rsidR="005B7D10" w:rsidRPr="003A32A8" w:rsidRDefault="005B7D10" w:rsidP="005B7D10">
      <w:pPr>
        <w:spacing w:beforeLines="40" w:before="96" w:afterLines="40" w:after="96"/>
        <w:jc w:val="both"/>
        <w:rPr>
          <w:rFonts w:ascii="Arial" w:hAnsi="Arial" w:cs="Arial"/>
          <w:b/>
          <w:sz w:val="22"/>
          <w:szCs w:val="22"/>
        </w:rPr>
      </w:pPr>
      <w:r w:rsidRPr="003A32A8">
        <w:rPr>
          <w:rFonts w:ascii="Arial" w:hAnsi="Arial" w:cs="Arial"/>
          <w:b/>
          <w:sz w:val="22"/>
          <w:szCs w:val="22"/>
        </w:rPr>
        <w:t>4.</w:t>
      </w:r>
      <w:r>
        <w:rPr>
          <w:rFonts w:ascii="Arial" w:hAnsi="Arial" w:cs="Arial"/>
          <w:b/>
          <w:sz w:val="22"/>
          <w:szCs w:val="22"/>
        </w:rPr>
        <w:t>1</w:t>
      </w:r>
      <w:r w:rsidRPr="003A32A8">
        <w:rPr>
          <w:rFonts w:ascii="Arial" w:hAnsi="Arial" w:cs="Arial"/>
          <w:b/>
          <w:sz w:val="22"/>
          <w:szCs w:val="22"/>
        </w:rPr>
        <w:t>.</w:t>
      </w:r>
      <w:r>
        <w:rPr>
          <w:rFonts w:ascii="Arial" w:hAnsi="Arial" w:cs="Arial"/>
          <w:b/>
          <w:sz w:val="22"/>
          <w:szCs w:val="22"/>
        </w:rPr>
        <w:t>2</w:t>
      </w:r>
      <w:r w:rsidRPr="003A32A8">
        <w:rPr>
          <w:rFonts w:ascii="Arial" w:hAnsi="Arial" w:cs="Arial"/>
          <w:b/>
          <w:sz w:val="22"/>
          <w:szCs w:val="22"/>
        </w:rPr>
        <w:tab/>
      </w:r>
      <w:r>
        <w:rPr>
          <w:rFonts w:ascii="Arial" w:hAnsi="Arial" w:cs="Arial"/>
          <w:b/>
          <w:sz w:val="22"/>
          <w:szCs w:val="22"/>
        </w:rPr>
        <w:t>Social Contributions</w:t>
      </w:r>
    </w:p>
    <w:p w14:paraId="63C50B64" w14:textId="2170A380" w:rsidR="00593697" w:rsidRDefault="00C80CC5" w:rsidP="005B7D10">
      <w:pPr>
        <w:spacing w:beforeLines="40" w:before="96" w:afterLines="40" w:after="96"/>
        <w:jc w:val="both"/>
        <w:rPr>
          <w:rFonts w:ascii="Arial" w:hAnsi="Arial" w:cs="Arial"/>
          <w:sz w:val="22"/>
          <w:szCs w:val="22"/>
        </w:rPr>
      </w:pPr>
      <w:r>
        <w:rPr>
          <w:rFonts w:ascii="Arial" w:hAnsi="Arial" w:cs="Arial"/>
          <w:sz w:val="22"/>
          <w:szCs w:val="22"/>
        </w:rPr>
        <w:t xml:space="preserve">Social contributions </w:t>
      </w:r>
      <w:r w:rsidR="00FB539A">
        <w:rPr>
          <w:rFonts w:ascii="Arial" w:hAnsi="Arial" w:cs="Arial"/>
          <w:sz w:val="22"/>
          <w:szCs w:val="22"/>
        </w:rPr>
        <w:t>climb</w:t>
      </w:r>
      <w:r w:rsidR="00C455F7">
        <w:rPr>
          <w:rFonts w:ascii="Arial" w:hAnsi="Arial" w:cs="Arial"/>
          <w:sz w:val="22"/>
          <w:szCs w:val="22"/>
        </w:rPr>
        <w:t>ed</w:t>
      </w:r>
      <w:r>
        <w:rPr>
          <w:rFonts w:ascii="Arial" w:hAnsi="Arial" w:cs="Arial"/>
          <w:sz w:val="22"/>
          <w:szCs w:val="22"/>
        </w:rPr>
        <w:t xml:space="preserve"> from Rs 10.6 billion in 2022/2023 to Rs 12.2 billion in 2023/2024, </w:t>
      </w:r>
      <w:r w:rsidRPr="003A32A8">
        <w:rPr>
          <w:rFonts w:ascii="Arial" w:hAnsi="Arial" w:cs="Arial"/>
          <w:sz w:val="22"/>
          <w:szCs w:val="22"/>
        </w:rPr>
        <w:t>representing a</w:t>
      </w:r>
      <w:r w:rsidR="00C455F7">
        <w:rPr>
          <w:rFonts w:ascii="Arial" w:hAnsi="Arial" w:cs="Arial"/>
          <w:sz w:val="22"/>
          <w:szCs w:val="22"/>
        </w:rPr>
        <w:t xml:space="preserve"> growth</w:t>
      </w:r>
      <w:r w:rsidRPr="003A32A8">
        <w:rPr>
          <w:rFonts w:ascii="Arial" w:hAnsi="Arial" w:cs="Arial"/>
          <w:sz w:val="22"/>
          <w:szCs w:val="22"/>
        </w:rPr>
        <w:t xml:space="preserve"> of </w:t>
      </w:r>
      <w:r>
        <w:rPr>
          <w:rFonts w:ascii="Arial" w:hAnsi="Arial" w:cs="Arial"/>
          <w:sz w:val="22"/>
          <w:szCs w:val="22"/>
        </w:rPr>
        <w:t>15.0</w:t>
      </w:r>
      <w:r w:rsidRPr="003A32A8">
        <w:rPr>
          <w:rFonts w:ascii="Arial" w:hAnsi="Arial" w:cs="Arial"/>
          <w:sz w:val="22"/>
          <w:szCs w:val="22"/>
        </w:rPr>
        <w:t>%.</w:t>
      </w:r>
      <w:r w:rsidR="0040067A">
        <w:rPr>
          <w:rFonts w:ascii="Arial" w:hAnsi="Arial" w:cs="Arial"/>
          <w:sz w:val="22"/>
          <w:szCs w:val="22"/>
        </w:rPr>
        <w:t xml:space="preserve"> </w:t>
      </w:r>
      <w:r w:rsidR="00593697">
        <w:rPr>
          <w:rFonts w:ascii="Arial" w:hAnsi="Arial" w:cs="Arial"/>
          <w:sz w:val="22"/>
          <w:szCs w:val="22"/>
        </w:rPr>
        <w:t xml:space="preserve">Though still </w:t>
      </w:r>
      <w:r w:rsidR="00023FC1">
        <w:rPr>
          <w:rFonts w:ascii="Arial" w:hAnsi="Arial" w:cs="Arial"/>
          <w:sz w:val="22"/>
          <w:szCs w:val="22"/>
        </w:rPr>
        <w:t>secondary to taxes</w:t>
      </w:r>
      <w:r w:rsidR="00593697">
        <w:rPr>
          <w:rFonts w:ascii="Arial" w:hAnsi="Arial" w:cs="Arial"/>
          <w:sz w:val="22"/>
          <w:szCs w:val="22"/>
        </w:rPr>
        <w:t xml:space="preserve">, social contributions </w:t>
      </w:r>
      <w:r w:rsidR="00023FC1">
        <w:rPr>
          <w:rFonts w:ascii="Arial" w:hAnsi="Arial" w:cs="Arial"/>
          <w:sz w:val="22"/>
          <w:szCs w:val="22"/>
        </w:rPr>
        <w:t>represent a meaningful stream of government revenue</w:t>
      </w:r>
      <w:r w:rsidR="00593697">
        <w:rPr>
          <w:rFonts w:ascii="Arial" w:hAnsi="Arial" w:cs="Arial"/>
          <w:sz w:val="22"/>
          <w:szCs w:val="22"/>
        </w:rPr>
        <w:t>.</w:t>
      </w:r>
      <w:r w:rsidR="00DF4010">
        <w:rPr>
          <w:rFonts w:ascii="Arial" w:hAnsi="Arial" w:cs="Arial"/>
          <w:sz w:val="22"/>
          <w:szCs w:val="22"/>
        </w:rPr>
        <w:t xml:space="preserve"> </w:t>
      </w:r>
      <w:r w:rsidR="00593697">
        <w:rPr>
          <w:rFonts w:ascii="Arial" w:hAnsi="Arial" w:cs="Arial"/>
          <w:sz w:val="22"/>
          <w:szCs w:val="22"/>
        </w:rPr>
        <w:t>They accounted for approximately 7.1% of total revenue during the year under review</w:t>
      </w:r>
      <w:r w:rsidR="00DF4010">
        <w:rPr>
          <w:rFonts w:ascii="Arial" w:hAnsi="Arial" w:cs="Arial"/>
          <w:sz w:val="22"/>
          <w:szCs w:val="22"/>
        </w:rPr>
        <w:t>, showing their significance within the revenue structure</w:t>
      </w:r>
      <w:r w:rsidR="00593697">
        <w:rPr>
          <w:rFonts w:ascii="Arial" w:hAnsi="Arial" w:cs="Arial"/>
          <w:sz w:val="22"/>
          <w:szCs w:val="22"/>
        </w:rPr>
        <w:t>.</w:t>
      </w:r>
    </w:p>
    <w:p w14:paraId="5302A2CC" w14:textId="0A5E6E95" w:rsidR="00A05C0E" w:rsidRDefault="00A826D3" w:rsidP="005B7D10">
      <w:pPr>
        <w:spacing w:beforeLines="40" w:before="96" w:afterLines="40" w:after="96"/>
        <w:jc w:val="both"/>
        <w:rPr>
          <w:rFonts w:ascii="Arial" w:hAnsi="Arial" w:cs="Arial"/>
          <w:sz w:val="22"/>
          <w:szCs w:val="22"/>
        </w:rPr>
      </w:pPr>
      <w:r>
        <w:rPr>
          <w:rFonts w:ascii="Arial" w:hAnsi="Arial" w:cs="Arial"/>
          <w:sz w:val="22"/>
          <w:szCs w:val="22"/>
        </w:rPr>
        <w:t>The vast majority of</w:t>
      </w:r>
      <w:r w:rsidR="00031FFF">
        <w:rPr>
          <w:rFonts w:ascii="Arial" w:hAnsi="Arial" w:cs="Arial"/>
          <w:sz w:val="22"/>
          <w:szCs w:val="22"/>
        </w:rPr>
        <w:t xml:space="preserve"> </w:t>
      </w:r>
      <w:r w:rsidR="00070497">
        <w:rPr>
          <w:rFonts w:ascii="Arial" w:hAnsi="Arial" w:cs="Arial"/>
          <w:sz w:val="22"/>
          <w:szCs w:val="22"/>
        </w:rPr>
        <w:t xml:space="preserve">social contributions </w:t>
      </w:r>
      <w:r w:rsidR="0040067A">
        <w:rPr>
          <w:rFonts w:ascii="Arial" w:hAnsi="Arial" w:cs="Arial"/>
          <w:sz w:val="22"/>
          <w:szCs w:val="22"/>
        </w:rPr>
        <w:t>came</w:t>
      </w:r>
      <w:r w:rsidR="00070497">
        <w:rPr>
          <w:rFonts w:ascii="Arial" w:hAnsi="Arial" w:cs="Arial"/>
          <w:sz w:val="22"/>
          <w:szCs w:val="22"/>
        </w:rPr>
        <w:t xml:space="preserve"> from </w:t>
      </w:r>
      <w:r w:rsidR="00031FFF">
        <w:rPr>
          <w:rFonts w:ascii="Arial" w:hAnsi="Arial" w:cs="Arial"/>
          <w:sz w:val="22"/>
          <w:szCs w:val="22"/>
        </w:rPr>
        <w:t>social security</w:t>
      </w:r>
      <w:r w:rsidR="00D26166">
        <w:rPr>
          <w:rFonts w:ascii="Arial" w:hAnsi="Arial" w:cs="Arial"/>
          <w:sz w:val="22"/>
          <w:szCs w:val="22"/>
        </w:rPr>
        <w:t xml:space="preserve"> (Rs 11.8 billion)</w:t>
      </w:r>
      <w:r w:rsidR="00031FFF">
        <w:rPr>
          <w:rFonts w:ascii="Arial" w:hAnsi="Arial" w:cs="Arial"/>
          <w:sz w:val="22"/>
          <w:szCs w:val="22"/>
        </w:rPr>
        <w:t xml:space="preserve">, where </w:t>
      </w:r>
      <w:r w:rsidR="00070497">
        <w:rPr>
          <w:rFonts w:ascii="Arial" w:hAnsi="Arial" w:cs="Arial"/>
          <w:sz w:val="22"/>
          <w:szCs w:val="22"/>
        </w:rPr>
        <w:t xml:space="preserve">employers </w:t>
      </w:r>
      <w:r w:rsidR="00031FFF">
        <w:rPr>
          <w:rFonts w:ascii="Arial" w:hAnsi="Arial" w:cs="Arial"/>
          <w:sz w:val="22"/>
          <w:szCs w:val="22"/>
        </w:rPr>
        <w:t xml:space="preserve">contributed the largest share </w:t>
      </w:r>
      <w:r w:rsidR="00070497">
        <w:rPr>
          <w:rFonts w:ascii="Arial" w:hAnsi="Arial" w:cs="Arial"/>
          <w:sz w:val="22"/>
          <w:szCs w:val="22"/>
        </w:rPr>
        <w:t xml:space="preserve">(Rs 7.6 billion), </w:t>
      </w:r>
      <w:r w:rsidR="0040067A">
        <w:rPr>
          <w:rFonts w:ascii="Arial" w:hAnsi="Arial" w:cs="Arial"/>
          <w:sz w:val="22"/>
          <w:szCs w:val="22"/>
        </w:rPr>
        <w:t xml:space="preserve">followed by </w:t>
      </w:r>
      <w:r w:rsidR="00070497">
        <w:rPr>
          <w:rFonts w:ascii="Arial" w:hAnsi="Arial" w:cs="Arial"/>
          <w:sz w:val="22"/>
          <w:szCs w:val="22"/>
        </w:rPr>
        <w:t>employees (Rs 4.</w:t>
      </w:r>
      <w:r w:rsidR="00D26166">
        <w:rPr>
          <w:rFonts w:ascii="Arial" w:hAnsi="Arial" w:cs="Arial"/>
          <w:sz w:val="22"/>
          <w:szCs w:val="22"/>
        </w:rPr>
        <w:t>1</w:t>
      </w:r>
      <w:r w:rsidR="00070497">
        <w:rPr>
          <w:rFonts w:ascii="Arial" w:hAnsi="Arial" w:cs="Arial"/>
          <w:sz w:val="22"/>
          <w:szCs w:val="22"/>
        </w:rPr>
        <w:t xml:space="preserve"> billion) and self-employed (Rs 0.2 billion).</w:t>
      </w:r>
      <w:r w:rsidR="00363AF8">
        <w:rPr>
          <w:rFonts w:ascii="Arial" w:hAnsi="Arial" w:cs="Arial"/>
          <w:sz w:val="22"/>
          <w:szCs w:val="22"/>
        </w:rPr>
        <w:t xml:space="preserve"> Other social contributions were relatively small (Rs 0.3 billion).</w:t>
      </w:r>
    </w:p>
    <w:p w14:paraId="6842B817" w14:textId="5A987095" w:rsidR="00A95957" w:rsidRPr="003A32A8" w:rsidRDefault="00A95957" w:rsidP="00A95957">
      <w:pPr>
        <w:spacing w:beforeLines="40" w:before="96" w:afterLines="40" w:after="96"/>
        <w:jc w:val="both"/>
        <w:rPr>
          <w:rFonts w:ascii="Arial" w:hAnsi="Arial" w:cs="Arial"/>
          <w:b/>
          <w:sz w:val="22"/>
          <w:szCs w:val="22"/>
        </w:rPr>
      </w:pPr>
      <w:r w:rsidRPr="003A32A8">
        <w:rPr>
          <w:rFonts w:ascii="Arial" w:hAnsi="Arial" w:cs="Arial"/>
          <w:b/>
          <w:sz w:val="22"/>
          <w:szCs w:val="22"/>
        </w:rPr>
        <w:t>4.</w:t>
      </w:r>
      <w:r>
        <w:rPr>
          <w:rFonts w:ascii="Arial" w:hAnsi="Arial" w:cs="Arial"/>
          <w:b/>
          <w:sz w:val="22"/>
          <w:szCs w:val="22"/>
        </w:rPr>
        <w:t>1</w:t>
      </w:r>
      <w:r w:rsidRPr="003A32A8">
        <w:rPr>
          <w:rFonts w:ascii="Arial" w:hAnsi="Arial" w:cs="Arial"/>
          <w:b/>
          <w:sz w:val="22"/>
          <w:szCs w:val="22"/>
        </w:rPr>
        <w:t>.</w:t>
      </w:r>
      <w:r>
        <w:rPr>
          <w:rFonts w:ascii="Arial" w:hAnsi="Arial" w:cs="Arial"/>
          <w:b/>
          <w:sz w:val="22"/>
          <w:szCs w:val="22"/>
        </w:rPr>
        <w:t>3</w:t>
      </w:r>
      <w:r w:rsidRPr="003A32A8">
        <w:rPr>
          <w:rFonts w:ascii="Arial" w:hAnsi="Arial" w:cs="Arial"/>
          <w:b/>
          <w:sz w:val="22"/>
          <w:szCs w:val="22"/>
        </w:rPr>
        <w:tab/>
      </w:r>
      <w:r>
        <w:rPr>
          <w:rFonts w:ascii="Arial" w:hAnsi="Arial" w:cs="Arial"/>
          <w:b/>
          <w:sz w:val="22"/>
          <w:szCs w:val="22"/>
        </w:rPr>
        <w:t>Grants</w:t>
      </w:r>
    </w:p>
    <w:p w14:paraId="33AE331E" w14:textId="683F3EFD" w:rsidR="00363AF8" w:rsidRDefault="00442035" w:rsidP="00363AF8">
      <w:pPr>
        <w:spacing w:beforeLines="40" w:before="96" w:afterLines="40" w:after="96"/>
        <w:jc w:val="both"/>
        <w:rPr>
          <w:rFonts w:ascii="Arial" w:hAnsi="Arial" w:cs="Arial"/>
          <w:sz w:val="22"/>
          <w:szCs w:val="22"/>
        </w:rPr>
      </w:pPr>
      <w:r w:rsidRPr="00442035">
        <w:rPr>
          <w:rFonts w:ascii="Arial" w:hAnsi="Arial" w:cs="Arial"/>
          <w:sz w:val="22"/>
          <w:szCs w:val="22"/>
        </w:rPr>
        <w:t>Grants to the government declined sharply from Rs 2.1 billion in the fiscal year ended June 2023 to Rs 0.7 billion in the fiscal year ended June 2024</w:t>
      </w:r>
      <w:r>
        <w:rPr>
          <w:rFonts w:ascii="Arial" w:hAnsi="Arial" w:cs="Arial"/>
          <w:sz w:val="22"/>
          <w:szCs w:val="22"/>
        </w:rPr>
        <w:t xml:space="preserve">. </w:t>
      </w:r>
      <w:r w:rsidR="00363AF8">
        <w:rPr>
          <w:rFonts w:ascii="Arial" w:hAnsi="Arial" w:cs="Arial"/>
          <w:sz w:val="22"/>
          <w:szCs w:val="22"/>
        </w:rPr>
        <w:t>As a share of overall revenue, grants remained marginal at 0.4% in 2023/2024. Over recent years, they have consistently accounted for less than 2.0% of total revenue</w:t>
      </w:r>
      <w:r w:rsidR="002E229E">
        <w:rPr>
          <w:rFonts w:ascii="Arial" w:hAnsi="Arial" w:cs="Arial"/>
          <w:sz w:val="22"/>
          <w:szCs w:val="22"/>
        </w:rPr>
        <w:t>, with the majority coming from other sources</w:t>
      </w:r>
      <w:r w:rsidR="00363AF8">
        <w:rPr>
          <w:rFonts w:ascii="Arial" w:hAnsi="Arial" w:cs="Arial"/>
          <w:sz w:val="22"/>
          <w:szCs w:val="22"/>
        </w:rPr>
        <w:t>.</w:t>
      </w:r>
    </w:p>
    <w:p w14:paraId="0E278F07" w14:textId="4D58DDD3" w:rsidR="00442035" w:rsidRDefault="00A05C0E" w:rsidP="00A95957">
      <w:pPr>
        <w:spacing w:beforeLines="40" w:before="96" w:afterLines="40" w:after="96"/>
        <w:jc w:val="both"/>
        <w:rPr>
          <w:rFonts w:ascii="Arial" w:hAnsi="Arial" w:cs="Arial"/>
          <w:sz w:val="22"/>
          <w:szCs w:val="22"/>
        </w:rPr>
      </w:pPr>
      <w:r>
        <w:rPr>
          <w:rFonts w:ascii="Arial" w:hAnsi="Arial" w:cs="Arial"/>
          <w:sz w:val="22"/>
          <w:szCs w:val="22"/>
        </w:rPr>
        <w:t>T</w:t>
      </w:r>
      <w:r w:rsidR="004B08D2">
        <w:rPr>
          <w:rFonts w:ascii="Arial" w:hAnsi="Arial" w:cs="Arial"/>
          <w:sz w:val="22"/>
          <w:szCs w:val="22"/>
        </w:rPr>
        <w:t xml:space="preserve">he government received Rs 0.5 billion in grants from </w:t>
      </w:r>
      <w:r w:rsidR="004B08D2" w:rsidRPr="00DB466C">
        <w:rPr>
          <w:rFonts w:ascii="Arial" w:hAnsi="Arial" w:cs="Arial"/>
          <w:sz w:val="22"/>
          <w:szCs w:val="22"/>
        </w:rPr>
        <w:t>foreign governments</w:t>
      </w:r>
      <w:r w:rsidR="004B08D2">
        <w:rPr>
          <w:rFonts w:ascii="Arial" w:hAnsi="Arial" w:cs="Arial"/>
          <w:sz w:val="22"/>
          <w:szCs w:val="22"/>
        </w:rPr>
        <w:t xml:space="preserve"> and</w:t>
      </w:r>
      <w:r w:rsidR="004B08D2" w:rsidRPr="00DB466C">
        <w:rPr>
          <w:rFonts w:ascii="Arial" w:hAnsi="Arial" w:cs="Arial"/>
          <w:sz w:val="22"/>
          <w:szCs w:val="22"/>
        </w:rPr>
        <w:t xml:space="preserve"> </w:t>
      </w:r>
      <w:r w:rsidR="004B08D2">
        <w:rPr>
          <w:rFonts w:ascii="Arial" w:hAnsi="Arial" w:cs="Arial"/>
          <w:sz w:val="22"/>
          <w:szCs w:val="22"/>
        </w:rPr>
        <w:t xml:space="preserve">Rs 0.2 billion from </w:t>
      </w:r>
      <w:r w:rsidR="004B08D2" w:rsidRPr="00DB466C">
        <w:rPr>
          <w:rFonts w:ascii="Arial" w:hAnsi="Arial" w:cs="Arial"/>
          <w:sz w:val="22"/>
          <w:szCs w:val="22"/>
        </w:rPr>
        <w:t>international organizations</w:t>
      </w:r>
      <w:r>
        <w:rPr>
          <w:rFonts w:ascii="Arial" w:hAnsi="Arial" w:cs="Arial"/>
          <w:sz w:val="22"/>
          <w:szCs w:val="22"/>
        </w:rPr>
        <w:t xml:space="preserve"> during the period July 2023 to June 2024.</w:t>
      </w:r>
      <w:r w:rsidR="00442035">
        <w:rPr>
          <w:rFonts w:ascii="Arial" w:hAnsi="Arial" w:cs="Arial"/>
          <w:sz w:val="22"/>
          <w:szCs w:val="22"/>
        </w:rPr>
        <w:t xml:space="preserve"> </w:t>
      </w:r>
      <w:r w:rsidR="001104B9">
        <w:rPr>
          <w:rFonts w:ascii="Arial" w:hAnsi="Arial" w:cs="Arial"/>
          <w:sz w:val="22"/>
          <w:szCs w:val="22"/>
        </w:rPr>
        <w:t>G</w:t>
      </w:r>
      <w:r w:rsidR="002B38FE">
        <w:rPr>
          <w:rFonts w:ascii="Arial" w:hAnsi="Arial" w:cs="Arial"/>
          <w:sz w:val="22"/>
          <w:szCs w:val="22"/>
        </w:rPr>
        <w:t>rants were</w:t>
      </w:r>
      <w:r w:rsidR="00663A9E">
        <w:rPr>
          <w:rFonts w:ascii="Arial" w:hAnsi="Arial" w:cs="Arial"/>
          <w:sz w:val="22"/>
          <w:szCs w:val="22"/>
        </w:rPr>
        <w:t xml:space="preserve"> predominantly</w:t>
      </w:r>
      <w:r w:rsidR="004B08D2">
        <w:rPr>
          <w:rFonts w:ascii="Arial" w:hAnsi="Arial" w:cs="Arial"/>
          <w:sz w:val="22"/>
          <w:szCs w:val="22"/>
        </w:rPr>
        <w:t xml:space="preserve"> capital in nature, with capital grants </w:t>
      </w:r>
      <w:r w:rsidR="002B38FE">
        <w:rPr>
          <w:rFonts w:ascii="Arial" w:hAnsi="Arial" w:cs="Arial"/>
          <w:sz w:val="22"/>
          <w:szCs w:val="22"/>
        </w:rPr>
        <w:t xml:space="preserve">about 3.4 times </w:t>
      </w:r>
      <w:r w:rsidR="004B08D2">
        <w:rPr>
          <w:rFonts w:ascii="Arial" w:hAnsi="Arial" w:cs="Arial"/>
          <w:sz w:val="22"/>
          <w:szCs w:val="22"/>
        </w:rPr>
        <w:t>higher</w:t>
      </w:r>
      <w:r w:rsidR="002B38FE">
        <w:rPr>
          <w:rFonts w:ascii="Arial" w:hAnsi="Arial" w:cs="Arial"/>
          <w:sz w:val="22"/>
          <w:szCs w:val="22"/>
        </w:rPr>
        <w:t xml:space="preserve"> than current grants in 2023/2024. Capital grants </w:t>
      </w:r>
      <w:r w:rsidR="004B08D2">
        <w:rPr>
          <w:rFonts w:ascii="Arial" w:hAnsi="Arial" w:cs="Arial"/>
          <w:sz w:val="22"/>
          <w:szCs w:val="22"/>
        </w:rPr>
        <w:t>made up</w:t>
      </w:r>
      <w:r w:rsidR="002B38FE">
        <w:rPr>
          <w:rFonts w:ascii="Arial" w:hAnsi="Arial" w:cs="Arial"/>
          <w:sz w:val="22"/>
          <w:szCs w:val="22"/>
        </w:rPr>
        <w:t xml:space="preserve"> 77.1% of </w:t>
      </w:r>
      <w:r w:rsidR="001104B9">
        <w:rPr>
          <w:rFonts w:ascii="Arial" w:hAnsi="Arial" w:cs="Arial"/>
          <w:sz w:val="22"/>
          <w:szCs w:val="22"/>
        </w:rPr>
        <w:t xml:space="preserve">the </w:t>
      </w:r>
      <w:r w:rsidR="002B38FE">
        <w:rPr>
          <w:rFonts w:ascii="Arial" w:hAnsi="Arial" w:cs="Arial"/>
          <w:sz w:val="22"/>
          <w:szCs w:val="22"/>
        </w:rPr>
        <w:t>total</w:t>
      </w:r>
      <w:r w:rsidR="004B08D2">
        <w:rPr>
          <w:rFonts w:ascii="Arial" w:hAnsi="Arial" w:cs="Arial"/>
          <w:sz w:val="22"/>
          <w:szCs w:val="22"/>
        </w:rPr>
        <w:t xml:space="preserve">, compared with 22.9% for </w:t>
      </w:r>
      <w:r w:rsidR="002B38FE">
        <w:rPr>
          <w:rFonts w:ascii="Arial" w:hAnsi="Arial" w:cs="Arial"/>
          <w:sz w:val="22"/>
          <w:szCs w:val="22"/>
        </w:rPr>
        <w:t>current grants.</w:t>
      </w:r>
    </w:p>
    <w:p w14:paraId="6DC7B097" w14:textId="3228EB0C" w:rsidR="00A95957" w:rsidRPr="003A32A8" w:rsidRDefault="00A95957" w:rsidP="00A95957">
      <w:pPr>
        <w:spacing w:beforeLines="40" w:before="96" w:afterLines="40" w:after="96"/>
        <w:jc w:val="both"/>
        <w:rPr>
          <w:rFonts w:ascii="Arial" w:hAnsi="Arial" w:cs="Arial"/>
          <w:b/>
          <w:sz w:val="22"/>
          <w:szCs w:val="22"/>
        </w:rPr>
      </w:pPr>
      <w:r w:rsidRPr="003A32A8">
        <w:rPr>
          <w:rFonts w:ascii="Arial" w:hAnsi="Arial" w:cs="Arial"/>
          <w:b/>
          <w:sz w:val="22"/>
          <w:szCs w:val="22"/>
        </w:rPr>
        <w:t>4.</w:t>
      </w:r>
      <w:r>
        <w:rPr>
          <w:rFonts w:ascii="Arial" w:hAnsi="Arial" w:cs="Arial"/>
          <w:b/>
          <w:sz w:val="22"/>
          <w:szCs w:val="22"/>
        </w:rPr>
        <w:t>1</w:t>
      </w:r>
      <w:r w:rsidRPr="003A32A8">
        <w:rPr>
          <w:rFonts w:ascii="Arial" w:hAnsi="Arial" w:cs="Arial"/>
          <w:b/>
          <w:sz w:val="22"/>
          <w:szCs w:val="22"/>
        </w:rPr>
        <w:t>.</w:t>
      </w:r>
      <w:r>
        <w:rPr>
          <w:rFonts w:ascii="Arial" w:hAnsi="Arial" w:cs="Arial"/>
          <w:b/>
          <w:sz w:val="22"/>
          <w:szCs w:val="22"/>
        </w:rPr>
        <w:t>4</w:t>
      </w:r>
      <w:r w:rsidRPr="003A32A8">
        <w:rPr>
          <w:rFonts w:ascii="Arial" w:hAnsi="Arial" w:cs="Arial"/>
          <w:b/>
          <w:sz w:val="22"/>
          <w:szCs w:val="22"/>
        </w:rPr>
        <w:tab/>
      </w:r>
      <w:r>
        <w:rPr>
          <w:rFonts w:ascii="Arial" w:hAnsi="Arial" w:cs="Arial"/>
          <w:b/>
          <w:sz w:val="22"/>
          <w:szCs w:val="22"/>
        </w:rPr>
        <w:t>Other Revenue</w:t>
      </w:r>
    </w:p>
    <w:p w14:paraId="1A157074" w14:textId="785F0D20" w:rsidR="00AE5282" w:rsidRDefault="002E229E" w:rsidP="00AE5282">
      <w:pPr>
        <w:spacing w:beforeLines="40" w:before="96" w:afterLines="40" w:after="96"/>
        <w:jc w:val="both"/>
        <w:rPr>
          <w:rFonts w:ascii="Arial" w:hAnsi="Arial" w:cs="Arial"/>
          <w:sz w:val="22"/>
          <w:szCs w:val="22"/>
        </w:rPr>
      </w:pPr>
      <w:r>
        <w:rPr>
          <w:rFonts w:ascii="Arial" w:hAnsi="Arial" w:cs="Arial"/>
          <w:sz w:val="22"/>
          <w:szCs w:val="22"/>
        </w:rPr>
        <w:t>T</w:t>
      </w:r>
      <w:r w:rsidR="00AE5282">
        <w:rPr>
          <w:rFonts w:ascii="Arial" w:hAnsi="Arial" w:cs="Arial"/>
          <w:sz w:val="22"/>
          <w:szCs w:val="22"/>
        </w:rPr>
        <w:t xml:space="preserve">he government </w:t>
      </w:r>
      <w:r w:rsidR="00FD79C3">
        <w:rPr>
          <w:rFonts w:ascii="Arial" w:hAnsi="Arial" w:cs="Arial"/>
          <w:sz w:val="22"/>
          <w:szCs w:val="22"/>
        </w:rPr>
        <w:t>mobilized</w:t>
      </w:r>
      <w:r w:rsidR="00AE5282">
        <w:rPr>
          <w:rFonts w:ascii="Arial" w:hAnsi="Arial" w:cs="Arial"/>
          <w:sz w:val="22"/>
          <w:szCs w:val="22"/>
        </w:rPr>
        <w:t xml:space="preserve"> </w:t>
      </w:r>
      <w:r w:rsidR="00561B1B">
        <w:rPr>
          <w:rFonts w:ascii="Arial" w:hAnsi="Arial" w:cs="Arial"/>
          <w:sz w:val="22"/>
          <w:szCs w:val="22"/>
        </w:rPr>
        <w:t xml:space="preserve">around </w:t>
      </w:r>
      <w:r w:rsidR="00AE5282">
        <w:rPr>
          <w:rFonts w:ascii="Arial" w:hAnsi="Arial" w:cs="Arial"/>
          <w:sz w:val="22"/>
          <w:szCs w:val="22"/>
        </w:rPr>
        <w:t>Rs 1</w:t>
      </w:r>
      <w:r w:rsidR="00240342">
        <w:rPr>
          <w:rFonts w:ascii="Arial" w:hAnsi="Arial" w:cs="Arial"/>
          <w:sz w:val="22"/>
          <w:szCs w:val="22"/>
        </w:rPr>
        <w:t>4</w:t>
      </w:r>
      <w:r w:rsidR="00AE5282">
        <w:rPr>
          <w:rFonts w:ascii="Arial" w:hAnsi="Arial" w:cs="Arial"/>
          <w:sz w:val="22"/>
          <w:szCs w:val="22"/>
        </w:rPr>
        <w:t>.</w:t>
      </w:r>
      <w:r w:rsidR="00240342">
        <w:rPr>
          <w:rFonts w:ascii="Arial" w:hAnsi="Arial" w:cs="Arial"/>
          <w:sz w:val="22"/>
          <w:szCs w:val="22"/>
        </w:rPr>
        <w:t>9</w:t>
      </w:r>
      <w:r w:rsidR="00AE5282">
        <w:rPr>
          <w:rFonts w:ascii="Arial" w:hAnsi="Arial" w:cs="Arial"/>
          <w:sz w:val="22"/>
          <w:szCs w:val="22"/>
        </w:rPr>
        <w:t xml:space="preserve"> billion in other revenue</w:t>
      </w:r>
      <w:r w:rsidRPr="002E229E">
        <w:rPr>
          <w:rFonts w:ascii="Arial" w:hAnsi="Arial" w:cs="Arial"/>
          <w:sz w:val="22"/>
          <w:szCs w:val="22"/>
        </w:rPr>
        <w:t xml:space="preserve"> </w:t>
      </w:r>
      <w:r>
        <w:rPr>
          <w:rFonts w:ascii="Arial" w:hAnsi="Arial" w:cs="Arial"/>
          <w:sz w:val="22"/>
          <w:szCs w:val="22"/>
        </w:rPr>
        <w:t xml:space="preserve">for </w:t>
      </w:r>
      <w:r w:rsidR="00FB539A">
        <w:rPr>
          <w:rFonts w:ascii="Arial" w:hAnsi="Arial" w:cs="Arial"/>
          <w:sz w:val="22"/>
          <w:szCs w:val="22"/>
        </w:rPr>
        <w:t xml:space="preserve">the </w:t>
      </w:r>
      <w:r w:rsidR="00420F29">
        <w:rPr>
          <w:rFonts w:ascii="Arial" w:hAnsi="Arial" w:cs="Arial"/>
          <w:sz w:val="22"/>
          <w:szCs w:val="22"/>
        </w:rPr>
        <w:t xml:space="preserve">fiscal </w:t>
      </w:r>
      <w:r w:rsidR="00FB539A">
        <w:rPr>
          <w:rFonts w:ascii="Arial" w:hAnsi="Arial" w:cs="Arial"/>
          <w:sz w:val="22"/>
          <w:szCs w:val="22"/>
        </w:rPr>
        <w:t xml:space="preserve">year </w:t>
      </w:r>
      <w:r>
        <w:rPr>
          <w:rFonts w:ascii="Arial" w:hAnsi="Arial" w:cs="Arial"/>
          <w:sz w:val="22"/>
          <w:szCs w:val="22"/>
        </w:rPr>
        <w:t>2023/2024</w:t>
      </w:r>
      <w:r w:rsidR="008E135F">
        <w:rPr>
          <w:rFonts w:ascii="Arial" w:hAnsi="Arial" w:cs="Arial"/>
          <w:sz w:val="22"/>
          <w:szCs w:val="22"/>
        </w:rPr>
        <w:t xml:space="preserve">, representing </w:t>
      </w:r>
      <w:r w:rsidR="00240342">
        <w:rPr>
          <w:rFonts w:ascii="Arial" w:hAnsi="Arial" w:cs="Arial"/>
          <w:sz w:val="22"/>
          <w:szCs w:val="22"/>
        </w:rPr>
        <w:t>8</w:t>
      </w:r>
      <w:r w:rsidR="00AE5282">
        <w:rPr>
          <w:rFonts w:ascii="Arial" w:hAnsi="Arial" w:cs="Arial"/>
          <w:sz w:val="22"/>
          <w:szCs w:val="22"/>
        </w:rPr>
        <w:t>.</w:t>
      </w:r>
      <w:r w:rsidR="00240342">
        <w:rPr>
          <w:rFonts w:ascii="Arial" w:hAnsi="Arial" w:cs="Arial"/>
          <w:sz w:val="22"/>
          <w:szCs w:val="22"/>
        </w:rPr>
        <w:t>8</w:t>
      </w:r>
      <w:r w:rsidR="00AE5282">
        <w:rPr>
          <w:rFonts w:ascii="Arial" w:hAnsi="Arial" w:cs="Arial"/>
          <w:sz w:val="22"/>
          <w:szCs w:val="22"/>
        </w:rPr>
        <w:t xml:space="preserve">% of </w:t>
      </w:r>
      <w:r w:rsidR="008E135F">
        <w:rPr>
          <w:rFonts w:ascii="Arial" w:hAnsi="Arial" w:cs="Arial"/>
          <w:sz w:val="22"/>
          <w:szCs w:val="22"/>
        </w:rPr>
        <w:t xml:space="preserve">total </w:t>
      </w:r>
      <w:r w:rsidR="00AE5282">
        <w:rPr>
          <w:rFonts w:ascii="Arial" w:hAnsi="Arial" w:cs="Arial"/>
          <w:sz w:val="22"/>
          <w:szCs w:val="22"/>
        </w:rPr>
        <w:t>revenue</w:t>
      </w:r>
      <w:r w:rsidR="008E135F">
        <w:rPr>
          <w:rFonts w:ascii="Arial" w:hAnsi="Arial" w:cs="Arial"/>
          <w:sz w:val="22"/>
          <w:szCs w:val="22"/>
        </w:rPr>
        <w:t xml:space="preserve">. </w:t>
      </w:r>
      <w:r w:rsidR="00FD79C3">
        <w:rPr>
          <w:rFonts w:ascii="Arial" w:hAnsi="Arial" w:cs="Arial"/>
          <w:sz w:val="22"/>
          <w:szCs w:val="22"/>
        </w:rPr>
        <w:t>T</w:t>
      </w:r>
      <w:r w:rsidR="002A6EBC">
        <w:rPr>
          <w:rFonts w:ascii="Arial" w:hAnsi="Arial" w:cs="Arial"/>
          <w:sz w:val="22"/>
          <w:szCs w:val="22"/>
        </w:rPr>
        <w:t xml:space="preserve">his revenue came from </w:t>
      </w:r>
      <w:r w:rsidR="00FD79C3">
        <w:rPr>
          <w:rFonts w:ascii="Arial" w:hAnsi="Arial" w:cs="Arial"/>
          <w:sz w:val="22"/>
          <w:szCs w:val="22"/>
        </w:rPr>
        <w:t xml:space="preserve">a broad mix of </w:t>
      </w:r>
      <w:r w:rsidR="002A6EBC">
        <w:rPr>
          <w:rFonts w:ascii="Arial" w:hAnsi="Arial" w:cs="Arial"/>
          <w:sz w:val="22"/>
          <w:szCs w:val="22"/>
        </w:rPr>
        <w:t>sources</w:t>
      </w:r>
      <w:r w:rsidR="00FD79C3">
        <w:rPr>
          <w:rFonts w:ascii="Arial" w:hAnsi="Arial" w:cs="Arial"/>
          <w:sz w:val="22"/>
          <w:szCs w:val="22"/>
        </w:rPr>
        <w:t xml:space="preserve">, with the largest share from </w:t>
      </w:r>
      <w:r w:rsidR="00AE5282">
        <w:rPr>
          <w:rFonts w:ascii="Arial" w:hAnsi="Arial" w:cs="Arial"/>
          <w:sz w:val="22"/>
          <w:szCs w:val="22"/>
        </w:rPr>
        <w:t>p</w:t>
      </w:r>
      <w:r w:rsidR="00AE5282" w:rsidRPr="00B24822">
        <w:rPr>
          <w:rFonts w:ascii="Arial" w:hAnsi="Arial" w:cs="Arial"/>
          <w:sz w:val="22"/>
          <w:szCs w:val="22"/>
        </w:rPr>
        <w:t>roperty income</w:t>
      </w:r>
      <w:r w:rsidR="00AE5282">
        <w:rPr>
          <w:rFonts w:ascii="Arial" w:hAnsi="Arial" w:cs="Arial"/>
          <w:sz w:val="22"/>
          <w:szCs w:val="22"/>
        </w:rPr>
        <w:t xml:space="preserve"> (Rs 7.0 billion), </w:t>
      </w:r>
      <w:r w:rsidR="00FD79C3">
        <w:rPr>
          <w:rFonts w:ascii="Arial" w:hAnsi="Arial" w:cs="Arial"/>
          <w:sz w:val="22"/>
          <w:szCs w:val="22"/>
        </w:rPr>
        <w:t xml:space="preserve">followed by </w:t>
      </w:r>
      <w:r w:rsidR="00AE5282">
        <w:rPr>
          <w:rFonts w:ascii="Arial" w:hAnsi="Arial" w:cs="Arial"/>
          <w:sz w:val="22"/>
          <w:szCs w:val="22"/>
        </w:rPr>
        <w:t>s</w:t>
      </w:r>
      <w:r w:rsidR="00AE5282" w:rsidRPr="00B24822">
        <w:rPr>
          <w:rFonts w:ascii="Arial" w:hAnsi="Arial" w:cs="Arial"/>
          <w:sz w:val="22"/>
          <w:szCs w:val="22"/>
        </w:rPr>
        <w:t>ales of goods and services</w:t>
      </w:r>
      <w:r w:rsidR="00AE5282">
        <w:rPr>
          <w:rFonts w:ascii="Arial" w:hAnsi="Arial" w:cs="Arial"/>
          <w:sz w:val="22"/>
          <w:szCs w:val="22"/>
        </w:rPr>
        <w:t xml:space="preserve"> (Rs 5.9 billion),</w:t>
      </w:r>
      <w:r w:rsidR="00FD79C3">
        <w:rPr>
          <w:rFonts w:ascii="Arial" w:hAnsi="Arial" w:cs="Arial"/>
          <w:sz w:val="22"/>
          <w:szCs w:val="22"/>
        </w:rPr>
        <w:t xml:space="preserve"> miscellaneous revenue (Rs 1.5 billion) and </w:t>
      </w:r>
      <w:r w:rsidR="000C6778">
        <w:rPr>
          <w:rFonts w:ascii="Arial" w:hAnsi="Arial" w:cs="Arial"/>
          <w:sz w:val="22"/>
          <w:szCs w:val="22"/>
        </w:rPr>
        <w:t>f</w:t>
      </w:r>
      <w:r w:rsidR="000C6778" w:rsidRPr="000C6778">
        <w:rPr>
          <w:rFonts w:ascii="Arial" w:hAnsi="Arial" w:cs="Arial"/>
          <w:sz w:val="22"/>
          <w:szCs w:val="22"/>
        </w:rPr>
        <w:t>ines, penalties</w:t>
      </w:r>
      <w:r w:rsidR="00331BF7">
        <w:rPr>
          <w:rFonts w:ascii="Arial" w:hAnsi="Arial" w:cs="Arial"/>
          <w:sz w:val="22"/>
          <w:szCs w:val="22"/>
        </w:rPr>
        <w:t xml:space="preserve"> </w:t>
      </w:r>
      <w:r w:rsidR="000C6778" w:rsidRPr="000C6778">
        <w:rPr>
          <w:rFonts w:ascii="Arial" w:hAnsi="Arial" w:cs="Arial"/>
          <w:sz w:val="22"/>
          <w:szCs w:val="22"/>
        </w:rPr>
        <w:t>and forfeits</w:t>
      </w:r>
      <w:r w:rsidR="00AE5282">
        <w:rPr>
          <w:rFonts w:ascii="Arial" w:hAnsi="Arial" w:cs="Arial"/>
          <w:sz w:val="22"/>
          <w:szCs w:val="22"/>
        </w:rPr>
        <w:t xml:space="preserve"> (Rs 0.</w:t>
      </w:r>
      <w:r w:rsidR="000C6778">
        <w:rPr>
          <w:rFonts w:ascii="Arial" w:hAnsi="Arial" w:cs="Arial"/>
          <w:sz w:val="22"/>
          <w:szCs w:val="22"/>
        </w:rPr>
        <w:t>5</w:t>
      </w:r>
      <w:r w:rsidR="00AE5282">
        <w:rPr>
          <w:rFonts w:ascii="Arial" w:hAnsi="Arial" w:cs="Arial"/>
          <w:sz w:val="22"/>
          <w:szCs w:val="22"/>
        </w:rPr>
        <w:t xml:space="preserve"> billion).</w:t>
      </w:r>
    </w:p>
    <w:p w14:paraId="58B8BA82" w14:textId="65783FE3" w:rsidR="00502A8A" w:rsidRDefault="00615F9F" w:rsidP="003A32A8">
      <w:pPr>
        <w:pStyle w:val="BodyText"/>
        <w:tabs>
          <w:tab w:val="clear" w:pos="8370"/>
        </w:tabs>
        <w:spacing w:beforeLines="40" w:before="96" w:afterLines="40" w:after="96" w:line="240" w:lineRule="auto"/>
        <w:rPr>
          <w:rFonts w:ascii="Arial" w:hAnsi="Arial" w:cs="Arial"/>
          <w:sz w:val="22"/>
          <w:szCs w:val="22"/>
          <w:lang w:val="en-US"/>
        </w:rPr>
      </w:pPr>
      <w:bookmarkStart w:id="2" w:name="_Hlk206765789"/>
      <w:r>
        <w:rPr>
          <w:rFonts w:ascii="Arial" w:hAnsi="Arial" w:cs="Arial"/>
          <w:sz w:val="22"/>
          <w:szCs w:val="22"/>
          <w:lang w:val="en-GB"/>
        </w:rPr>
        <w:t>Almost half of other revenue came from</w:t>
      </w:r>
      <w:r w:rsidR="006D3F8C">
        <w:rPr>
          <w:rFonts w:ascii="Arial" w:hAnsi="Arial" w:cs="Arial"/>
          <w:sz w:val="22"/>
          <w:szCs w:val="22"/>
          <w:lang w:val="en-GB"/>
        </w:rPr>
        <w:t xml:space="preserve"> property income</w:t>
      </w:r>
      <w:r w:rsidR="008E135F">
        <w:rPr>
          <w:rFonts w:ascii="Arial" w:hAnsi="Arial" w:cs="Arial"/>
          <w:sz w:val="22"/>
          <w:szCs w:val="22"/>
          <w:lang w:val="en-GB"/>
        </w:rPr>
        <w:t xml:space="preserve">, </w:t>
      </w:r>
      <w:r>
        <w:rPr>
          <w:rFonts w:ascii="Arial" w:hAnsi="Arial" w:cs="Arial"/>
          <w:sz w:val="22"/>
          <w:szCs w:val="22"/>
          <w:lang w:val="en-GB"/>
        </w:rPr>
        <w:t xml:space="preserve">while </w:t>
      </w:r>
      <w:r w:rsidR="00006F86">
        <w:rPr>
          <w:rFonts w:ascii="Arial" w:hAnsi="Arial" w:cs="Arial"/>
          <w:sz w:val="22"/>
          <w:szCs w:val="22"/>
        </w:rPr>
        <w:t>s</w:t>
      </w:r>
      <w:r w:rsidR="00006F86" w:rsidRPr="00B24822">
        <w:rPr>
          <w:rFonts w:ascii="Arial" w:hAnsi="Arial" w:cs="Arial"/>
          <w:sz w:val="22"/>
          <w:szCs w:val="22"/>
        </w:rPr>
        <w:t>ales of goods and services</w:t>
      </w:r>
      <w:r w:rsidR="00547532">
        <w:rPr>
          <w:rFonts w:ascii="Arial" w:hAnsi="Arial" w:cs="Arial"/>
          <w:sz w:val="22"/>
          <w:szCs w:val="22"/>
          <w:lang w:val="en-GB"/>
        </w:rPr>
        <w:t xml:space="preserve"> including administrative fees</w:t>
      </w:r>
      <w:r w:rsidR="00006F86">
        <w:rPr>
          <w:rFonts w:ascii="Arial" w:hAnsi="Arial" w:cs="Arial"/>
          <w:sz w:val="22"/>
          <w:szCs w:val="22"/>
        </w:rPr>
        <w:t xml:space="preserve"> </w:t>
      </w:r>
      <w:r w:rsidR="001234A0">
        <w:rPr>
          <w:rFonts w:ascii="Arial" w:hAnsi="Arial" w:cs="Arial"/>
          <w:sz w:val="22"/>
          <w:szCs w:val="22"/>
          <w:lang w:val="en-GB"/>
        </w:rPr>
        <w:t xml:space="preserve">remained </w:t>
      </w:r>
      <w:r w:rsidR="008E135F">
        <w:rPr>
          <w:rFonts w:ascii="Arial" w:hAnsi="Arial" w:cs="Arial"/>
          <w:sz w:val="22"/>
          <w:szCs w:val="22"/>
          <w:lang w:val="en-GB"/>
        </w:rPr>
        <w:t xml:space="preserve">a </w:t>
      </w:r>
      <w:r w:rsidR="00042726">
        <w:rPr>
          <w:rFonts w:ascii="Arial" w:hAnsi="Arial" w:cs="Arial"/>
          <w:sz w:val="22"/>
          <w:szCs w:val="22"/>
          <w:lang w:val="en-GB"/>
        </w:rPr>
        <w:t xml:space="preserve">solid and consistent stream </w:t>
      </w:r>
      <w:r w:rsidR="00681F8A">
        <w:rPr>
          <w:rFonts w:ascii="Arial" w:hAnsi="Arial" w:cs="Arial"/>
          <w:sz w:val="22"/>
          <w:szCs w:val="22"/>
          <w:lang w:val="en-GB"/>
        </w:rPr>
        <w:t xml:space="preserve">of income </w:t>
      </w:r>
      <w:r w:rsidR="00042726">
        <w:rPr>
          <w:rFonts w:ascii="Arial" w:hAnsi="Arial" w:cs="Arial"/>
          <w:sz w:val="22"/>
          <w:szCs w:val="22"/>
          <w:lang w:val="en-GB"/>
        </w:rPr>
        <w:t xml:space="preserve">at </w:t>
      </w:r>
      <w:r w:rsidR="006F1B92">
        <w:rPr>
          <w:rFonts w:ascii="Arial" w:hAnsi="Arial" w:cs="Arial"/>
          <w:sz w:val="22"/>
          <w:szCs w:val="22"/>
          <w:lang w:val="en-GB"/>
        </w:rPr>
        <w:t>39.3%</w:t>
      </w:r>
      <w:r w:rsidR="008E135F">
        <w:rPr>
          <w:rFonts w:ascii="Arial" w:hAnsi="Arial" w:cs="Arial"/>
          <w:sz w:val="22"/>
          <w:szCs w:val="22"/>
          <w:lang w:val="en-GB"/>
        </w:rPr>
        <w:t xml:space="preserve"> of other revenue</w:t>
      </w:r>
      <w:r w:rsidR="00367468">
        <w:rPr>
          <w:rFonts w:ascii="Arial" w:hAnsi="Arial" w:cs="Arial"/>
          <w:sz w:val="22"/>
          <w:szCs w:val="22"/>
          <w:lang w:val="en-US"/>
        </w:rPr>
        <w:t>.</w:t>
      </w:r>
      <w:r w:rsidR="006D3F8C">
        <w:rPr>
          <w:rFonts w:ascii="Arial" w:hAnsi="Arial" w:cs="Arial"/>
          <w:sz w:val="22"/>
          <w:szCs w:val="22"/>
          <w:lang w:val="en-US"/>
        </w:rPr>
        <w:t xml:space="preserve"> F</w:t>
      </w:r>
      <w:r w:rsidR="001234A0">
        <w:rPr>
          <w:rFonts w:ascii="Arial" w:hAnsi="Arial" w:cs="Arial"/>
          <w:sz w:val="22"/>
          <w:szCs w:val="22"/>
          <w:lang w:val="en-US"/>
        </w:rPr>
        <w:t>ines</w:t>
      </w:r>
      <w:r w:rsidR="00843E40">
        <w:rPr>
          <w:rFonts w:ascii="Arial" w:hAnsi="Arial" w:cs="Arial"/>
          <w:sz w:val="22"/>
          <w:szCs w:val="22"/>
          <w:lang w:val="en-GB"/>
        </w:rPr>
        <w:t xml:space="preserve">, </w:t>
      </w:r>
      <w:r w:rsidR="006F1B92" w:rsidRPr="000C6778">
        <w:rPr>
          <w:rFonts w:ascii="Arial" w:hAnsi="Arial" w:cs="Arial"/>
          <w:sz w:val="22"/>
          <w:szCs w:val="22"/>
        </w:rPr>
        <w:t>penalties</w:t>
      </w:r>
      <w:r w:rsidR="006F1B92">
        <w:rPr>
          <w:rFonts w:ascii="Arial" w:hAnsi="Arial" w:cs="Arial"/>
          <w:sz w:val="22"/>
          <w:szCs w:val="22"/>
        </w:rPr>
        <w:t xml:space="preserve"> </w:t>
      </w:r>
      <w:r w:rsidR="006F1B92" w:rsidRPr="000C6778">
        <w:rPr>
          <w:rFonts w:ascii="Arial" w:hAnsi="Arial" w:cs="Arial"/>
          <w:sz w:val="22"/>
          <w:szCs w:val="22"/>
        </w:rPr>
        <w:t>and forfeits</w:t>
      </w:r>
      <w:r w:rsidR="006D3F8C">
        <w:rPr>
          <w:rFonts w:ascii="Arial" w:hAnsi="Arial" w:cs="Arial"/>
          <w:sz w:val="22"/>
          <w:szCs w:val="22"/>
          <w:lang w:val="en-US"/>
        </w:rPr>
        <w:t>,</w:t>
      </w:r>
      <w:r w:rsidR="00A05C0E">
        <w:rPr>
          <w:rFonts w:ascii="Arial" w:hAnsi="Arial" w:cs="Arial"/>
          <w:sz w:val="22"/>
          <w:szCs w:val="22"/>
          <w:lang w:val="en-US"/>
        </w:rPr>
        <w:t xml:space="preserve"> </w:t>
      </w:r>
      <w:r w:rsidR="00615517">
        <w:rPr>
          <w:rFonts w:ascii="Arial" w:hAnsi="Arial" w:cs="Arial"/>
          <w:sz w:val="22"/>
          <w:szCs w:val="22"/>
          <w:lang w:val="en-US"/>
        </w:rPr>
        <w:t xml:space="preserve">though </w:t>
      </w:r>
      <w:r w:rsidR="00042726">
        <w:rPr>
          <w:rFonts w:ascii="Arial" w:hAnsi="Arial" w:cs="Arial"/>
          <w:sz w:val="22"/>
          <w:szCs w:val="22"/>
          <w:lang w:val="en-US"/>
        </w:rPr>
        <w:t>relatively modest in size</w:t>
      </w:r>
      <w:r w:rsidR="007B55B6">
        <w:rPr>
          <w:rFonts w:ascii="Arial" w:hAnsi="Arial" w:cs="Arial"/>
          <w:sz w:val="22"/>
          <w:szCs w:val="22"/>
          <w:lang w:val="en-US"/>
        </w:rPr>
        <w:t xml:space="preserve"> at just</w:t>
      </w:r>
      <w:r w:rsidR="00615517">
        <w:rPr>
          <w:rFonts w:ascii="Arial" w:hAnsi="Arial" w:cs="Arial"/>
          <w:sz w:val="22"/>
          <w:szCs w:val="22"/>
          <w:lang w:val="en-US"/>
        </w:rPr>
        <w:t xml:space="preserve"> 3.2% of other revenue and 0.3% of total revenue, </w:t>
      </w:r>
      <w:r w:rsidR="007B55B6">
        <w:rPr>
          <w:rFonts w:ascii="Arial" w:hAnsi="Arial" w:cs="Arial"/>
          <w:sz w:val="22"/>
          <w:szCs w:val="22"/>
          <w:lang w:val="en-US"/>
        </w:rPr>
        <w:t>play a</w:t>
      </w:r>
      <w:r w:rsidR="00615517">
        <w:rPr>
          <w:rFonts w:ascii="Arial" w:hAnsi="Arial" w:cs="Arial"/>
          <w:sz w:val="22"/>
          <w:szCs w:val="22"/>
          <w:lang w:val="en-US"/>
        </w:rPr>
        <w:t xml:space="preserve"> </w:t>
      </w:r>
      <w:r w:rsidR="007B55B6">
        <w:rPr>
          <w:rFonts w:ascii="Arial" w:hAnsi="Arial" w:cs="Arial"/>
          <w:sz w:val="22"/>
          <w:szCs w:val="22"/>
          <w:lang w:val="en-US"/>
        </w:rPr>
        <w:t>significant role in reinforcing</w:t>
      </w:r>
      <w:r w:rsidR="00615517">
        <w:rPr>
          <w:rFonts w:ascii="Arial" w:hAnsi="Arial" w:cs="Arial"/>
          <w:sz w:val="22"/>
          <w:szCs w:val="22"/>
          <w:lang w:val="en-US"/>
        </w:rPr>
        <w:t xml:space="preserve"> compliance and good governance</w:t>
      </w:r>
      <w:r w:rsidR="00B50195">
        <w:rPr>
          <w:rFonts w:ascii="Arial" w:hAnsi="Arial" w:cs="Arial"/>
          <w:sz w:val="22"/>
          <w:szCs w:val="22"/>
          <w:lang w:val="en-US"/>
        </w:rPr>
        <w:t>.</w:t>
      </w:r>
    </w:p>
    <w:bookmarkEnd w:id="2"/>
    <w:p w14:paraId="60F00884" w14:textId="3E4B6239" w:rsidR="002F74FA" w:rsidRDefault="00C402A7" w:rsidP="00882B0C">
      <w:pPr>
        <w:pStyle w:val="BodyText"/>
        <w:tabs>
          <w:tab w:val="clear" w:pos="8370"/>
        </w:tabs>
        <w:spacing w:beforeLines="40" w:before="96" w:line="240" w:lineRule="auto"/>
        <w:jc w:val="left"/>
        <w:rPr>
          <w:rFonts w:ascii="Arial" w:hAnsi="Arial" w:cs="Arial"/>
          <w:sz w:val="22"/>
          <w:szCs w:val="22"/>
        </w:rPr>
      </w:pPr>
      <w:r w:rsidRPr="00C402A7">
        <w:rPr>
          <w:noProof/>
        </w:rPr>
        <w:lastRenderedPageBreak/>
        <w:drawing>
          <wp:inline distT="0" distB="0" distL="0" distR="0" wp14:anchorId="2A98AAF0" wp14:editId="04C67165">
            <wp:extent cx="3093720" cy="3200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3720" cy="3200400"/>
                    </a:xfrm>
                    <a:prstGeom prst="rect">
                      <a:avLst/>
                    </a:prstGeom>
                    <a:noFill/>
                    <a:ln>
                      <a:noFill/>
                    </a:ln>
                  </pic:spPr>
                </pic:pic>
              </a:graphicData>
            </a:graphic>
          </wp:inline>
        </w:drawing>
      </w:r>
      <w:r w:rsidR="007567FE" w:rsidRPr="007567FE">
        <w:rPr>
          <w:noProof/>
        </w:rPr>
        <w:drawing>
          <wp:inline distT="0" distB="0" distL="0" distR="0" wp14:anchorId="10525D16" wp14:editId="2F63BCD4">
            <wp:extent cx="3093720"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3720" cy="3200400"/>
                    </a:xfrm>
                    <a:prstGeom prst="rect">
                      <a:avLst/>
                    </a:prstGeom>
                    <a:noFill/>
                    <a:ln>
                      <a:noFill/>
                    </a:ln>
                  </pic:spPr>
                </pic:pic>
              </a:graphicData>
            </a:graphic>
          </wp:inline>
        </w:drawing>
      </w:r>
    </w:p>
    <w:p w14:paraId="2C244682" w14:textId="77777777" w:rsidR="00B52D96" w:rsidRDefault="00B52D96" w:rsidP="00882B0C">
      <w:pPr>
        <w:pStyle w:val="BodyText"/>
        <w:tabs>
          <w:tab w:val="clear" w:pos="8370"/>
        </w:tabs>
        <w:spacing w:line="240" w:lineRule="auto"/>
        <w:rPr>
          <w:rFonts w:ascii="Arial" w:hAnsi="Arial" w:cs="Arial"/>
          <w:b/>
          <w:smallCaps/>
          <w:sz w:val="22"/>
          <w:szCs w:val="22"/>
          <w:lang w:val="en-GB"/>
        </w:rPr>
      </w:pPr>
    </w:p>
    <w:p w14:paraId="3DD8AC8F" w14:textId="27319522" w:rsidR="00B52D96" w:rsidRPr="00C82E71" w:rsidRDefault="00B52D96" w:rsidP="00882B0C">
      <w:pPr>
        <w:pStyle w:val="BodyText"/>
        <w:tabs>
          <w:tab w:val="clear" w:pos="8370"/>
        </w:tabs>
        <w:spacing w:beforeLines="40" w:before="96" w:afterLines="40" w:after="96" w:line="240" w:lineRule="auto"/>
        <w:rPr>
          <w:rFonts w:ascii="Arial" w:hAnsi="Arial" w:cs="Arial"/>
          <w:b/>
          <w:smallCaps/>
          <w:sz w:val="22"/>
          <w:szCs w:val="22"/>
          <w:lang w:val="en-GB"/>
        </w:rPr>
      </w:pPr>
      <w:bookmarkStart w:id="3" w:name="_Hlk207109990"/>
      <w:r>
        <w:rPr>
          <w:rFonts w:ascii="Arial" w:hAnsi="Arial" w:cs="Arial"/>
          <w:b/>
          <w:smallCaps/>
          <w:sz w:val="22"/>
          <w:szCs w:val="22"/>
          <w:lang w:val="en-GB"/>
        </w:rPr>
        <w:t>5.</w:t>
      </w:r>
      <w:r>
        <w:rPr>
          <w:rFonts w:ascii="Arial" w:hAnsi="Arial" w:cs="Arial"/>
          <w:b/>
          <w:smallCaps/>
          <w:sz w:val="22"/>
          <w:szCs w:val="22"/>
          <w:lang w:val="en-GB"/>
        </w:rPr>
        <w:tab/>
      </w:r>
      <w:r>
        <w:rPr>
          <w:rFonts w:ascii="Arial" w:hAnsi="Arial" w:cs="Arial"/>
          <w:b/>
          <w:smallCaps/>
          <w:sz w:val="22"/>
          <w:szCs w:val="22"/>
          <w:lang w:val="en-US" w:eastAsia="en-US"/>
        </w:rPr>
        <w:t>Expenditure</w:t>
      </w:r>
    </w:p>
    <w:p w14:paraId="22277EC5" w14:textId="510E8BDB" w:rsidR="00352AC5" w:rsidRDefault="00352AC5" w:rsidP="00415F9C">
      <w:pPr>
        <w:tabs>
          <w:tab w:val="num" w:pos="720"/>
        </w:tabs>
        <w:spacing w:beforeLines="40" w:before="96"/>
        <w:jc w:val="both"/>
        <w:rPr>
          <w:rFonts w:ascii="Arial" w:hAnsi="Arial" w:cs="Arial"/>
          <w:sz w:val="22"/>
          <w:szCs w:val="22"/>
        </w:rPr>
      </w:pPr>
      <w:r>
        <w:rPr>
          <w:rFonts w:ascii="Arial" w:hAnsi="Arial" w:cs="Arial"/>
          <w:sz w:val="22"/>
          <w:szCs w:val="22"/>
        </w:rPr>
        <w:t>The consolidated general government spent Rs 22</w:t>
      </w:r>
      <w:r w:rsidR="00886665">
        <w:rPr>
          <w:rFonts w:ascii="Arial" w:hAnsi="Arial" w:cs="Arial"/>
          <w:sz w:val="22"/>
          <w:szCs w:val="22"/>
        </w:rPr>
        <w:t>6</w:t>
      </w:r>
      <w:r>
        <w:rPr>
          <w:rFonts w:ascii="Arial" w:hAnsi="Arial" w:cs="Arial"/>
          <w:sz w:val="22"/>
          <w:szCs w:val="22"/>
        </w:rPr>
        <w:t>.</w:t>
      </w:r>
      <w:r w:rsidR="00886665">
        <w:rPr>
          <w:rFonts w:ascii="Arial" w:hAnsi="Arial" w:cs="Arial"/>
          <w:sz w:val="22"/>
          <w:szCs w:val="22"/>
        </w:rPr>
        <w:t>7</w:t>
      </w:r>
      <w:r>
        <w:rPr>
          <w:rFonts w:ascii="Arial" w:hAnsi="Arial" w:cs="Arial"/>
          <w:sz w:val="22"/>
          <w:szCs w:val="22"/>
        </w:rPr>
        <w:t xml:space="preserve"> billion in 2023/2024 compared to Rs 194.3 billion in 2022/2023. Nearly 94.</w:t>
      </w:r>
      <w:r w:rsidR="00886665">
        <w:rPr>
          <w:rFonts w:ascii="Arial" w:hAnsi="Arial" w:cs="Arial"/>
          <w:sz w:val="22"/>
          <w:szCs w:val="22"/>
        </w:rPr>
        <w:t>7</w:t>
      </w:r>
      <w:r>
        <w:rPr>
          <w:rFonts w:ascii="Arial" w:hAnsi="Arial" w:cs="Arial"/>
          <w:sz w:val="22"/>
          <w:szCs w:val="22"/>
        </w:rPr>
        <w:t>% of total expenditure was directed towards recurrent expenses, while only 5.</w:t>
      </w:r>
      <w:r w:rsidR="00886665">
        <w:rPr>
          <w:rFonts w:ascii="Arial" w:hAnsi="Arial" w:cs="Arial"/>
          <w:sz w:val="22"/>
          <w:szCs w:val="22"/>
        </w:rPr>
        <w:t>3</w:t>
      </w:r>
      <w:r>
        <w:rPr>
          <w:rFonts w:ascii="Arial" w:hAnsi="Arial" w:cs="Arial"/>
          <w:sz w:val="22"/>
          <w:szCs w:val="22"/>
        </w:rPr>
        <w:t>% was channeled into the acquisition of non-financial assets.</w:t>
      </w:r>
      <w:r w:rsidR="00863C02">
        <w:rPr>
          <w:rFonts w:ascii="Arial" w:hAnsi="Arial" w:cs="Arial"/>
          <w:sz w:val="22"/>
          <w:szCs w:val="22"/>
        </w:rPr>
        <w:t xml:space="preserve"> This shows that expenditure was heavily skewed towards </w:t>
      </w:r>
      <w:r w:rsidR="00472FAD">
        <w:rPr>
          <w:rFonts w:ascii="Arial" w:hAnsi="Arial" w:cs="Arial"/>
          <w:sz w:val="22"/>
          <w:szCs w:val="22"/>
        </w:rPr>
        <w:t>ongoing operational costs rather than investment.</w:t>
      </w:r>
    </w:p>
    <w:p w14:paraId="64A90C0E" w14:textId="77777777" w:rsidR="00B52D96" w:rsidRDefault="00B52D96" w:rsidP="001879CA">
      <w:pPr>
        <w:tabs>
          <w:tab w:val="num" w:pos="720"/>
        </w:tabs>
        <w:jc w:val="both"/>
        <w:rPr>
          <w:rFonts w:ascii="Arial" w:hAnsi="Arial" w:cs="Arial"/>
          <w:sz w:val="22"/>
          <w:szCs w:val="22"/>
        </w:rPr>
      </w:pPr>
      <w:r>
        <w:rPr>
          <w:rFonts w:ascii="Arial" w:hAnsi="Arial" w:cs="Arial"/>
          <w:sz w:val="22"/>
          <w:szCs w:val="22"/>
        </w:rPr>
        <w:t xml:space="preserve"> </w:t>
      </w:r>
    </w:p>
    <w:p w14:paraId="452BD3A2" w14:textId="6242844F" w:rsidR="00C863F9" w:rsidRPr="003A32A8" w:rsidRDefault="00B52D96" w:rsidP="00415F9C">
      <w:pPr>
        <w:spacing w:afterLines="40" w:after="96"/>
        <w:jc w:val="both"/>
        <w:rPr>
          <w:rFonts w:ascii="Arial" w:hAnsi="Arial" w:cs="Arial"/>
          <w:b/>
          <w:i/>
          <w:sz w:val="22"/>
          <w:szCs w:val="22"/>
        </w:rPr>
      </w:pPr>
      <w:bookmarkStart w:id="4" w:name="_Hlk206575345"/>
      <w:r>
        <w:rPr>
          <w:rFonts w:ascii="Arial" w:hAnsi="Arial" w:cs="Arial"/>
          <w:b/>
          <w:sz w:val="22"/>
          <w:szCs w:val="22"/>
          <w:lang w:val="en-GB"/>
        </w:rPr>
        <w:t>5</w:t>
      </w:r>
      <w:r w:rsidR="00EA1F7D" w:rsidRPr="003A32A8">
        <w:rPr>
          <w:rFonts w:ascii="Arial" w:hAnsi="Arial" w:cs="Arial"/>
          <w:b/>
          <w:sz w:val="22"/>
          <w:szCs w:val="22"/>
        </w:rPr>
        <w:t>.</w:t>
      </w:r>
      <w:r>
        <w:rPr>
          <w:rFonts w:ascii="Arial" w:hAnsi="Arial" w:cs="Arial"/>
          <w:b/>
          <w:sz w:val="22"/>
          <w:szCs w:val="22"/>
          <w:lang w:val="en-GB"/>
        </w:rPr>
        <w:t>1</w:t>
      </w:r>
      <w:r w:rsidR="00EA1F7D" w:rsidRPr="003A32A8">
        <w:rPr>
          <w:rFonts w:ascii="Arial" w:hAnsi="Arial" w:cs="Arial"/>
          <w:b/>
          <w:sz w:val="22"/>
          <w:szCs w:val="22"/>
        </w:rPr>
        <w:tab/>
      </w:r>
      <w:r w:rsidR="00C863F9">
        <w:rPr>
          <w:rFonts w:ascii="Arial" w:hAnsi="Arial" w:cs="Arial"/>
          <w:b/>
          <w:smallCaps/>
          <w:sz w:val="22"/>
          <w:szCs w:val="22"/>
          <w:lang w:val="en-GB"/>
        </w:rPr>
        <w:t>Components Of Expenditure</w:t>
      </w:r>
    </w:p>
    <w:p w14:paraId="3D62D09C" w14:textId="4B6E6D99" w:rsidR="00C863F9" w:rsidRPr="003A32A8" w:rsidRDefault="00C863F9" w:rsidP="008A19C1">
      <w:pPr>
        <w:spacing w:beforeLines="40" w:before="96" w:afterLines="40" w:after="96"/>
        <w:jc w:val="both"/>
        <w:rPr>
          <w:rFonts w:ascii="Arial" w:hAnsi="Arial" w:cs="Arial"/>
          <w:b/>
          <w:sz w:val="22"/>
          <w:szCs w:val="22"/>
        </w:rPr>
      </w:pPr>
      <w:r>
        <w:rPr>
          <w:rFonts w:ascii="Arial" w:hAnsi="Arial" w:cs="Arial"/>
          <w:b/>
          <w:sz w:val="22"/>
          <w:szCs w:val="22"/>
        </w:rPr>
        <w:t>5</w:t>
      </w:r>
      <w:r w:rsidRPr="003A32A8">
        <w:rPr>
          <w:rFonts w:ascii="Arial" w:hAnsi="Arial" w:cs="Arial"/>
          <w:b/>
          <w:sz w:val="22"/>
          <w:szCs w:val="22"/>
        </w:rPr>
        <w:t>.</w:t>
      </w:r>
      <w:r>
        <w:rPr>
          <w:rFonts w:ascii="Arial" w:hAnsi="Arial" w:cs="Arial"/>
          <w:b/>
          <w:sz w:val="22"/>
          <w:szCs w:val="22"/>
        </w:rPr>
        <w:t>1</w:t>
      </w:r>
      <w:r w:rsidRPr="003A32A8">
        <w:rPr>
          <w:rFonts w:ascii="Arial" w:hAnsi="Arial" w:cs="Arial"/>
          <w:b/>
          <w:sz w:val="22"/>
          <w:szCs w:val="22"/>
        </w:rPr>
        <w:t>.1</w:t>
      </w:r>
      <w:r w:rsidRPr="003A32A8">
        <w:rPr>
          <w:rFonts w:ascii="Arial" w:hAnsi="Arial" w:cs="Arial"/>
          <w:b/>
          <w:sz w:val="22"/>
          <w:szCs w:val="22"/>
        </w:rPr>
        <w:tab/>
      </w:r>
      <w:r>
        <w:rPr>
          <w:rFonts w:ascii="Arial" w:hAnsi="Arial" w:cs="Arial"/>
          <w:b/>
          <w:sz w:val="22"/>
          <w:szCs w:val="22"/>
        </w:rPr>
        <w:t>Recurrent Expenses</w:t>
      </w:r>
    </w:p>
    <w:p w14:paraId="040EEB58" w14:textId="7A23BBA9" w:rsidR="001109FF" w:rsidRPr="00145F87" w:rsidRDefault="00FE2DBA" w:rsidP="00145F87">
      <w:pPr>
        <w:pStyle w:val="BodyText"/>
        <w:tabs>
          <w:tab w:val="clear" w:pos="8370"/>
        </w:tabs>
        <w:spacing w:afterLines="40" w:after="96" w:line="240" w:lineRule="auto"/>
        <w:rPr>
          <w:rFonts w:ascii="Arial" w:hAnsi="Arial" w:cs="Arial"/>
          <w:sz w:val="22"/>
          <w:szCs w:val="22"/>
          <w:lang w:val="en-GB"/>
        </w:rPr>
      </w:pPr>
      <w:bookmarkStart w:id="5" w:name="_Hlk207459045"/>
      <w:bookmarkEnd w:id="3"/>
      <w:bookmarkEnd w:id="4"/>
      <w:r>
        <w:rPr>
          <w:rFonts w:ascii="Arial" w:hAnsi="Arial" w:cs="Arial"/>
          <w:sz w:val="22"/>
          <w:szCs w:val="22"/>
          <w:lang w:val="en-GB"/>
        </w:rPr>
        <w:t xml:space="preserve">Recurrent expenses </w:t>
      </w:r>
      <w:r w:rsidR="00BE1B29">
        <w:rPr>
          <w:rFonts w:ascii="Arial" w:hAnsi="Arial" w:cs="Arial"/>
          <w:sz w:val="22"/>
          <w:szCs w:val="22"/>
          <w:lang w:val="en-GB"/>
        </w:rPr>
        <w:t>expanded</w:t>
      </w:r>
      <w:r w:rsidR="007E1980">
        <w:rPr>
          <w:rFonts w:ascii="Arial" w:hAnsi="Arial" w:cs="Arial"/>
          <w:sz w:val="22"/>
          <w:szCs w:val="22"/>
          <w:lang w:val="en-GB"/>
        </w:rPr>
        <w:t xml:space="preserve"> </w:t>
      </w:r>
      <w:r>
        <w:rPr>
          <w:rFonts w:ascii="Arial" w:hAnsi="Arial" w:cs="Arial"/>
          <w:sz w:val="22"/>
          <w:szCs w:val="22"/>
          <w:lang w:val="en-GB"/>
        </w:rPr>
        <w:t>by 18.7% to a total of Rs 214.7 billion</w:t>
      </w:r>
      <w:r w:rsidR="007E1980">
        <w:rPr>
          <w:rFonts w:ascii="Arial" w:hAnsi="Arial" w:cs="Arial"/>
          <w:sz w:val="22"/>
          <w:szCs w:val="22"/>
          <w:lang w:val="en-GB"/>
        </w:rPr>
        <w:t xml:space="preserve"> in the year ended June 2024</w:t>
      </w:r>
      <w:r w:rsidR="002E26B7" w:rsidRPr="002E26B7">
        <w:rPr>
          <w:rFonts w:ascii="Arial" w:hAnsi="Arial" w:cs="Arial"/>
          <w:sz w:val="22"/>
          <w:szCs w:val="22"/>
        </w:rPr>
        <w:t>.</w:t>
      </w:r>
      <w:bookmarkStart w:id="6" w:name="_Hlk96674579"/>
      <w:r w:rsidR="00145F87">
        <w:rPr>
          <w:rFonts w:ascii="Arial" w:hAnsi="Arial" w:cs="Arial"/>
          <w:sz w:val="22"/>
          <w:szCs w:val="22"/>
          <w:lang w:val="en-GB"/>
        </w:rPr>
        <w:t xml:space="preserve"> </w:t>
      </w:r>
      <w:r w:rsidR="001109FF">
        <w:rPr>
          <w:rFonts w:ascii="Arial" w:hAnsi="Arial" w:cs="Arial"/>
          <w:sz w:val="22"/>
          <w:szCs w:val="22"/>
        </w:rPr>
        <w:t>The main contributors to the increase in recurrent outlays</w:t>
      </w:r>
      <w:r w:rsidR="00092114">
        <w:rPr>
          <w:rFonts w:ascii="Arial" w:hAnsi="Arial" w:cs="Arial"/>
          <w:sz w:val="22"/>
          <w:szCs w:val="22"/>
          <w:lang w:val="en-GB"/>
        </w:rPr>
        <w:t xml:space="preserve"> </w:t>
      </w:r>
      <w:r w:rsidR="001109FF">
        <w:rPr>
          <w:rFonts w:ascii="Arial" w:hAnsi="Arial" w:cs="Arial"/>
          <w:sz w:val="22"/>
          <w:szCs w:val="22"/>
        </w:rPr>
        <w:t>were transfers (Rs 13.9 billion) and social benefits (Rs 13.1 billion), which together accounted for almost 80% of the overall increase</w:t>
      </w:r>
      <w:r w:rsidR="002D2F24">
        <w:rPr>
          <w:rFonts w:ascii="Arial" w:hAnsi="Arial" w:cs="Arial"/>
          <w:sz w:val="22"/>
          <w:szCs w:val="22"/>
          <w:lang w:val="en-GB"/>
        </w:rPr>
        <w:t xml:space="preserve"> (Table 3)</w:t>
      </w:r>
      <w:r w:rsidR="001109FF">
        <w:rPr>
          <w:rFonts w:ascii="Arial" w:hAnsi="Arial" w:cs="Arial"/>
          <w:sz w:val="22"/>
          <w:szCs w:val="22"/>
        </w:rPr>
        <w:t xml:space="preserve">.  </w:t>
      </w:r>
    </w:p>
    <w:p w14:paraId="193ABC73" w14:textId="6CC34807" w:rsidR="00292FB2" w:rsidRDefault="00092114" w:rsidP="003A32A8">
      <w:pPr>
        <w:spacing w:beforeLines="40" w:before="96" w:afterLines="40" w:after="96"/>
        <w:jc w:val="both"/>
        <w:rPr>
          <w:rFonts w:ascii="Arial" w:hAnsi="Arial" w:cs="Arial"/>
          <w:sz w:val="22"/>
          <w:szCs w:val="22"/>
        </w:rPr>
      </w:pPr>
      <w:r>
        <w:rPr>
          <w:rFonts w:ascii="Arial" w:hAnsi="Arial" w:cs="Arial"/>
          <w:sz w:val="22"/>
          <w:szCs w:val="22"/>
        </w:rPr>
        <w:t>Within recurrent expenses, the largest component was s</w:t>
      </w:r>
      <w:r w:rsidR="005469FF">
        <w:rPr>
          <w:rFonts w:ascii="Arial" w:hAnsi="Arial" w:cs="Arial"/>
          <w:sz w:val="22"/>
          <w:szCs w:val="22"/>
        </w:rPr>
        <w:t xml:space="preserve">ocial benefits </w:t>
      </w:r>
      <w:r w:rsidR="00507030">
        <w:rPr>
          <w:rFonts w:ascii="Arial" w:hAnsi="Arial" w:cs="Arial"/>
          <w:sz w:val="22"/>
          <w:szCs w:val="22"/>
        </w:rPr>
        <w:t xml:space="preserve">at Rs 72.4 billion </w:t>
      </w:r>
      <w:r w:rsidR="005469FF">
        <w:rPr>
          <w:rFonts w:ascii="Arial" w:hAnsi="Arial" w:cs="Arial"/>
          <w:sz w:val="22"/>
          <w:szCs w:val="22"/>
        </w:rPr>
        <w:t xml:space="preserve">(33.7%), </w:t>
      </w:r>
      <w:bookmarkStart w:id="7" w:name="_Hlk207458350"/>
      <w:r w:rsidR="00507030">
        <w:rPr>
          <w:rFonts w:ascii="Arial" w:hAnsi="Arial" w:cs="Arial"/>
          <w:sz w:val="22"/>
          <w:szCs w:val="22"/>
        </w:rPr>
        <w:t>followed by compensation of employees at Rs 56.4 billion (26.3%)</w:t>
      </w:r>
      <w:r w:rsidR="00373876">
        <w:rPr>
          <w:rFonts w:ascii="Arial" w:hAnsi="Arial" w:cs="Arial"/>
          <w:sz w:val="22"/>
          <w:szCs w:val="22"/>
        </w:rPr>
        <w:t>.</w:t>
      </w:r>
      <w:r w:rsidR="00507030">
        <w:rPr>
          <w:rFonts w:ascii="Arial" w:hAnsi="Arial" w:cs="Arial"/>
          <w:sz w:val="22"/>
          <w:szCs w:val="22"/>
        </w:rPr>
        <w:t xml:space="preserve"> Transfers amounted to Rs 45.9 billion (21.4%), the majority being current transfers. Use of goods and services </w:t>
      </w:r>
      <w:r w:rsidR="00EA1934">
        <w:rPr>
          <w:rFonts w:ascii="Arial" w:hAnsi="Arial" w:cs="Arial"/>
          <w:sz w:val="22"/>
          <w:szCs w:val="22"/>
        </w:rPr>
        <w:t>accounted for</w:t>
      </w:r>
      <w:r w:rsidR="00507030">
        <w:rPr>
          <w:rFonts w:ascii="Arial" w:hAnsi="Arial" w:cs="Arial"/>
          <w:sz w:val="22"/>
          <w:szCs w:val="22"/>
        </w:rPr>
        <w:t xml:space="preserve"> Rs 21.5 billion (10.0%), while</w:t>
      </w:r>
      <w:r w:rsidR="00C34D2A">
        <w:rPr>
          <w:rFonts w:ascii="Arial" w:hAnsi="Arial" w:cs="Arial"/>
          <w:sz w:val="22"/>
          <w:szCs w:val="22"/>
        </w:rPr>
        <w:t xml:space="preserve"> interest payments reached Rs 15.3 billion (7.1%). Subsidies (Rs 2.5 billion) and grants (Rs 0.7 billion) remained relatively small components of overall recurrent spending, together less than 2% of total expense envelope.</w:t>
      </w:r>
      <w:r w:rsidR="00510FD5">
        <w:rPr>
          <w:rFonts w:ascii="Arial" w:hAnsi="Arial" w:cs="Arial"/>
          <w:sz w:val="22"/>
          <w:szCs w:val="22"/>
        </w:rPr>
        <w:t xml:space="preserve"> With social benefits and compensation of employees together taking around 60% of recurrent expenses, the budget was structurally rigid.</w:t>
      </w:r>
    </w:p>
    <w:bookmarkEnd w:id="6"/>
    <w:bookmarkEnd w:id="7"/>
    <w:p w14:paraId="597C98F0" w14:textId="4AB6E637" w:rsidR="00EA1F7D" w:rsidRPr="003A32A8" w:rsidRDefault="00123B73" w:rsidP="003A32A8">
      <w:pPr>
        <w:spacing w:beforeLines="40" w:before="96" w:afterLines="40" w:after="96"/>
        <w:jc w:val="both"/>
        <w:rPr>
          <w:rFonts w:ascii="Arial" w:hAnsi="Arial" w:cs="Arial"/>
          <w:sz w:val="22"/>
          <w:szCs w:val="22"/>
        </w:rPr>
      </w:pPr>
      <w:r>
        <w:rPr>
          <w:rFonts w:ascii="Arial" w:hAnsi="Arial" w:cs="Arial"/>
          <w:sz w:val="22"/>
          <w:szCs w:val="22"/>
        </w:rPr>
        <w:t xml:space="preserve">Compensation of employees </w:t>
      </w:r>
      <w:r w:rsidR="0058446A">
        <w:rPr>
          <w:rFonts w:ascii="Arial" w:hAnsi="Arial" w:cs="Arial"/>
          <w:sz w:val="22"/>
          <w:szCs w:val="22"/>
        </w:rPr>
        <w:t>gr</w:t>
      </w:r>
      <w:r w:rsidR="00846CED">
        <w:rPr>
          <w:rFonts w:ascii="Arial" w:hAnsi="Arial" w:cs="Arial"/>
          <w:sz w:val="22"/>
          <w:szCs w:val="22"/>
        </w:rPr>
        <w:t>e</w:t>
      </w:r>
      <w:r w:rsidR="003050BB">
        <w:rPr>
          <w:rFonts w:ascii="Arial" w:hAnsi="Arial" w:cs="Arial"/>
          <w:sz w:val="22"/>
          <w:szCs w:val="22"/>
        </w:rPr>
        <w:t>w</w:t>
      </w:r>
      <w:r w:rsidR="0058446A">
        <w:rPr>
          <w:rFonts w:ascii="Arial" w:hAnsi="Arial" w:cs="Arial"/>
          <w:sz w:val="22"/>
          <w:szCs w:val="22"/>
        </w:rPr>
        <w:t xml:space="preserve"> at a much slower pace</w:t>
      </w:r>
      <w:r w:rsidR="00846CED" w:rsidRPr="00846CED">
        <w:rPr>
          <w:rFonts w:ascii="Arial" w:hAnsi="Arial" w:cs="Arial"/>
          <w:sz w:val="22"/>
          <w:szCs w:val="22"/>
        </w:rPr>
        <w:t xml:space="preserve"> </w:t>
      </w:r>
      <w:r w:rsidR="00846CED">
        <w:rPr>
          <w:rFonts w:ascii="Arial" w:hAnsi="Arial" w:cs="Arial"/>
          <w:sz w:val="22"/>
          <w:szCs w:val="22"/>
        </w:rPr>
        <w:t xml:space="preserve">(4.7%) </w:t>
      </w:r>
      <w:r w:rsidR="0058446A">
        <w:rPr>
          <w:rFonts w:ascii="Arial" w:hAnsi="Arial" w:cs="Arial"/>
          <w:sz w:val="22"/>
          <w:szCs w:val="22"/>
        </w:rPr>
        <w:t>than social benefits</w:t>
      </w:r>
      <w:r w:rsidR="007B2BDF">
        <w:rPr>
          <w:rFonts w:ascii="Arial" w:hAnsi="Arial" w:cs="Arial"/>
          <w:sz w:val="22"/>
          <w:szCs w:val="22"/>
        </w:rPr>
        <w:t xml:space="preserve"> (22.1%)</w:t>
      </w:r>
      <w:r w:rsidR="0058446A">
        <w:rPr>
          <w:rFonts w:ascii="Arial" w:hAnsi="Arial" w:cs="Arial"/>
          <w:sz w:val="22"/>
          <w:szCs w:val="22"/>
        </w:rPr>
        <w:t xml:space="preserve"> and transfers</w:t>
      </w:r>
      <w:r w:rsidR="007B2BDF">
        <w:rPr>
          <w:rFonts w:ascii="Arial" w:hAnsi="Arial" w:cs="Arial"/>
          <w:sz w:val="22"/>
          <w:szCs w:val="22"/>
        </w:rPr>
        <w:t xml:space="preserve"> (43.3%)</w:t>
      </w:r>
      <w:r w:rsidR="00846CED">
        <w:rPr>
          <w:rFonts w:ascii="Arial" w:hAnsi="Arial" w:cs="Arial"/>
          <w:sz w:val="22"/>
          <w:szCs w:val="22"/>
        </w:rPr>
        <w:t xml:space="preserve"> </w:t>
      </w:r>
      <w:r w:rsidR="00192BBD">
        <w:rPr>
          <w:rFonts w:ascii="Arial" w:hAnsi="Arial" w:cs="Arial"/>
          <w:sz w:val="22"/>
          <w:szCs w:val="22"/>
        </w:rPr>
        <w:t xml:space="preserve">during </w:t>
      </w:r>
      <w:r w:rsidR="00192BBD" w:rsidRPr="00B9452C">
        <w:rPr>
          <w:rFonts w:ascii="Arial" w:hAnsi="Arial" w:cs="Arial"/>
          <w:sz w:val="22"/>
          <w:szCs w:val="22"/>
        </w:rPr>
        <w:t>July 2023 to June 2024</w:t>
      </w:r>
      <w:r w:rsidR="0058446A">
        <w:rPr>
          <w:rFonts w:ascii="Arial" w:hAnsi="Arial" w:cs="Arial"/>
          <w:sz w:val="22"/>
          <w:szCs w:val="22"/>
        </w:rPr>
        <w:t xml:space="preserve">, suggesting </w:t>
      </w:r>
      <w:r w:rsidR="00846CED">
        <w:rPr>
          <w:rFonts w:ascii="Arial" w:hAnsi="Arial" w:cs="Arial"/>
          <w:sz w:val="22"/>
          <w:szCs w:val="22"/>
        </w:rPr>
        <w:t>that</w:t>
      </w:r>
      <w:r w:rsidR="007B2BDF">
        <w:rPr>
          <w:rFonts w:ascii="Arial" w:hAnsi="Arial" w:cs="Arial"/>
          <w:sz w:val="22"/>
          <w:szCs w:val="22"/>
        </w:rPr>
        <w:t xml:space="preserve"> wage</w:t>
      </w:r>
      <w:r w:rsidR="00192BBD">
        <w:rPr>
          <w:rFonts w:ascii="Arial" w:hAnsi="Arial" w:cs="Arial"/>
          <w:sz w:val="22"/>
          <w:szCs w:val="22"/>
        </w:rPr>
        <w:t>-related</w:t>
      </w:r>
      <w:r w:rsidR="007B2BDF">
        <w:rPr>
          <w:rFonts w:ascii="Arial" w:hAnsi="Arial" w:cs="Arial"/>
          <w:sz w:val="22"/>
          <w:szCs w:val="22"/>
        </w:rPr>
        <w:t xml:space="preserve"> pressures </w:t>
      </w:r>
      <w:r w:rsidR="003050BB">
        <w:rPr>
          <w:rFonts w:ascii="Arial" w:hAnsi="Arial" w:cs="Arial"/>
          <w:sz w:val="22"/>
          <w:szCs w:val="22"/>
        </w:rPr>
        <w:t>remaine</w:t>
      </w:r>
      <w:r w:rsidR="00846CED">
        <w:rPr>
          <w:rFonts w:ascii="Arial" w:hAnsi="Arial" w:cs="Arial"/>
          <w:sz w:val="22"/>
          <w:szCs w:val="22"/>
        </w:rPr>
        <w:t>d contained relative</w:t>
      </w:r>
      <w:r w:rsidR="007B2BDF">
        <w:rPr>
          <w:rFonts w:ascii="Arial" w:hAnsi="Arial" w:cs="Arial"/>
          <w:sz w:val="22"/>
          <w:szCs w:val="22"/>
        </w:rPr>
        <w:t xml:space="preserve"> to welfare and transfer spending.</w:t>
      </w:r>
    </w:p>
    <w:p w14:paraId="2BDD0110" w14:textId="33569785" w:rsidR="009B4B92" w:rsidRDefault="00A72D23" w:rsidP="003A32A8">
      <w:pPr>
        <w:spacing w:beforeLines="40" w:before="96" w:afterLines="40" w:after="96"/>
        <w:jc w:val="both"/>
        <w:rPr>
          <w:rFonts w:ascii="Arial" w:hAnsi="Arial" w:cs="Arial"/>
          <w:sz w:val="22"/>
          <w:szCs w:val="22"/>
        </w:rPr>
      </w:pPr>
      <w:r>
        <w:rPr>
          <w:rFonts w:ascii="Arial" w:hAnsi="Arial" w:cs="Arial"/>
          <w:sz w:val="22"/>
          <w:szCs w:val="22"/>
        </w:rPr>
        <w:t>U</w:t>
      </w:r>
      <w:r w:rsidR="00B40975">
        <w:rPr>
          <w:rFonts w:ascii="Arial" w:hAnsi="Arial" w:cs="Arial"/>
          <w:sz w:val="22"/>
          <w:szCs w:val="22"/>
        </w:rPr>
        <w:t xml:space="preserve">se of goods and services </w:t>
      </w:r>
      <w:r>
        <w:rPr>
          <w:rFonts w:ascii="Arial" w:hAnsi="Arial" w:cs="Arial"/>
          <w:sz w:val="22"/>
          <w:szCs w:val="22"/>
        </w:rPr>
        <w:t>advanc</w:t>
      </w:r>
      <w:r w:rsidR="00B40975">
        <w:rPr>
          <w:rFonts w:ascii="Arial" w:hAnsi="Arial" w:cs="Arial"/>
          <w:sz w:val="22"/>
          <w:szCs w:val="22"/>
        </w:rPr>
        <w:t>ed by 7.3%</w:t>
      </w:r>
      <w:r w:rsidR="00192BBD">
        <w:rPr>
          <w:rFonts w:ascii="Arial" w:hAnsi="Arial" w:cs="Arial"/>
          <w:sz w:val="22"/>
          <w:szCs w:val="22"/>
        </w:rPr>
        <w:t xml:space="preserve"> </w:t>
      </w:r>
      <w:r w:rsidR="00F73F3A">
        <w:rPr>
          <w:rFonts w:ascii="Arial" w:hAnsi="Arial" w:cs="Arial"/>
          <w:sz w:val="22"/>
          <w:szCs w:val="22"/>
        </w:rPr>
        <w:t>in the fiscal year 2023/2024</w:t>
      </w:r>
      <w:r>
        <w:rPr>
          <w:rFonts w:ascii="Arial" w:hAnsi="Arial" w:cs="Arial"/>
          <w:sz w:val="22"/>
          <w:szCs w:val="22"/>
        </w:rPr>
        <w:t xml:space="preserve">, maintaining </w:t>
      </w:r>
      <w:r w:rsidR="00192BBD">
        <w:rPr>
          <w:rFonts w:ascii="Arial" w:hAnsi="Arial" w:cs="Arial"/>
          <w:sz w:val="22"/>
          <w:szCs w:val="22"/>
        </w:rPr>
        <w:t>a</w:t>
      </w:r>
      <w:r>
        <w:rPr>
          <w:rFonts w:ascii="Arial" w:hAnsi="Arial" w:cs="Arial"/>
          <w:sz w:val="22"/>
          <w:szCs w:val="22"/>
        </w:rPr>
        <w:t xml:space="preserve"> stable </w:t>
      </w:r>
      <w:r w:rsidR="00B40975">
        <w:rPr>
          <w:rFonts w:ascii="Arial" w:hAnsi="Arial" w:cs="Arial"/>
          <w:sz w:val="22"/>
          <w:szCs w:val="22"/>
        </w:rPr>
        <w:t xml:space="preserve">share of </w:t>
      </w:r>
      <w:r>
        <w:rPr>
          <w:rFonts w:ascii="Arial" w:hAnsi="Arial" w:cs="Arial"/>
          <w:sz w:val="22"/>
          <w:szCs w:val="22"/>
        </w:rPr>
        <w:t>total expenses</w:t>
      </w:r>
      <w:r w:rsidR="00B40975">
        <w:rPr>
          <w:rFonts w:ascii="Arial" w:hAnsi="Arial" w:cs="Arial"/>
          <w:sz w:val="22"/>
          <w:szCs w:val="22"/>
        </w:rPr>
        <w:t>.</w:t>
      </w:r>
      <w:r w:rsidR="00507030">
        <w:rPr>
          <w:rFonts w:ascii="Arial" w:hAnsi="Arial" w:cs="Arial"/>
          <w:sz w:val="22"/>
          <w:szCs w:val="22"/>
        </w:rPr>
        <w:t xml:space="preserve"> </w:t>
      </w:r>
      <w:r w:rsidR="00F73F3A">
        <w:rPr>
          <w:rFonts w:ascii="Arial" w:hAnsi="Arial" w:cs="Arial"/>
          <w:sz w:val="22"/>
          <w:szCs w:val="22"/>
        </w:rPr>
        <w:t xml:space="preserve">Interest </w:t>
      </w:r>
      <w:r w:rsidR="00863C02">
        <w:rPr>
          <w:rFonts w:ascii="Arial" w:hAnsi="Arial" w:cs="Arial"/>
          <w:sz w:val="22"/>
          <w:szCs w:val="22"/>
        </w:rPr>
        <w:t>payments grew by 15.8%</w:t>
      </w:r>
      <w:r w:rsidR="00F73F3A">
        <w:rPr>
          <w:rFonts w:ascii="Arial" w:hAnsi="Arial" w:cs="Arial"/>
          <w:sz w:val="22"/>
          <w:szCs w:val="22"/>
        </w:rPr>
        <w:t>, reflecting higher d</w:t>
      </w:r>
      <w:r w:rsidR="00F054D2">
        <w:rPr>
          <w:rFonts w:ascii="Arial" w:hAnsi="Arial" w:cs="Arial"/>
          <w:sz w:val="22"/>
          <w:szCs w:val="22"/>
        </w:rPr>
        <w:t>ebt servicing costs</w:t>
      </w:r>
      <w:r w:rsidR="00B5678B">
        <w:rPr>
          <w:rFonts w:ascii="Arial" w:hAnsi="Arial" w:cs="Arial"/>
          <w:sz w:val="22"/>
          <w:szCs w:val="22"/>
        </w:rPr>
        <w:t>.</w:t>
      </w:r>
    </w:p>
    <w:p w14:paraId="52E14E8B" w14:textId="54733B75" w:rsidR="00AE4B0C" w:rsidRDefault="00510FD5" w:rsidP="003A32A8">
      <w:pPr>
        <w:spacing w:beforeLines="40" w:before="96" w:afterLines="40" w:after="96"/>
        <w:jc w:val="both"/>
        <w:rPr>
          <w:rFonts w:ascii="Arial" w:hAnsi="Arial" w:cs="Arial"/>
          <w:sz w:val="22"/>
          <w:szCs w:val="22"/>
        </w:rPr>
      </w:pPr>
      <w:r>
        <w:rPr>
          <w:rFonts w:ascii="Arial" w:hAnsi="Arial" w:cs="Arial"/>
          <w:sz w:val="22"/>
          <w:szCs w:val="22"/>
        </w:rPr>
        <w:t>S</w:t>
      </w:r>
      <w:r w:rsidR="00F80400">
        <w:rPr>
          <w:rFonts w:ascii="Arial" w:hAnsi="Arial" w:cs="Arial"/>
          <w:sz w:val="22"/>
          <w:szCs w:val="22"/>
        </w:rPr>
        <w:t>ubsidies</w:t>
      </w:r>
      <w:r>
        <w:rPr>
          <w:rFonts w:ascii="Arial" w:hAnsi="Arial" w:cs="Arial"/>
          <w:sz w:val="22"/>
          <w:szCs w:val="22"/>
        </w:rPr>
        <w:t xml:space="preserve">, although relatively small, </w:t>
      </w:r>
      <w:r w:rsidR="00434507">
        <w:rPr>
          <w:rFonts w:ascii="Arial" w:hAnsi="Arial" w:cs="Arial"/>
          <w:sz w:val="22"/>
          <w:szCs w:val="22"/>
        </w:rPr>
        <w:t>grew</w:t>
      </w:r>
      <w:r w:rsidR="008337CD">
        <w:rPr>
          <w:rFonts w:ascii="Arial" w:hAnsi="Arial" w:cs="Arial"/>
          <w:sz w:val="22"/>
          <w:szCs w:val="22"/>
        </w:rPr>
        <w:t xml:space="preserve"> by </w:t>
      </w:r>
      <w:r w:rsidR="002B0406">
        <w:rPr>
          <w:rFonts w:ascii="Arial" w:hAnsi="Arial" w:cs="Arial"/>
          <w:sz w:val="22"/>
          <w:szCs w:val="22"/>
        </w:rPr>
        <w:t>31.8</w:t>
      </w:r>
      <w:r w:rsidR="005C23ED">
        <w:rPr>
          <w:rFonts w:ascii="Arial" w:hAnsi="Arial" w:cs="Arial"/>
          <w:sz w:val="22"/>
          <w:szCs w:val="22"/>
        </w:rPr>
        <w:t>%</w:t>
      </w:r>
      <w:r w:rsidR="00F73F3A" w:rsidRPr="00F73F3A">
        <w:rPr>
          <w:rFonts w:ascii="Arial" w:hAnsi="Arial" w:cs="Arial"/>
          <w:sz w:val="22"/>
          <w:szCs w:val="22"/>
          <w:lang w:val="en-GB"/>
        </w:rPr>
        <w:t xml:space="preserve"> </w:t>
      </w:r>
      <w:r w:rsidR="00F73F3A">
        <w:rPr>
          <w:rFonts w:ascii="Arial" w:hAnsi="Arial" w:cs="Arial"/>
          <w:sz w:val="22"/>
          <w:szCs w:val="22"/>
          <w:lang w:val="en-GB"/>
        </w:rPr>
        <w:t>over the two fiscal years</w:t>
      </w:r>
      <w:r w:rsidR="008337CD">
        <w:rPr>
          <w:rFonts w:ascii="Arial" w:hAnsi="Arial" w:cs="Arial"/>
          <w:sz w:val="22"/>
          <w:szCs w:val="22"/>
        </w:rPr>
        <w:t>,</w:t>
      </w:r>
      <w:r w:rsidR="005C23ED">
        <w:rPr>
          <w:rFonts w:ascii="Arial" w:hAnsi="Arial" w:cs="Arial"/>
          <w:sz w:val="22"/>
          <w:szCs w:val="22"/>
        </w:rPr>
        <w:t xml:space="preserve"> point</w:t>
      </w:r>
      <w:r w:rsidR="008337CD">
        <w:rPr>
          <w:rFonts w:ascii="Arial" w:hAnsi="Arial" w:cs="Arial"/>
          <w:sz w:val="22"/>
          <w:szCs w:val="22"/>
        </w:rPr>
        <w:t>ing</w:t>
      </w:r>
      <w:r w:rsidR="005C23ED">
        <w:rPr>
          <w:rFonts w:ascii="Arial" w:hAnsi="Arial" w:cs="Arial"/>
          <w:sz w:val="22"/>
          <w:szCs w:val="22"/>
        </w:rPr>
        <w:t xml:space="preserve"> to greater government support to</w:t>
      </w:r>
      <w:r w:rsidR="00192BBD">
        <w:rPr>
          <w:rFonts w:ascii="Arial" w:hAnsi="Arial" w:cs="Arial"/>
          <w:sz w:val="22"/>
          <w:szCs w:val="22"/>
        </w:rPr>
        <w:t xml:space="preserve"> certain industries or</w:t>
      </w:r>
      <w:r w:rsidR="005C23ED">
        <w:rPr>
          <w:rFonts w:ascii="Arial" w:hAnsi="Arial" w:cs="Arial"/>
          <w:sz w:val="22"/>
          <w:szCs w:val="22"/>
        </w:rPr>
        <w:t xml:space="preserve"> </w:t>
      </w:r>
      <w:r w:rsidR="00F73F3A">
        <w:rPr>
          <w:rFonts w:ascii="Arial" w:hAnsi="Arial" w:cs="Arial"/>
          <w:sz w:val="22"/>
          <w:szCs w:val="22"/>
        </w:rPr>
        <w:t>economic</w:t>
      </w:r>
      <w:r w:rsidR="005C23ED">
        <w:rPr>
          <w:rFonts w:ascii="Arial" w:hAnsi="Arial" w:cs="Arial"/>
          <w:sz w:val="22"/>
          <w:szCs w:val="22"/>
        </w:rPr>
        <w:t xml:space="preserve"> sectors.</w:t>
      </w:r>
      <w:r w:rsidR="00F80400">
        <w:rPr>
          <w:rFonts w:ascii="Arial" w:hAnsi="Arial" w:cs="Arial"/>
          <w:sz w:val="22"/>
          <w:szCs w:val="22"/>
        </w:rPr>
        <w:t xml:space="preserve"> </w:t>
      </w:r>
      <w:r w:rsidR="005C23ED">
        <w:rPr>
          <w:rFonts w:ascii="Arial" w:hAnsi="Arial" w:cs="Arial"/>
          <w:sz w:val="22"/>
          <w:szCs w:val="22"/>
        </w:rPr>
        <w:t>G</w:t>
      </w:r>
      <w:r w:rsidR="002836ED">
        <w:rPr>
          <w:rFonts w:ascii="Arial" w:hAnsi="Arial" w:cs="Arial"/>
          <w:sz w:val="22"/>
          <w:szCs w:val="22"/>
        </w:rPr>
        <w:t xml:space="preserve">rants </w:t>
      </w:r>
      <w:r w:rsidR="00192BBD">
        <w:rPr>
          <w:rFonts w:ascii="Arial" w:hAnsi="Arial" w:cs="Arial"/>
          <w:sz w:val="22"/>
          <w:szCs w:val="22"/>
        </w:rPr>
        <w:t xml:space="preserve">also </w:t>
      </w:r>
      <w:r w:rsidR="00434507">
        <w:rPr>
          <w:rFonts w:ascii="Arial" w:hAnsi="Arial" w:cs="Arial"/>
          <w:sz w:val="22"/>
          <w:szCs w:val="22"/>
        </w:rPr>
        <w:t>re</w:t>
      </w:r>
      <w:r w:rsidR="00192BBD">
        <w:rPr>
          <w:rFonts w:ascii="Arial" w:hAnsi="Arial" w:cs="Arial"/>
          <w:sz w:val="22"/>
          <w:szCs w:val="22"/>
        </w:rPr>
        <w:t>gister</w:t>
      </w:r>
      <w:r w:rsidR="00434507">
        <w:rPr>
          <w:rFonts w:ascii="Arial" w:hAnsi="Arial" w:cs="Arial"/>
          <w:sz w:val="22"/>
          <w:szCs w:val="22"/>
        </w:rPr>
        <w:t>ed a notable increase of</w:t>
      </w:r>
      <w:r w:rsidR="005C23ED">
        <w:rPr>
          <w:rFonts w:ascii="Arial" w:hAnsi="Arial" w:cs="Arial"/>
          <w:sz w:val="22"/>
          <w:szCs w:val="22"/>
        </w:rPr>
        <w:t xml:space="preserve"> 22.8%</w:t>
      </w:r>
      <w:r w:rsidR="00434507">
        <w:rPr>
          <w:rFonts w:ascii="Arial" w:hAnsi="Arial" w:cs="Arial"/>
          <w:sz w:val="22"/>
          <w:szCs w:val="22"/>
        </w:rPr>
        <w:t xml:space="preserve">, though they </w:t>
      </w:r>
      <w:r w:rsidR="002836ED">
        <w:rPr>
          <w:rFonts w:ascii="Arial" w:hAnsi="Arial" w:cs="Arial"/>
          <w:sz w:val="22"/>
          <w:szCs w:val="22"/>
        </w:rPr>
        <w:t xml:space="preserve">remained </w:t>
      </w:r>
      <w:r w:rsidR="005C23ED">
        <w:rPr>
          <w:rFonts w:ascii="Arial" w:hAnsi="Arial" w:cs="Arial"/>
          <w:sz w:val="22"/>
          <w:szCs w:val="22"/>
        </w:rPr>
        <w:t>the</w:t>
      </w:r>
      <w:r w:rsidR="002836ED">
        <w:rPr>
          <w:rFonts w:ascii="Arial" w:hAnsi="Arial" w:cs="Arial"/>
          <w:sz w:val="22"/>
          <w:szCs w:val="22"/>
        </w:rPr>
        <w:t xml:space="preserve"> small</w:t>
      </w:r>
      <w:r w:rsidR="00583544">
        <w:rPr>
          <w:rFonts w:ascii="Arial" w:hAnsi="Arial" w:cs="Arial"/>
          <w:sz w:val="22"/>
          <w:szCs w:val="22"/>
        </w:rPr>
        <w:t>est</w:t>
      </w:r>
      <w:r w:rsidR="002836ED">
        <w:rPr>
          <w:rFonts w:ascii="Arial" w:hAnsi="Arial" w:cs="Arial"/>
          <w:sz w:val="22"/>
          <w:szCs w:val="22"/>
        </w:rPr>
        <w:t xml:space="preserve"> component of recurrent </w:t>
      </w:r>
      <w:r w:rsidR="00EA1934">
        <w:rPr>
          <w:rFonts w:ascii="Arial" w:hAnsi="Arial" w:cs="Arial"/>
          <w:sz w:val="22"/>
          <w:szCs w:val="22"/>
        </w:rPr>
        <w:t>outlays</w:t>
      </w:r>
      <w:r w:rsidR="00F80400">
        <w:rPr>
          <w:rFonts w:ascii="Arial" w:hAnsi="Arial" w:cs="Arial"/>
          <w:sz w:val="22"/>
          <w:szCs w:val="22"/>
        </w:rPr>
        <w:t>.</w:t>
      </w:r>
    </w:p>
    <w:p w14:paraId="39AD00FF" w14:textId="5B7882C5" w:rsidR="00863C02" w:rsidRDefault="00510FD5" w:rsidP="003A32A8">
      <w:pPr>
        <w:spacing w:beforeLines="40" w:before="96" w:afterLines="40" w:after="96"/>
        <w:jc w:val="both"/>
        <w:rPr>
          <w:rFonts w:ascii="Arial" w:hAnsi="Arial" w:cs="Arial"/>
          <w:sz w:val="22"/>
          <w:szCs w:val="22"/>
        </w:rPr>
      </w:pPr>
      <w:r>
        <w:rPr>
          <w:rFonts w:ascii="Arial" w:hAnsi="Arial" w:cs="Arial"/>
          <w:sz w:val="22"/>
          <w:szCs w:val="22"/>
        </w:rPr>
        <w:t>Recurrent</w:t>
      </w:r>
      <w:r w:rsidR="00863C02">
        <w:rPr>
          <w:rFonts w:ascii="Arial" w:hAnsi="Arial" w:cs="Arial"/>
          <w:sz w:val="22"/>
          <w:szCs w:val="22"/>
        </w:rPr>
        <w:t xml:space="preserve"> spending was increasingly costly relative to GDP</w:t>
      </w:r>
      <w:r w:rsidRPr="00510FD5">
        <w:rPr>
          <w:rFonts w:ascii="Arial" w:hAnsi="Arial" w:cs="Arial"/>
          <w:sz w:val="22"/>
          <w:szCs w:val="22"/>
        </w:rPr>
        <w:t xml:space="preserve"> </w:t>
      </w:r>
      <w:r>
        <w:rPr>
          <w:rFonts w:ascii="Arial" w:hAnsi="Arial" w:cs="Arial"/>
          <w:sz w:val="22"/>
          <w:szCs w:val="22"/>
        </w:rPr>
        <w:t>in the year under review</w:t>
      </w:r>
      <w:r w:rsidR="00863C02">
        <w:rPr>
          <w:rFonts w:ascii="Arial" w:hAnsi="Arial" w:cs="Arial"/>
          <w:sz w:val="22"/>
          <w:szCs w:val="22"/>
        </w:rPr>
        <w:t xml:space="preserve">. The expense-to-GDP ratio </w:t>
      </w:r>
      <w:r w:rsidR="00863C02" w:rsidRPr="00863C02">
        <w:rPr>
          <w:rFonts w:ascii="Arial" w:hAnsi="Arial" w:cs="Arial"/>
          <w:sz w:val="22"/>
          <w:szCs w:val="22"/>
        </w:rPr>
        <w:t>climbed from 29.9% to 32.3% between the two fiscal years</w:t>
      </w:r>
      <w:r w:rsidR="00863C02">
        <w:rPr>
          <w:rFonts w:ascii="Arial" w:hAnsi="Arial" w:cs="Arial"/>
          <w:sz w:val="22"/>
          <w:szCs w:val="22"/>
        </w:rPr>
        <w:t>.</w:t>
      </w:r>
    </w:p>
    <w:bookmarkEnd w:id="5"/>
    <w:p w14:paraId="1241B594" w14:textId="027A785B" w:rsidR="0080019C" w:rsidRPr="003A32A8" w:rsidRDefault="0080019C" w:rsidP="0080019C">
      <w:pPr>
        <w:spacing w:beforeLines="40" w:before="96" w:afterLines="40" w:after="96"/>
        <w:jc w:val="both"/>
        <w:rPr>
          <w:rFonts w:ascii="Arial" w:hAnsi="Arial" w:cs="Arial"/>
          <w:b/>
          <w:sz w:val="22"/>
          <w:szCs w:val="22"/>
        </w:rPr>
      </w:pPr>
      <w:r>
        <w:rPr>
          <w:rFonts w:ascii="Arial" w:hAnsi="Arial" w:cs="Arial"/>
          <w:b/>
          <w:sz w:val="22"/>
          <w:szCs w:val="22"/>
        </w:rPr>
        <w:lastRenderedPageBreak/>
        <w:t>5</w:t>
      </w:r>
      <w:r w:rsidRPr="003A32A8">
        <w:rPr>
          <w:rFonts w:ascii="Arial" w:hAnsi="Arial" w:cs="Arial"/>
          <w:b/>
          <w:sz w:val="22"/>
          <w:szCs w:val="22"/>
        </w:rPr>
        <w:t>.</w:t>
      </w:r>
      <w:r>
        <w:rPr>
          <w:rFonts w:ascii="Arial" w:hAnsi="Arial" w:cs="Arial"/>
          <w:b/>
          <w:sz w:val="22"/>
          <w:szCs w:val="22"/>
        </w:rPr>
        <w:t>1</w:t>
      </w:r>
      <w:r w:rsidRPr="003A32A8">
        <w:rPr>
          <w:rFonts w:ascii="Arial" w:hAnsi="Arial" w:cs="Arial"/>
          <w:b/>
          <w:sz w:val="22"/>
          <w:szCs w:val="22"/>
        </w:rPr>
        <w:t>.</w:t>
      </w:r>
      <w:r>
        <w:rPr>
          <w:rFonts w:ascii="Arial" w:hAnsi="Arial" w:cs="Arial"/>
          <w:b/>
          <w:sz w:val="22"/>
          <w:szCs w:val="22"/>
        </w:rPr>
        <w:t>2</w:t>
      </w:r>
      <w:r w:rsidRPr="003A32A8">
        <w:rPr>
          <w:rFonts w:ascii="Arial" w:hAnsi="Arial" w:cs="Arial"/>
          <w:b/>
          <w:sz w:val="22"/>
          <w:szCs w:val="22"/>
        </w:rPr>
        <w:tab/>
      </w:r>
      <w:r>
        <w:rPr>
          <w:rFonts w:ascii="Arial" w:hAnsi="Arial" w:cs="Arial"/>
          <w:b/>
          <w:sz w:val="22"/>
          <w:szCs w:val="22"/>
        </w:rPr>
        <w:t>Gross Investment in Non-Financial Assets</w:t>
      </w:r>
    </w:p>
    <w:p w14:paraId="7DDFAFE0" w14:textId="77777777" w:rsidR="0080019C" w:rsidRPr="00B52D96" w:rsidRDefault="0080019C" w:rsidP="0080019C">
      <w:pPr>
        <w:spacing w:beforeLines="40" w:before="96" w:afterLines="40" w:after="96"/>
        <w:jc w:val="both"/>
        <w:rPr>
          <w:rFonts w:ascii="Arial" w:hAnsi="Arial" w:cs="Arial"/>
          <w:sz w:val="22"/>
          <w:szCs w:val="22"/>
        </w:rPr>
      </w:pPr>
      <w:r>
        <w:rPr>
          <w:rFonts w:ascii="Arial" w:hAnsi="Arial" w:cs="Arial"/>
          <w:sz w:val="22"/>
          <w:szCs w:val="22"/>
        </w:rPr>
        <w:t>While government expenditure remained largely focused towards recurrent items such as transfers, social benefits, wages, subsidies and debt servicing, spending on physical and non-produced assets continued in 2023/2024, though at a reduced level. Gross investment in non-financial assets declined to Rs 11.9 billion (1.8% of GDP) from Rs 13.4 billion (2.2% of GDP) in 2022/2023.</w:t>
      </w:r>
    </w:p>
    <w:p w14:paraId="6D83FDA7" w14:textId="4F817D1D" w:rsidR="0080019C" w:rsidRDefault="0080019C" w:rsidP="00F74602">
      <w:pPr>
        <w:spacing w:beforeLines="40" w:before="96"/>
        <w:jc w:val="both"/>
        <w:rPr>
          <w:rFonts w:ascii="Arial" w:hAnsi="Arial" w:cs="Arial"/>
          <w:sz w:val="22"/>
          <w:szCs w:val="22"/>
        </w:rPr>
      </w:pPr>
      <w:r>
        <w:rPr>
          <w:rFonts w:ascii="Arial" w:hAnsi="Arial" w:cs="Arial"/>
          <w:sz w:val="22"/>
          <w:szCs w:val="22"/>
        </w:rPr>
        <w:t>The majority of investment in 2023/2024 was channeled into fixed assets, which amounted to Rs 11.1 billion (93.1%). Within this category, buildings and structures accounted for Rs 7.9 billion, followed by machinery and equipment (Rs 2.5 billion) and other fixed assets (Rs 0.6 billion).</w:t>
      </w:r>
      <w:r w:rsidR="00B50E61">
        <w:rPr>
          <w:rFonts w:ascii="Arial" w:hAnsi="Arial" w:cs="Arial"/>
          <w:sz w:val="22"/>
          <w:szCs w:val="22"/>
        </w:rPr>
        <w:t xml:space="preserve"> </w:t>
      </w:r>
      <w:r>
        <w:rPr>
          <w:rFonts w:ascii="Arial" w:hAnsi="Arial" w:cs="Arial"/>
          <w:sz w:val="22"/>
          <w:szCs w:val="22"/>
        </w:rPr>
        <w:t>Inventories remained a very small component of overall investment (less than 1%)</w:t>
      </w:r>
      <w:r w:rsidRPr="003A32A8">
        <w:rPr>
          <w:rFonts w:ascii="Arial" w:hAnsi="Arial" w:cs="Arial"/>
          <w:sz w:val="22"/>
          <w:szCs w:val="22"/>
        </w:rPr>
        <w:t>.</w:t>
      </w:r>
      <w:r>
        <w:rPr>
          <w:rFonts w:ascii="Arial" w:hAnsi="Arial" w:cs="Arial"/>
          <w:sz w:val="22"/>
          <w:szCs w:val="22"/>
        </w:rPr>
        <w:t xml:space="preserve"> Spending on non-produced assets, primarily land, stood at Rs 0.7 billion, representing a decline of Rs 0.2 billion compared to the previous year</w:t>
      </w:r>
      <w:r w:rsidR="00893B29">
        <w:rPr>
          <w:rFonts w:ascii="Arial" w:hAnsi="Arial" w:cs="Arial"/>
          <w:sz w:val="22"/>
          <w:szCs w:val="22"/>
        </w:rPr>
        <w:t xml:space="preserve"> (Table 4)</w:t>
      </w:r>
      <w:r>
        <w:rPr>
          <w:rFonts w:ascii="Arial" w:hAnsi="Arial" w:cs="Arial"/>
          <w:sz w:val="22"/>
          <w:szCs w:val="22"/>
        </w:rPr>
        <w:t>.</w:t>
      </w:r>
    </w:p>
    <w:p w14:paraId="7BA6DBB6" w14:textId="4CF23224" w:rsidR="0080019C" w:rsidRDefault="0080019C" w:rsidP="00F74602">
      <w:pPr>
        <w:tabs>
          <w:tab w:val="num" w:pos="720"/>
        </w:tabs>
        <w:rPr>
          <w:rFonts w:ascii="Arial" w:hAnsi="Arial" w:cs="Arial"/>
          <w:sz w:val="22"/>
          <w:szCs w:val="22"/>
        </w:rPr>
      </w:pPr>
    </w:p>
    <w:p w14:paraId="4B47D29F" w14:textId="77777777" w:rsidR="0080019C" w:rsidRPr="003A32A8" w:rsidRDefault="0080019C" w:rsidP="0080019C">
      <w:pPr>
        <w:spacing w:afterLines="40" w:after="96"/>
        <w:jc w:val="both"/>
        <w:rPr>
          <w:rFonts w:ascii="Arial" w:hAnsi="Arial" w:cs="Arial"/>
          <w:b/>
          <w:i/>
          <w:sz w:val="22"/>
          <w:szCs w:val="22"/>
        </w:rPr>
      </w:pPr>
      <w:r>
        <w:rPr>
          <w:rFonts w:ascii="Arial" w:hAnsi="Arial" w:cs="Arial"/>
          <w:b/>
          <w:sz w:val="22"/>
          <w:szCs w:val="22"/>
          <w:lang w:val="en-GB"/>
        </w:rPr>
        <w:t>5</w:t>
      </w:r>
      <w:r w:rsidRPr="003A32A8">
        <w:rPr>
          <w:rFonts w:ascii="Arial" w:hAnsi="Arial" w:cs="Arial"/>
          <w:b/>
          <w:sz w:val="22"/>
          <w:szCs w:val="22"/>
        </w:rPr>
        <w:t>.</w:t>
      </w:r>
      <w:r>
        <w:rPr>
          <w:rFonts w:ascii="Arial" w:hAnsi="Arial" w:cs="Arial"/>
          <w:b/>
          <w:sz w:val="22"/>
          <w:szCs w:val="22"/>
          <w:lang w:val="en-GB"/>
        </w:rPr>
        <w:t>2</w:t>
      </w:r>
      <w:r w:rsidRPr="003A32A8">
        <w:rPr>
          <w:rFonts w:ascii="Arial" w:hAnsi="Arial" w:cs="Arial"/>
          <w:b/>
          <w:sz w:val="22"/>
          <w:szCs w:val="22"/>
        </w:rPr>
        <w:tab/>
      </w:r>
      <w:r>
        <w:rPr>
          <w:rFonts w:ascii="Arial" w:hAnsi="Arial" w:cs="Arial"/>
          <w:b/>
          <w:smallCaps/>
          <w:sz w:val="22"/>
          <w:szCs w:val="22"/>
          <w:lang w:val="en-GB"/>
        </w:rPr>
        <w:t>Expenditure By Function</w:t>
      </w:r>
    </w:p>
    <w:p w14:paraId="36D0BEAF" w14:textId="77777777" w:rsidR="0053465A" w:rsidRDefault="0053465A" w:rsidP="0053465A">
      <w:pPr>
        <w:spacing w:beforeLines="40" w:before="96" w:afterLines="40" w:after="96"/>
        <w:jc w:val="both"/>
        <w:rPr>
          <w:rFonts w:ascii="Arial" w:hAnsi="Arial" w:cs="Arial"/>
          <w:sz w:val="22"/>
          <w:szCs w:val="22"/>
        </w:rPr>
      </w:pPr>
      <w:r>
        <w:rPr>
          <w:rFonts w:ascii="Arial" w:hAnsi="Arial" w:cs="Arial"/>
          <w:sz w:val="22"/>
          <w:szCs w:val="22"/>
        </w:rPr>
        <w:t xml:space="preserve">This section highlights the spending priorities of the consolidated general government, based on the </w:t>
      </w:r>
      <w:r w:rsidRPr="00232DC7">
        <w:rPr>
          <w:rFonts w:ascii="Arial" w:hAnsi="Arial" w:cs="Arial"/>
          <w:sz w:val="22"/>
          <w:szCs w:val="22"/>
        </w:rPr>
        <w:t>Classification of the Functions of Government (COFOG)</w:t>
      </w:r>
      <w:r>
        <w:rPr>
          <w:rFonts w:ascii="Arial" w:hAnsi="Arial" w:cs="Arial"/>
          <w:sz w:val="22"/>
          <w:szCs w:val="22"/>
        </w:rPr>
        <w:t>.</w:t>
      </w:r>
      <w:r w:rsidRPr="003E711B">
        <w:rPr>
          <w:rFonts w:ascii="Arial" w:hAnsi="Arial" w:cs="Arial"/>
          <w:sz w:val="22"/>
          <w:szCs w:val="22"/>
        </w:rPr>
        <w:t xml:space="preserve"> </w:t>
      </w:r>
    </w:p>
    <w:p w14:paraId="013002F0" w14:textId="4B9CCA9C" w:rsidR="0053465A" w:rsidRDefault="0053465A" w:rsidP="0053465A">
      <w:pPr>
        <w:spacing w:beforeLines="40" w:before="96" w:afterLines="40" w:after="96"/>
        <w:jc w:val="both"/>
        <w:rPr>
          <w:rFonts w:ascii="Arial" w:hAnsi="Arial" w:cs="Arial"/>
          <w:sz w:val="22"/>
          <w:szCs w:val="22"/>
        </w:rPr>
      </w:pPr>
      <w:r w:rsidRPr="003A32A8">
        <w:rPr>
          <w:rFonts w:ascii="Arial" w:hAnsi="Arial" w:cs="Arial"/>
          <w:sz w:val="22"/>
          <w:szCs w:val="22"/>
        </w:rPr>
        <w:t xml:space="preserve">The </w:t>
      </w:r>
      <w:r>
        <w:rPr>
          <w:rFonts w:ascii="Arial" w:hAnsi="Arial" w:cs="Arial"/>
          <w:sz w:val="22"/>
          <w:szCs w:val="22"/>
        </w:rPr>
        <w:t>functional distribution of expenditure in 2023/2024 indicates a clear focus on social priorities, with social protection, education and health together accounting for 53.4% of total expenditure.</w:t>
      </w:r>
      <w:r w:rsidRPr="00D10FB8">
        <w:rPr>
          <w:rFonts w:ascii="Arial" w:hAnsi="Arial" w:cs="Arial"/>
          <w:sz w:val="22"/>
          <w:szCs w:val="22"/>
        </w:rPr>
        <w:t xml:space="preserve"> </w:t>
      </w:r>
      <w:bookmarkStart w:id="8" w:name="_Hlk96610305"/>
      <w:r>
        <w:rPr>
          <w:rFonts w:ascii="Arial" w:hAnsi="Arial" w:cs="Arial"/>
          <w:sz w:val="22"/>
          <w:szCs w:val="22"/>
        </w:rPr>
        <w:t xml:space="preserve">The largest allocation was devoted to </w:t>
      </w:r>
      <w:r w:rsidRPr="00391F71">
        <w:rPr>
          <w:rFonts w:ascii="Arial" w:hAnsi="Arial" w:cs="Arial"/>
          <w:b/>
          <w:bCs/>
          <w:sz w:val="22"/>
          <w:szCs w:val="22"/>
        </w:rPr>
        <w:t>social protection</w:t>
      </w:r>
      <w:r>
        <w:rPr>
          <w:rFonts w:ascii="Arial" w:hAnsi="Arial" w:cs="Arial"/>
          <w:sz w:val="22"/>
          <w:szCs w:val="22"/>
        </w:rPr>
        <w:t xml:space="preserve"> (Rs 79.5 billion), </w:t>
      </w:r>
      <w:bookmarkEnd w:id="8"/>
      <w:r>
        <w:rPr>
          <w:rFonts w:ascii="Arial" w:hAnsi="Arial" w:cs="Arial"/>
          <w:sz w:val="22"/>
          <w:szCs w:val="22"/>
        </w:rPr>
        <w:t xml:space="preserve">of which old-age benefits (Rs 40.3 billion) represented the most significant component. </w:t>
      </w:r>
      <w:r w:rsidRPr="00391F71">
        <w:rPr>
          <w:rFonts w:ascii="Arial" w:hAnsi="Arial" w:cs="Arial"/>
          <w:b/>
          <w:bCs/>
          <w:sz w:val="22"/>
          <w:szCs w:val="22"/>
        </w:rPr>
        <w:t>Education</w:t>
      </w:r>
      <w:r>
        <w:rPr>
          <w:rFonts w:ascii="Arial" w:hAnsi="Arial" w:cs="Arial"/>
          <w:sz w:val="22"/>
          <w:szCs w:val="22"/>
        </w:rPr>
        <w:t xml:space="preserve"> (Rs 23.4 billion) accounted for a significant share of spending and was distributed across different levels, including pre-primary and primary (Rs 5.3 billion), secondary (Rs 5.1 billion) and tertiary (Rs 2.6 billion). Expenditure on </w:t>
      </w:r>
      <w:r w:rsidRPr="00391F71">
        <w:rPr>
          <w:rFonts w:ascii="Arial" w:hAnsi="Arial" w:cs="Arial"/>
          <w:b/>
          <w:bCs/>
          <w:sz w:val="22"/>
          <w:szCs w:val="22"/>
        </w:rPr>
        <w:t>health</w:t>
      </w:r>
      <w:r>
        <w:rPr>
          <w:rFonts w:ascii="Arial" w:hAnsi="Arial" w:cs="Arial"/>
          <w:sz w:val="22"/>
          <w:szCs w:val="22"/>
        </w:rPr>
        <w:t xml:space="preserve"> (Rs 18.2 billion) w</w:t>
      </w:r>
      <w:r w:rsidR="00440C80">
        <w:rPr>
          <w:rFonts w:ascii="Arial" w:hAnsi="Arial" w:cs="Arial"/>
          <w:sz w:val="22"/>
          <w:szCs w:val="22"/>
        </w:rPr>
        <w:t>as</w:t>
      </w:r>
      <w:r>
        <w:rPr>
          <w:rFonts w:ascii="Arial" w:hAnsi="Arial" w:cs="Arial"/>
          <w:sz w:val="22"/>
          <w:szCs w:val="22"/>
        </w:rPr>
        <w:t xml:space="preserve"> mostly concentrated in hospital</w:t>
      </w:r>
      <w:r w:rsidR="00440C80">
        <w:rPr>
          <w:rFonts w:ascii="Arial" w:hAnsi="Arial" w:cs="Arial"/>
          <w:sz w:val="22"/>
          <w:szCs w:val="22"/>
        </w:rPr>
        <w:t xml:space="preserve">-based healthcare provision </w:t>
      </w:r>
      <w:r>
        <w:rPr>
          <w:rFonts w:ascii="Arial" w:hAnsi="Arial" w:cs="Arial"/>
          <w:sz w:val="22"/>
          <w:szCs w:val="22"/>
        </w:rPr>
        <w:t>(Rs 16.7 billion).</w:t>
      </w:r>
    </w:p>
    <w:p w14:paraId="29ED6FFB" w14:textId="2C492365" w:rsidR="0053465A" w:rsidRPr="00B52D96" w:rsidRDefault="0053465A" w:rsidP="0053465A">
      <w:pPr>
        <w:spacing w:beforeLines="40" w:before="96" w:afterLines="40" w:after="96"/>
        <w:jc w:val="both"/>
        <w:rPr>
          <w:rFonts w:ascii="Arial" w:hAnsi="Arial" w:cs="Arial"/>
          <w:sz w:val="22"/>
          <w:szCs w:val="22"/>
        </w:rPr>
      </w:pPr>
      <w:r w:rsidRPr="006D20C5">
        <w:rPr>
          <w:rFonts w:ascii="Arial" w:hAnsi="Arial" w:cs="Arial"/>
          <w:sz w:val="22"/>
          <w:szCs w:val="22"/>
        </w:rPr>
        <w:t xml:space="preserve">At the same time, </w:t>
      </w:r>
      <w:r>
        <w:rPr>
          <w:rFonts w:ascii="Arial" w:hAnsi="Arial" w:cs="Arial"/>
          <w:sz w:val="22"/>
          <w:szCs w:val="22"/>
        </w:rPr>
        <w:t>significant</w:t>
      </w:r>
      <w:r w:rsidRPr="006D20C5">
        <w:rPr>
          <w:rFonts w:ascii="Arial" w:hAnsi="Arial" w:cs="Arial"/>
          <w:sz w:val="22"/>
          <w:szCs w:val="22"/>
        </w:rPr>
        <w:t xml:space="preserve"> resources were also channeled into </w:t>
      </w:r>
      <w:r>
        <w:rPr>
          <w:rFonts w:ascii="Arial" w:hAnsi="Arial" w:cs="Arial"/>
          <w:sz w:val="22"/>
          <w:szCs w:val="22"/>
        </w:rPr>
        <w:t xml:space="preserve">other key areas to </w:t>
      </w:r>
      <w:r w:rsidRPr="006D20C5">
        <w:rPr>
          <w:rFonts w:ascii="Arial" w:hAnsi="Arial" w:cs="Arial"/>
          <w:sz w:val="22"/>
          <w:szCs w:val="22"/>
        </w:rPr>
        <w:t>balance</w:t>
      </w:r>
      <w:r>
        <w:rPr>
          <w:rFonts w:ascii="Arial" w:hAnsi="Arial" w:cs="Arial"/>
          <w:sz w:val="22"/>
          <w:szCs w:val="22"/>
        </w:rPr>
        <w:t xml:space="preserve"> growth with social development. </w:t>
      </w:r>
      <w:r w:rsidR="004E55CC" w:rsidRPr="004E55CC">
        <w:rPr>
          <w:rFonts w:ascii="Arial" w:hAnsi="Arial" w:cs="Arial"/>
          <w:b/>
          <w:bCs/>
          <w:sz w:val="22"/>
          <w:szCs w:val="22"/>
        </w:rPr>
        <w:t>G</w:t>
      </w:r>
      <w:r w:rsidRPr="00391F71">
        <w:rPr>
          <w:rFonts w:ascii="Arial" w:hAnsi="Arial" w:cs="Arial"/>
          <w:b/>
          <w:bCs/>
          <w:sz w:val="22"/>
          <w:szCs w:val="22"/>
        </w:rPr>
        <w:t>eneral public services</w:t>
      </w:r>
      <w:r w:rsidR="0001296C">
        <w:rPr>
          <w:rFonts w:ascii="Arial" w:hAnsi="Arial" w:cs="Arial"/>
          <w:sz w:val="22"/>
          <w:szCs w:val="22"/>
        </w:rPr>
        <w:t xml:space="preserve"> </w:t>
      </w:r>
      <w:r>
        <w:rPr>
          <w:rFonts w:ascii="Arial" w:hAnsi="Arial" w:cs="Arial"/>
          <w:sz w:val="22"/>
          <w:szCs w:val="22"/>
        </w:rPr>
        <w:t>(Rs 55.0 billion)</w:t>
      </w:r>
      <w:r w:rsidR="004E55CC">
        <w:rPr>
          <w:rFonts w:ascii="Arial" w:hAnsi="Arial" w:cs="Arial"/>
          <w:sz w:val="22"/>
          <w:szCs w:val="22"/>
        </w:rPr>
        <w:t xml:space="preserve"> were the second largest function</w:t>
      </w:r>
      <w:r>
        <w:rPr>
          <w:rFonts w:ascii="Arial" w:hAnsi="Arial" w:cs="Arial"/>
          <w:sz w:val="22"/>
          <w:szCs w:val="22"/>
        </w:rPr>
        <w:t>, largely directed towards e</w:t>
      </w:r>
      <w:r w:rsidRPr="00264FA5">
        <w:rPr>
          <w:rFonts w:ascii="Arial" w:hAnsi="Arial" w:cs="Arial"/>
          <w:sz w:val="22"/>
          <w:szCs w:val="22"/>
        </w:rPr>
        <w:t>xecutive and legislative organs, financial and fiscal affairs,</w:t>
      </w:r>
      <w:r>
        <w:rPr>
          <w:rFonts w:ascii="Arial" w:hAnsi="Arial" w:cs="Arial"/>
          <w:sz w:val="22"/>
          <w:szCs w:val="22"/>
        </w:rPr>
        <w:t xml:space="preserve"> and </w:t>
      </w:r>
      <w:r w:rsidRPr="00264FA5">
        <w:rPr>
          <w:rFonts w:ascii="Arial" w:hAnsi="Arial" w:cs="Arial"/>
          <w:sz w:val="22"/>
          <w:szCs w:val="22"/>
        </w:rPr>
        <w:t>external affairs</w:t>
      </w:r>
      <w:r>
        <w:rPr>
          <w:rFonts w:ascii="Arial" w:hAnsi="Arial" w:cs="Arial"/>
          <w:sz w:val="22"/>
          <w:szCs w:val="22"/>
        </w:rPr>
        <w:t xml:space="preserve"> (Rs 34.6 billion) </w:t>
      </w:r>
      <w:r w:rsidR="004E55CC">
        <w:rPr>
          <w:rFonts w:ascii="Arial" w:hAnsi="Arial" w:cs="Arial"/>
          <w:sz w:val="22"/>
          <w:szCs w:val="22"/>
        </w:rPr>
        <w:t>but with</w:t>
      </w:r>
      <w:r>
        <w:rPr>
          <w:rFonts w:ascii="Arial" w:hAnsi="Arial" w:cs="Arial"/>
          <w:sz w:val="22"/>
          <w:szCs w:val="22"/>
        </w:rPr>
        <w:t xml:space="preserve"> public debt </w:t>
      </w:r>
      <w:r w:rsidRPr="00264FA5">
        <w:rPr>
          <w:rFonts w:ascii="Arial" w:hAnsi="Arial" w:cs="Arial"/>
          <w:sz w:val="22"/>
          <w:szCs w:val="22"/>
        </w:rPr>
        <w:t>transactions</w:t>
      </w:r>
      <w:r>
        <w:rPr>
          <w:rFonts w:ascii="Arial" w:hAnsi="Arial" w:cs="Arial"/>
          <w:sz w:val="22"/>
          <w:szCs w:val="22"/>
        </w:rPr>
        <w:t xml:space="preserve"> </w:t>
      </w:r>
      <w:r w:rsidR="004E55CC">
        <w:rPr>
          <w:rFonts w:ascii="Arial" w:hAnsi="Arial" w:cs="Arial"/>
          <w:sz w:val="22"/>
          <w:szCs w:val="22"/>
        </w:rPr>
        <w:t>alone taking 6.7% of the budget</w:t>
      </w:r>
      <w:r w:rsidRPr="00F3385D">
        <w:rPr>
          <w:rFonts w:ascii="Arial" w:hAnsi="Arial" w:cs="Arial"/>
          <w:sz w:val="22"/>
          <w:szCs w:val="22"/>
        </w:rPr>
        <w:t>.</w:t>
      </w:r>
      <w:r>
        <w:rPr>
          <w:rFonts w:ascii="Arial" w:hAnsi="Arial" w:cs="Arial"/>
          <w:sz w:val="22"/>
          <w:szCs w:val="22"/>
        </w:rPr>
        <w:t xml:space="preserve"> </w:t>
      </w:r>
      <w:r w:rsidRPr="00391F71">
        <w:rPr>
          <w:rFonts w:ascii="Arial" w:hAnsi="Arial" w:cs="Arial"/>
          <w:b/>
          <w:bCs/>
          <w:sz w:val="22"/>
          <w:szCs w:val="22"/>
        </w:rPr>
        <w:t>Economic affairs</w:t>
      </w:r>
      <w:r>
        <w:rPr>
          <w:rFonts w:ascii="Arial" w:hAnsi="Arial" w:cs="Arial"/>
          <w:sz w:val="22"/>
          <w:szCs w:val="22"/>
        </w:rPr>
        <w:t xml:space="preserve"> (Rs 21.9 billion), </w:t>
      </w:r>
      <w:r w:rsidRPr="00391F71">
        <w:rPr>
          <w:rFonts w:ascii="Arial" w:hAnsi="Arial" w:cs="Arial"/>
          <w:b/>
          <w:bCs/>
          <w:sz w:val="22"/>
          <w:szCs w:val="22"/>
        </w:rPr>
        <w:t>public order and safety</w:t>
      </w:r>
      <w:r>
        <w:rPr>
          <w:rFonts w:ascii="Arial" w:hAnsi="Arial" w:cs="Arial"/>
          <w:sz w:val="22"/>
          <w:szCs w:val="22"/>
        </w:rPr>
        <w:t xml:space="preserve"> (Rs 14.3 billion) and </w:t>
      </w:r>
      <w:r w:rsidRPr="00391F71">
        <w:rPr>
          <w:rFonts w:ascii="Arial" w:hAnsi="Arial" w:cs="Arial"/>
          <w:b/>
          <w:bCs/>
          <w:sz w:val="22"/>
          <w:szCs w:val="22"/>
        </w:rPr>
        <w:t>housing and community amenities</w:t>
      </w:r>
      <w:r>
        <w:rPr>
          <w:rFonts w:ascii="Arial" w:hAnsi="Arial" w:cs="Arial"/>
          <w:sz w:val="22"/>
          <w:szCs w:val="22"/>
        </w:rPr>
        <w:t xml:space="preserve"> (Rs 6.3 billion) received notable shares. </w:t>
      </w:r>
      <w:r w:rsidR="004E55CC">
        <w:rPr>
          <w:rFonts w:ascii="Arial" w:hAnsi="Arial" w:cs="Arial"/>
          <w:sz w:val="22"/>
          <w:szCs w:val="22"/>
        </w:rPr>
        <w:t>On the other hand, s</w:t>
      </w:r>
      <w:r>
        <w:rPr>
          <w:rFonts w:ascii="Arial" w:hAnsi="Arial" w:cs="Arial"/>
          <w:sz w:val="22"/>
          <w:szCs w:val="22"/>
        </w:rPr>
        <w:t xml:space="preserve">pending on </w:t>
      </w:r>
      <w:r w:rsidRPr="00391F71">
        <w:rPr>
          <w:rFonts w:ascii="Arial" w:hAnsi="Arial" w:cs="Arial"/>
          <w:b/>
          <w:bCs/>
          <w:sz w:val="22"/>
          <w:szCs w:val="22"/>
        </w:rPr>
        <w:t>environmental protection</w:t>
      </w:r>
      <w:r>
        <w:rPr>
          <w:rFonts w:ascii="Arial" w:hAnsi="Arial" w:cs="Arial"/>
          <w:sz w:val="22"/>
          <w:szCs w:val="22"/>
        </w:rPr>
        <w:t xml:space="preserve"> (Rs 4.4 billion) was relatively low despite growing environmental concerns, covering mainly water management (Rs 2.2 billion) and pollution abatement (Rs 1.5 billion). </w:t>
      </w:r>
      <w:r w:rsidR="004E55CC">
        <w:rPr>
          <w:rFonts w:ascii="Arial" w:hAnsi="Arial" w:cs="Arial"/>
          <w:sz w:val="22"/>
          <w:szCs w:val="22"/>
        </w:rPr>
        <w:t xml:space="preserve">Finally, </w:t>
      </w:r>
      <w:r w:rsidR="004E55CC" w:rsidRPr="004E55CC">
        <w:rPr>
          <w:rFonts w:ascii="Arial" w:hAnsi="Arial" w:cs="Arial"/>
          <w:b/>
          <w:bCs/>
          <w:sz w:val="22"/>
          <w:szCs w:val="22"/>
        </w:rPr>
        <w:t>r</w:t>
      </w:r>
      <w:r w:rsidRPr="004E55CC">
        <w:rPr>
          <w:rFonts w:ascii="Arial" w:hAnsi="Arial" w:cs="Arial"/>
          <w:b/>
          <w:bCs/>
          <w:sz w:val="22"/>
          <w:szCs w:val="22"/>
        </w:rPr>
        <w:t>e</w:t>
      </w:r>
      <w:r w:rsidRPr="00391F71">
        <w:rPr>
          <w:rFonts w:ascii="Arial" w:hAnsi="Arial" w:cs="Arial"/>
          <w:b/>
          <w:bCs/>
          <w:sz w:val="22"/>
          <w:szCs w:val="22"/>
        </w:rPr>
        <w:t>creation, culture and religion</w:t>
      </w:r>
      <w:r>
        <w:rPr>
          <w:rFonts w:ascii="Arial" w:hAnsi="Arial" w:cs="Arial"/>
          <w:sz w:val="22"/>
          <w:szCs w:val="22"/>
        </w:rPr>
        <w:t xml:space="preserve"> (Rs 2.7 billion) and </w:t>
      </w:r>
      <w:r w:rsidRPr="00391F71">
        <w:rPr>
          <w:rFonts w:ascii="Arial" w:hAnsi="Arial" w:cs="Arial"/>
          <w:b/>
          <w:bCs/>
          <w:sz w:val="22"/>
          <w:szCs w:val="22"/>
        </w:rPr>
        <w:t>defense</w:t>
      </w:r>
      <w:r>
        <w:rPr>
          <w:rFonts w:ascii="Arial" w:hAnsi="Arial" w:cs="Arial"/>
          <w:sz w:val="22"/>
          <w:szCs w:val="22"/>
        </w:rPr>
        <w:t xml:space="preserve"> (Rs 0.9 billion) were allocated comparatively modest resources</w:t>
      </w:r>
      <w:r w:rsidR="0084605E">
        <w:rPr>
          <w:rFonts w:ascii="Arial" w:hAnsi="Arial" w:cs="Arial"/>
          <w:sz w:val="22"/>
          <w:szCs w:val="22"/>
        </w:rPr>
        <w:t xml:space="preserve"> (Table 5)</w:t>
      </w:r>
      <w:r>
        <w:rPr>
          <w:rFonts w:ascii="Arial" w:hAnsi="Arial" w:cs="Arial"/>
          <w:sz w:val="22"/>
          <w:szCs w:val="22"/>
        </w:rPr>
        <w:t>.</w:t>
      </w:r>
    </w:p>
    <w:p w14:paraId="7F4D5CD8" w14:textId="3E859F7F" w:rsidR="00A819C8" w:rsidRDefault="004C4037" w:rsidP="00A117C6">
      <w:pPr>
        <w:spacing w:beforeLines="40" w:before="96" w:afterLines="40" w:after="96"/>
        <w:jc w:val="center"/>
      </w:pPr>
      <w:r w:rsidRPr="004C4037">
        <w:rPr>
          <w:noProof/>
        </w:rPr>
        <w:drawing>
          <wp:inline distT="0" distB="0" distL="0" distR="0" wp14:anchorId="628471F4" wp14:editId="746F1A41">
            <wp:extent cx="6189345" cy="303276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9345" cy="3032760"/>
                    </a:xfrm>
                    <a:prstGeom prst="rect">
                      <a:avLst/>
                    </a:prstGeom>
                    <a:noFill/>
                    <a:ln>
                      <a:noFill/>
                    </a:ln>
                  </pic:spPr>
                </pic:pic>
              </a:graphicData>
            </a:graphic>
          </wp:inline>
        </w:drawing>
      </w:r>
    </w:p>
    <w:p w14:paraId="5B55808A" w14:textId="7ADAD8AA" w:rsidR="00415F9C" w:rsidRPr="00C82E71" w:rsidRDefault="00415F9C" w:rsidP="00415F9C">
      <w:pPr>
        <w:pStyle w:val="BodyText"/>
        <w:tabs>
          <w:tab w:val="clear" w:pos="8370"/>
        </w:tabs>
        <w:spacing w:beforeLines="40" w:before="96" w:afterLines="40" w:after="96" w:line="240" w:lineRule="auto"/>
        <w:rPr>
          <w:rFonts w:ascii="Arial" w:hAnsi="Arial" w:cs="Arial"/>
          <w:b/>
          <w:smallCaps/>
          <w:sz w:val="22"/>
          <w:szCs w:val="22"/>
          <w:lang w:val="en-GB"/>
        </w:rPr>
      </w:pPr>
      <w:r>
        <w:rPr>
          <w:rFonts w:ascii="Arial" w:hAnsi="Arial" w:cs="Arial"/>
          <w:b/>
          <w:smallCaps/>
          <w:sz w:val="22"/>
          <w:szCs w:val="22"/>
          <w:lang w:val="en-GB"/>
        </w:rPr>
        <w:lastRenderedPageBreak/>
        <w:t>6.</w:t>
      </w:r>
      <w:r>
        <w:rPr>
          <w:rFonts w:ascii="Arial" w:hAnsi="Arial" w:cs="Arial"/>
          <w:b/>
          <w:smallCaps/>
          <w:sz w:val="22"/>
          <w:szCs w:val="22"/>
          <w:lang w:val="en-GB"/>
        </w:rPr>
        <w:tab/>
      </w:r>
      <w:r w:rsidR="00CA292F">
        <w:rPr>
          <w:rFonts w:ascii="Arial" w:hAnsi="Arial" w:cs="Arial"/>
          <w:b/>
          <w:smallCaps/>
          <w:sz w:val="22"/>
          <w:szCs w:val="22"/>
          <w:lang w:val="en-US" w:eastAsia="en-US"/>
        </w:rPr>
        <w:t>Overall Fiscal Balance</w:t>
      </w:r>
    </w:p>
    <w:p w14:paraId="7A311DEC" w14:textId="3D76203B" w:rsidR="00415F9C" w:rsidRDefault="006262CA" w:rsidP="007B178B">
      <w:pPr>
        <w:tabs>
          <w:tab w:val="num" w:pos="720"/>
        </w:tabs>
        <w:spacing w:beforeLines="40" w:before="96" w:afterLines="40" w:after="96"/>
        <w:jc w:val="both"/>
        <w:rPr>
          <w:rFonts w:ascii="Arial" w:hAnsi="Arial" w:cs="Arial"/>
          <w:sz w:val="22"/>
          <w:szCs w:val="22"/>
        </w:rPr>
      </w:pPr>
      <w:r>
        <w:rPr>
          <w:rFonts w:ascii="Arial" w:hAnsi="Arial" w:cs="Arial"/>
          <w:sz w:val="22"/>
          <w:szCs w:val="22"/>
        </w:rPr>
        <w:t>T</w:t>
      </w:r>
      <w:r w:rsidR="00415F9C">
        <w:rPr>
          <w:rFonts w:ascii="Arial" w:hAnsi="Arial" w:cs="Arial"/>
          <w:sz w:val="22"/>
          <w:szCs w:val="22"/>
        </w:rPr>
        <w:t xml:space="preserve">he </w:t>
      </w:r>
      <w:r w:rsidR="007B178B">
        <w:rPr>
          <w:rFonts w:ascii="Arial" w:hAnsi="Arial" w:cs="Arial"/>
          <w:sz w:val="22"/>
          <w:szCs w:val="22"/>
        </w:rPr>
        <w:t xml:space="preserve">gross operating balance </w:t>
      </w:r>
      <w:r w:rsidR="00EE7AE8">
        <w:rPr>
          <w:rFonts w:ascii="Arial" w:hAnsi="Arial" w:cs="Arial"/>
          <w:sz w:val="22"/>
          <w:szCs w:val="22"/>
        </w:rPr>
        <w:t>reflect</w:t>
      </w:r>
      <w:r>
        <w:rPr>
          <w:rFonts w:ascii="Arial" w:hAnsi="Arial" w:cs="Arial"/>
          <w:sz w:val="22"/>
          <w:szCs w:val="22"/>
        </w:rPr>
        <w:t>s</w:t>
      </w:r>
      <w:r w:rsidR="007B178B">
        <w:rPr>
          <w:rFonts w:ascii="Arial" w:hAnsi="Arial" w:cs="Arial"/>
          <w:sz w:val="22"/>
          <w:szCs w:val="22"/>
        </w:rPr>
        <w:t xml:space="preserve"> operating performance</w:t>
      </w:r>
      <w:r>
        <w:rPr>
          <w:rFonts w:ascii="Arial" w:hAnsi="Arial" w:cs="Arial"/>
          <w:sz w:val="22"/>
          <w:szCs w:val="22"/>
        </w:rPr>
        <w:t xml:space="preserve"> but</w:t>
      </w:r>
      <w:r w:rsidR="007B178B">
        <w:rPr>
          <w:rFonts w:ascii="Arial" w:hAnsi="Arial" w:cs="Arial"/>
          <w:sz w:val="22"/>
          <w:szCs w:val="22"/>
        </w:rPr>
        <w:t xml:space="preserve"> does not</w:t>
      </w:r>
      <w:r>
        <w:rPr>
          <w:rFonts w:ascii="Arial" w:hAnsi="Arial" w:cs="Arial"/>
          <w:sz w:val="22"/>
          <w:szCs w:val="22"/>
        </w:rPr>
        <w:t xml:space="preserve"> capture</w:t>
      </w:r>
      <w:r w:rsidR="007B178B">
        <w:rPr>
          <w:rFonts w:ascii="Arial" w:hAnsi="Arial" w:cs="Arial"/>
          <w:sz w:val="22"/>
          <w:szCs w:val="22"/>
        </w:rPr>
        <w:t xml:space="preserve"> the full fiscal outcome. </w:t>
      </w:r>
      <w:r>
        <w:rPr>
          <w:rFonts w:ascii="Arial" w:hAnsi="Arial" w:cs="Arial"/>
          <w:sz w:val="22"/>
          <w:szCs w:val="22"/>
        </w:rPr>
        <w:t xml:space="preserve">For </w:t>
      </w:r>
      <w:r w:rsidR="00A465A6">
        <w:rPr>
          <w:rFonts w:ascii="Arial" w:hAnsi="Arial" w:cs="Arial"/>
          <w:sz w:val="22"/>
          <w:szCs w:val="22"/>
        </w:rPr>
        <w:t>a more comprehensive view</w:t>
      </w:r>
      <w:r>
        <w:rPr>
          <w:rFonts w:ascii="Arial" w:hAnsi="Arial" w:cs="Arial"/>
          <w:sz w:val="22"/>
          <w:szCs w:val="22"/>
        </w:rPr>
        <w:t>, t</w:t>
      </w:r>
      <w:r w:rsidR="007B178B">
        <w:rPr>
          <w:rFonts w:ascii="Arial" w:hAnsi="Arial" w:cs="Arial"/>
          <w:sz w:val="22"/>
          <w:szCs w:val="22"/>
        </w:rPr>
        <w:t xml:space="preserve">he overall fiscal balance </w:t>
      </w:r>
      <w:r w:rsidR="00A465A6">
        <w:rPr>
          <w:rFonts w:ascii="Arial" w:hAnsi="Arial" w:cs="Arial"/>
          <w:sz w:val="22"/>
          <w:szCs w:val="22"/>
        </w:rPr>
        <w:t>serve</w:t>
      </w:r>
      <w:r>
        <w:rPr>
          <w:rFonts w:ascii="Arial" w:hAnsi="Arial" w:cs="Arial"/>
          <w:sz w:val="22"/>
          <w:szCs w:val="22"/>
        </w:rPr>
        <w:t xml:space="preserve">s </w:t>
      </w:r>
      <w:r w:rsidR="00A465A6">
        <w:rPr>
          <w:rFonts w:ascii="Arial" w:hAnsi="Arial" w:cs="Arial"/>
          <w:sz w:val="22"/>
          <w:szCs w:val="22"/>
        </w:rPr>
        <w:t xml:space="preserve">as </w:t>
      </w:r>
      <w:r w:rsidR="007B178B">
        <w:rPr>
          <w:rFonts w:ascii="Arial" w:hAnsi="Arial" w:cs="Arial"/>
          <w:sz w:val="22"/>
          <w:szCs w:val="22"/>
        </w:rPr>
        <w:t xml:space="preserve">a </w:t>
      </w:r>
      <w:r>
        <w:rPr>
          <w:rFonts w:ascii="Arial" w:hAnsi="Arial" w:cs="Arial"/>
          <w:sz w:val="22"/>
          <w:szCs w:val="22"/>
        </w:rPr>
        <w:t xml:space="preserve">clearer </w:t>
      </w:r>
      <w:r w:rsidR="007B178B">
        <w:rPr>
          <w:rFonts w:ascii="Arial" w:hAnsi="Arial" w:cs="Arial"/>
          <w:sz w:val="22"/>
          <w:szCs w:val="22"/>
        </w:rPr>
        <w:t xml:space="preserve">measure of fiscal performance. It </w:t>
      </w:r>
      <w:r>
        <w:rPr>
          <w:rFonts w:ascii="Arial" w:hAnsi="Arial" w:cs="Arial"/>
          <w:sz w:val="22"/>
          <w:szCs w:val="22"/>
        </w:rPr>
        <w:t>represents</w:t>
      </w:r>
      <w:r w:rsidR="007B178B">
        <w:rPr>
          <w:rFonts w:ascii="Arial" w:hAnsi="Arial" w:cs="Arial"/>
          <w:sz w:val="22"/>
          <w:szCs w:val="22"/>
        </w:rPr>
        <w:t xml:space="preserve"> the difference between total income and total expenditure (including investment) and is referred to as </w:t>
      </w:r>
      <w:r w:rsidR="007B178B" w:rsidRPr="0068572C">
        <w:rPr>
          <w:rFonts w:ascii="Arial" w:hAnsi="Arial" w:cs="Arial"/>
          <w:b/>
          <w:bCs/>
          <w:sz w:val="22"/>
          <w:szCs w:val="22"/>
        </w:rPr>
        <w:t>‘net lending/net borrowing’</w:t>
      </w:r>
      <w:r w:rsidR="003E37FA" w:rsidRPr="003E37FA">
        <w:rPr>
          <w:rFonts w:ascii="Arial" w:hAnsi="Arial" w:cs="Arial"/>
          <w:sz w:val="22"/>
          <w:szCs w:val="22"/>
        </w:rPr>
        <w:t xml:space="preserve"> </w:t>
      </w:r>
      <w:r w:rsidR="003E37FA">
        <w:rPr>
          <w:rFonts w:ascii="Arial" w:hAnsi="Arial" w:cs="Arial"/>
          <w:sz w:val="22"/>
          <w:szCs w:val="22"/>
        </w:rPr>
        <w:t>in the GFS framework</w:t>
      </w:r>
      <w:r w:rsidR="007B178B">
        <w:rPr>
          <w:rFonts w:ascii="Arial" w:hAnsi="Arial" w:cs="Arial"/>
          <w:sz w:val="22"/>
          <w:szCs w:val="22"/>
        </w:rPr>
        <w:t>.</w:t>
      </w:r>
    </w:p>
    <w:p w14:paraId="2CB7F30E" w14:textId="74E12D90" w:rsidR="007B178B" w:rsidRDefault="006446CF" w:rsidP="008B57E1">
      <w:pPr>
        <w:tabs>
          <w:tab w:val="num" w:pos="720"/>
        </w:tabs>
        <w:spacing w:beforeLines="40" w:before="96" w:afterLines="40" w:after="96"/>
        <w:jc w:val="both"/>
        <w:rPr>
          <w:rFonts w:ascii="Arial" w:hAnsi="Arial" w:cs="Arial"/>
          <w:sz w:val="22"/>
          <w:szCs w:val="22"/>
        </w:rPr>
      </w:pPr>
      <w:r>
        <w:rPr>
          <w:rFonts w:ascii="Arial" w:hAnsi="Arial" w:cs="Arial"/>
          <w:sz w:val="22"/>
          <w:szCs w:val="22"/>
        </w:rPr>
        <w:t>In 2023/2024, t</w:t>
      </w:r>
      <w:r w:rsidR="00A93BAC">
        <w:rPr>
          <w:rFonts w:ascii="Arial" w:hAnsi="Arial" w:cs="Arial"/>
          <w:sz w:val="22"/>
          <w:szCs w:val="22"/>
        </w:rPr>
        <w:t xml:space="preserve">he overall fiscal balance </w:t>
      </w:r>
      <w:r w:rsidR="007C4C6A">
        <w:rPr>
          <w:rFonts w:ascii="Arial" w:hAnsi="Arial" w:cs="Arial"/>
          <w:sz w:val="22"/>
          <w:szCs w:val="22"/>
        </w:rPr>
        <w:t>post</w:t>
      </w:r>
      <w:r w:rsidR="00A93BAC">
        <w:rPr>
          <w:rFonts w:ascii="Arial" w:hAnsi="Arial" w:cs="Arial"/>
          <w:sz w:val="22"/>
          <w:szCs w:val="22"/>
        </w:rPr>
        <w:t>ed a negative balance</w:t>
      </w:r>
      <w:r w:rsidR="007C4C6A">
        <w:rPr>
          <w:rFonts w:ascii="Arial" w:hAnsi="Arial" w:cs="Arial"/>
          <w:sz w:val="22"/>
          <w:szCs w:val="22"/>
        </w:rPr>
        <w:t xml:space="preserve"> </w:t>
      </w:r>
      <w:r w:rsidR="008B57E1">
        <w:rPr>
          <w:rFonts w:ascii="Arial" w:hAnsi="Arial" w:cs="Arial"/>
          <w:sz w:val="22"/>
          <w:szCs w:val="22"/>
        </w:rPr>
        <w:t xml:space="preserve">as total expenditure (Rs </w:t>
      </w:r>
      <w:r w:rsidR="00A93BAC">
        <w:rPr>
          <w:rFonts w:ascii="Arial" w:hAnsi="Arial" w:cs="Arial"/>
          <w:sz w:val="22"/>
          <w:szCs w:val="22"/>
        </w:rPr>
        <w:t>226.7 billion</w:t>
      </w:r>
      <w:r w:rsidR="008B57E1">
        <w:rPr>
          <w:rFonts w:ascii="Arial" w:hAnsi="Arial" w:cs="Arial"/>
          <w:sz w:val="22"/>
          <w:szCs w:val="22"/>
        </w:rPr>
        <w:t>) exceeded total revenue (Rs</w:t>
      </w:r>
      <w:r w:rsidR="00A93BAC">
        <w:rPr>
          <w:rFonts w:ascii="Arial" w:hAnsi="Arial" w:cs="Arial"/>
          <w:sz w:val="22"/>
          <w:szCs w:val="22"/>
        </w:rPr>
        <w:t xml:space="preserve"> 170.4 billion</w:t>
      </w:r>
      <w:r w:rsidR="008B57E1">
        <w:rPr>
          <w:rFonts w:ascii="Arial" w:hAnsi="Arial" w:cs="Arial"/>
          <w:sz w:val="22"/>
          <w:szCs w:val="22"/>
        </w:rPr>
        <w:t>)</w:t>
      </w:r>
      <w:r w:rsidR="007C4C6A">
        <w:rPr>
          <w:rFonts w:ascii="Arial" w:hAnsi="Arial" w:cs="Arial"/>
          <w:sz w:val="22"/>
          <w:szCs w:val="22"/>
        </w:rPr>
        <w:t>, resulting in a fiscal deficit</w:t>
      </w:r>
      <w:r w:rsidR="008B57E1">
        <w:rPr>
          <w:rFonts w:ascii="Arial" w:hAnsi="Arial" w:cs="Arial"/>
          <w:sz w:val="22"/>
          <w:szCs w:val="22"/>
        </w:rPr>
        <w:t xml:space="preserve">. </w:t>
      </w:r>
      <w:r>
        <w:rPr>
          <w:rFonts w:ascii="Arial" w:hAnsi="Arial" w:cs="Arial"/>
          <w:sz w:val="22"/>
          <w:szCs w:val="22"/>
        </w:rPr>
        <w:t>Day-to-day operations alone recorded</w:t>
      </w:r>
      <w:r w:rsidR="00FE160E">
        <w:rPr>
          <w:rFonts w:ascii="Arial" w:hAnsi="Arial" w:cs="Arial"/>
          <w:sz w:val="22"/>
          <w:szCs w:val="22"/>
        </w:rPr>
        <w:t xml:space="preserve"> a shortfall of Rs 44.3 billion</w:t>
      </w:r>
      <w:r>
        <w:rPr>
          <w:rFonts w:ascii="Arial" w:hAnsi="Arial" w:cs="Arial"/>
          <w:sz w:val="22"/>
          <w:szCs w:val="22"/>
        </w:rPr>
        <w:t>. When</w:t>
      </w:r>
      <w:r w:rsidR="00FE160E">
        <w:rPr>
          <w:rFonts w:ascii="Arial" w:hAnsi="Arial" w:cs="Arial"/>
          <w:sz w:val="22"/>
          <w:szCs w:val="22"/>
        </w:rPr>
        <w:t xml:space="preserve"> adding gross investment of Rs 11.9 billion in non-financial assets</w:t>
      </w:r>
      <w:r>
        <w:rPr>
          <w:rFonts w:ascii="Arial" w:hAnsi="Arial" w:cs="Arial"/>
          <w:sz w:val="22"/>
          <w:szCs w:val="22"/>
        </w:rPr>
        <w:t>,</w:t>
      </w:r>
      <w:r w:rsidR="00FE160E">
        <w:rPr>
          <w:rFonts w:ascii="Arial" w:hAnsi="Arial" w:cs="Arial"/>
          <w:sz w:val="22"/>
          <w:szCs w:val="22"/>
        </w:rPr>
        <w:t xml:space="preserve"> </w:t>
      </w:r>
      <w:r>
        <w:rPr>
          <w:rFonts w:ascii="Arial" w:hAnsi="Arial" w:cs="Arial"/>
          <w:sz w:val="22"/>
          <w:szCs w:val="22"/>
        </w:rPr>
        <w:t>the gap widened to a</w:t>
      </w:r>
      <w:r w:rsidR="00FE160E">
        <w:rPr>
          <w:rFonts w:ascii="Arial" w:hAnsi="Arial" w:cs="Arial"/>
          <w:sz w:val="22"/>
          <w:szCs w:val="22"/>
        </w:rPr>
        <w:t xml:space="preserve"> net borrowing </w:t>
      </w:r>
      <w:r>
        <w:rPr>
          <w:rFonts w:ascii="Arial" w:hAnsi="Arial" w:cs="Arial"/>
          <w:sz w:val="22"/>
          <w:szCs w:val="22"/>
        </w:rPr>
        <w:t xml:space="preserve">requirement </w:t>
      </w:r>
      <w:r w:rsidR="00FE160E">
        <w:rPr>
          <w:rFonts w:ascii="Arial" w:hAnsi="Arial" w:cs="Arial"/>
          <w:sz w:val="22"/>
          <w:szCs w:val="22"/>
        </w:rPr>
        <w:t>of Rs 56.2 billion, up from Rs 36.6 billion in 2022/2023</w:t>
      </w:r>
      <w:r w:rsidR="0068572C">
        <w:rPr>
          <w:rFonts w:ascii="Arial" w:hAnsi="Arial" w:cs="Arial"/>
          <w:sz w:val="22"/>
          <w:szCs w:val="22"/>
        </w:rPr>
        <w:t xml:space="preserve"> (Table 1)</w:t>
      </w:r>
      <w:r w:rsidR="00FE160E">
        <w:rPr>
          <w:rFonts w:ascii="Arial" w:hAnsi="Arial" w:cs="Arial"/>
          <w:sz w:val="22"/>
          <w:szCs w:val="22"/>
        </w:rPr>
        <w:t xml:space="preserve">. </w:t>
      </w:r>
      <w:r w:rsidR="007C5DC4">
        <w:rPr>
          <w:rFonts w:ascii="Arial" w:hAnsi="Arial" w:cs="Arial"/>
          <w:sz w:val="22"/>
          <w:szCs w:val="22"/>
        </w:rPr>
        <w:t>As a share of</w:t>
      </w:r>
      <w:r w:rsidR="00FE160E">
        <w:rPr>
          <w:rFonts w:ascii="Arial" w:hAnsi="Arial" w:cs="Arial"/>
          <w:sz w:val="22"/>
          <w:szCs w:val="22"/>
        </w:rPr>
        <w:t xml:space="preserve"> GDP, </w:t>
      </w:r>
      <w:r>
        <w:rPr>
          <w:rFonts w:ascii="Arial" w:hAnsi="Arial" w:cs="Arial"/>
          <w:sz w:val="22"/>
          <w:szCs w:val="22"/>
        </w:rPr>
        <w:t>th</w:t>
      </w:r>
      <w:r w:rsidR="007C5DC4">
        <w:rPr>
          <w:rFonts w:ascii="Arial" w:hAnsi="Arial" w:cs="Arial"/>
          <w:sz w:val="22"/>
          <w:szCs w:val="22"/>
        </w:rPr>
        <w:t>e</w:t>
      </w:r>
      <w:r>
        <w:rPr>
          <w:rFonts w:ascii="Arial" w:hAnsi="Arial" w:cs="Arial"/>
          <w:sz w:val="22"/>
          <w:szCs w:val="22"/>
        </w:rPr>
        <w:t xml:space="preserve"> </w:t>
      </w:r>
      <w:r w:rsidR="007C5DC4">
        <w:rPr>
          <w:rFonts w:ascii="Arial" w:hAnsi="Arial" w:cs="Arial"/>
          <w:sz w:val="22"/>
          <w:szCs w:val="22"/>
        </w:rPr>
        <w:t>deficit expanded from</w:t>
      </w:r>
      <w:r w:rsidR="00FE160E">
        <w:rPr>
          <w:rFonts w:ascii="Arial" w:hAnsi="Arial" w:cs="Arial"/>
          <w:sz w:val="22"/>
          <w:szCs w:val="22"/>
        </w:rPr>
        <w:t xml:space="preserve"> 6.0% to 8.4%.</w:t>
      </w:r>
    </w:p>
    <w:p w14:paraId="5EC7194A" w14:textId="703F7819" w:rsidR="00C74AD5" w:rsidRDefault="00C74AD5" w:rsidP="001C2BFB">
      <w:pPr>
        <w:tabs>
          <w:tab w:val="num" w:pos="720"/>
        </w:tabs>
        <w:spacing w:beforeLines="40" w:before="96"/>
        <w:jc w:val="both"/>
        <w:rPr>
          <w:rFonts w:ascii="Arial" w:hAnsi="Arial" w:cs="Arial"/>
          <w:sz w:val="22"/>
          <w:szCs w:val="22"/>
        </w:rPr>
      </w:pPr>
      <w:r>
        <w:rPr>
          <w:rFonts w:ascii="Arial" w:hAnsi="Arial" w:cs="Arial"/>
          <w:sz w:val="22"/>
          <w:szCs w:val="22"/>
        </w:rPr>
        <w:t>Th</w:t>
      </w:r>
      <w:r w:rsidR="007C5DC4">
        <w:rPr>
          <w:rFonts w:ascii="Arial" w:hAnsi="Arial" w:cs="Arial"/>
          <w:sz w:val="22"/>
          <w:szCs w:val="22"/>
        </w:rPr>
        <w:t>is outcome placed the</w:t>
      </w:r>
      <w:r>
        <w:rPr>
          <w:rFonts w:ascii="Arial" w:hAnsi="Arial" w:cs="Arial"/>
          <w:sz w:val="22"/>
          <w:szCs w:val="22"/>
        </w:rPr>
        <w:t xml:space="preserve"> government </w:t>
      </w:r>
      <w:r w:rsidR="007C5DC4">
        <w:rPr>
          <w:rFonts w:ascii="Arial" w:hAnsi="Arial" w:cs="Arial"/>
          <w:sz w:val="22"/>
          <w:szCs w:val="22"/>
        </w:rPr>
        <w:t>firmly</w:t>
      </w:r>
      <w:r>
        <w:rPr>
          <w:rFonts w:ascii="Arial" w:hAnsi="Arial" w:cs="Arial"/>
          <w:sz w:val="22"/>
          <w:szCs w:val="22"/>
        </w:rPr>
        <w:t xml:space="preserve"> in a borrowing position </w:t>
      </w:r>
      <w:r w:rsidR="001F46EE">
        <w:rPr>
          <w:rFonts w:ascii="Arial" w:hAnsi="Arial" w:cs="Arial"/>
          <w:sz w:val="22"/>
          <w:szCs w:val="22"/>
        </w:rPr>
        <w:t>during the year under review</w:t>
      </w:r>
      <w:r w:rsidR="007C5DC4">
        <w:rPr>
          <w:rFonts w:ascii="Arial" w:hAnsi="Arial" w:cs="Arial"/>
          <w:sz w:val="22"/>
          <w:szCs w:val="22"/>
        </w:rPr>
        <w:t>, requiring</w:t>
      </w:r>
      <w:r>
        <w:rPr>
          <w:rFonts w:ascii="Arial" w:hAnsi="Arial" w:cs="Arial"/>
          <w:sz w:val="22"/>
          <w:szCs w:val="22"/>
        </w:rPr>
        <w:t xml:space="preserve"> </w:t>
      </w:r>
      <w:r w:rsidR="007C5DC4">
        <w:rPr>
          <w:rFonts w:ascii="Arial" w:hAnsi="Arial" w:cs="Arial"/>
          <w:sz w:val="22"/>
          <w:szCs w:val="22"/>
        </w:rPr>
        <w:t xml:space="preserve">additional </w:t>
      </w:r>
      <w:r>
        <w:rPr>
          <w:rFonts w:ascii="Arial" w:hAnsi="Arial" w:cs="Arial"/>
          <w:sz w:val="22"/>
          <w:szCs w:val="22"/>
        </w:rPr>
        <w:t xml:space="preserve">financial resources </w:t>
      </w:r>
      <w:r w:rsidR="007C5DC4">
        <w:rPr>
          <w:rFonts w:ascii="Arial" w:hAnsi="Arial" w:cs="Arial"/>
          <w:sz w:val="22"/>
          <w:szCs w:val="22"/>
        </w:rPr>
        <w:t xml:space="preserve">from </w:t>
      </w:r>
      <w:r>
        <w:rPr>
          <w:rFonts w:ascii="Arial" w:hAnsi="Arial" w:cs="Arial"/>
          <w:sz w:val="22"/>
          <w:szCs w:val="22"/>
        </w:rPr>
        <w:t xml:space="preserve">borrowing or other </w:t>
      </w:r>
      <w:r w:rsidR="007C5DC4">
        <w:rPr>
          <w:rFonts w:ascii="Arial" w:hAnsi="Arial" w:cs="Arial"/>
          <w:sz w:val="22"/>
          <w:szCs w:val="22"/>
        </w:rPr>
        <w:t>funding sources</w:t>
      </w:r>
      <w:r>
        <w:rPr>
          <w:rFonts w:ascii="Arial" w:hAnsi="Arial" w:cs="Arial"/>
          <w:sz w:val="22"/>
          <w:szCs w:val="22"/>
        </w:rPr>
        <w:t xml:space="preserve"> to </w:t>
      </w:r>
      <w:r w:rsidR="007C5DC4">
        <w:rPr>
          <w:rFonts w:ascii="Arial" w:hAnsi="Arial" w:cs="Arial"/>
          <w:sz w:val="22"/>
          <w:szCs w:val="22"/>
        </w:rPr>
        <w:t>bridge</w:t>
      </w:r>
      <w:r>
        <w:rPr>
          <w:rFonts w:ascii="Arial" w:hAnsi="Arial" w:cs="Arial"/>
          <w:sz w:val="22"/>
          <w:szCs w:val="22"/>
        </w:rPr>
        <w:t xml:space="preserve"> the gap between total revenue and total expenditure.</w:t>
      </w:r>
      <w:r w:rsidR="00A465A6">
        <w:rPr>
          <w:rFonts w:ascii="Arial" w:hAnsi="Arial" w:cs="Arial"/>
          <w:sz w:val="22"/>
          <w:szCs w:val="22"/>
        </w:rPr>
        <w:t xml:space="preserve"> This is further explained in the </w:t>
      </w:r>
      <w:r w:rsidR="00B10D71">
        <w:rPr>
          <w:rFonts w:ascii="Arial" w:hAnsi="Arial" w:cs="Arial"/>
          <w:sz w:val="22"/>
          <w:szCs w:val="22"/>
        </w:rPr>
        <w:t>following</w:t>
      </w:r>
      <w:r w:rsidR="00A465A6">
        <w:rPr>
          <w:rFonts w:ascii="Arial" w:hAnsi="Arial" w:cs="Arial"/>
          <w:sz w:val="22"/>
          <w:szCs w:val="22"/>
        </w:rPr>
        <w:t xml:space="preserve"> section.</w:t>
      </w:r>
    </w:p>
    <w:p w14:paraId="4955F2B3" w14:textId="77777777" w:rsidR="00415F9C" w:rsidRDefault="00415F9C" w:rsidP="001C2BFB">
      <w:pPr>
        <w:tabs>
          <w:tab w:val="num" w:pos="720"/>
        </w:tabs>
        <w:jc w:val="both"/>
        <w:rPr>
          <w:rFonts w:ascii="Arial" w:hAnsi="Arial" w:cs="Arial"/>
          <w:sz w:val="22"/>
          <w:szCs w:val="22"/>
        </w:rPr>
      </w:pPr>
      <w:r>
        <w:rPr>
          <w:rFonts w:ascii="Arial" w:hAnsi="Arial" w:cs="Arial"/>
          <w:sz w:val="22"/>
          <w:szCs w:val="22"/>
        </w:rPr>
        <w:t xml:space="preserve"> </w:t>
      </w:r>
    </w:p>
    <w:p w14:paraId="014CA28F" w14:textId="369CEB9E" w:rsidR="00415F9C" w:rsidRPr="003A32A8" w:rsidRDefault="001F46EE" w:rsidP="001C2BFB">
      <w:pPr>
        <w:spacing w:afterLines="40" w:after="96"/>
        <w:jc w:val="both"/>
        <w:rPr>
          <w:rFonts w:ascii="Arial" w:hAnsi="Arial" w:cs="Arial"/>
          <w:b/>
          <w:i/>
          <w:sz w:val="22"/>
          <w:szCs w:val="22"/>
        </w:rPr>
      </w:pPr>
      <w:r>
        <w:rPr>
          <w:rFonts w:ascii="Arial" w:hAnsi="Arial" w:cs="Arial"/>
          <w:b/>
          <w:sz w:val="22"/>
          <w:szCs w:val="22"/>
          <w:lang w:val="en-GB"/>
        </w:rPr>
        <w:t>7.</w:t>
      </w:r>
      <w:r w:rsidR="00415F9C" w:rsidRPr="003A32A8">
        <w:rPr>
          <w:rFonts w:ascii="Arial" w:hAnsi="Arial" w:cs="Arial"/>
          <w:b/>
          <w:sz w:val="22"/>
          <w:szCs w:val="22"/>
        </w:rPr>
        <w:tab/>
      </w:r>
      <w:r w:rsidR="000B65F0">
        <w:rPr>
          <w:rFonts w:ascii="Arial" w:hAnsi="Arial" w:cs="Arial"/>
          <w:b/>
          <w:smallCaps/>
          <w:sz w:val="22"/>
          <w:szCs w:val="22"/>
          <w:lang w:val="en-GB"/>
        </w:rPr>
        <w:t>Government Financing</w:t>
      </w:r>
    </w:p>
    <w:p w14:paraId="6589A4EF" w14:textId="22A9E2D7" w:rsidR="00F1786B" w:rsidRDefault="00621602" w:rsidP="003A32A8">
      <w:pPr>
        <w:spacing w:beforeLines="40" w:before="96" w:afterLines="40" w:after="96"/>
        <w:jc w:val="both"/>
        <w:rPr>
          <w:rFonts w:ascii="Arial" w:hAnsi="Arial" w:cs="Arial"/>
          <w:sz w:val="22"/>
          <w:szCs w:val="22"/>
        </w:rPr>
      </w:pPr>
      <w:r>
        <w:rPr>
          <w:rFonts w:ascii="Arial" w:hAnsi="Arial" w:cs="Arial"/>
          <w:sz w:val="22"/>
          <w:szCs w:val="22"/>
        </w:rPr>
        <w:t>A fiscal d</w:t>
      </w:r>
      <w:r w:rsidR="00A61687">
        <w:rPr>
          <w:rFonts w:ascii="Arial" w:hAnsi="Arial" w:cs="Arial"/>
          <w:sz w:val="22"/>
          <w:szCs w:val="22"/>
        </w:rPr>
        <w:t>eficit can be financed through several channels. The main methods include</w:t>
      </w:r>
      <w:r w:rsidR="007E396C">
        <w:rPr>
          <w:rFonts w:ascii="Arial" w:hAnsi="Arial" w:cs="Arial"/>
          <w:sz w:val="22"/>
          <w:szCs w:val="22"/>
        </w:rPr>
        <w:t xml:space="preserve"> </w:t>
      </w:r>
      <w:r w:rsidR="00A61687">
        <w:rPr>
          <w:rFonts w:ascii="Arial" w:hAnsi="Arial" w:cs="Arial"/>
          <w:sz w:val="22"/>
          <w:szCs w:val="22"/>
        </w:rPr>
        <w:t>borrowing from domestic markets, securing external financing</w:t>
      </w:r>
      <w:r w:rsidR="007E396C">
        <w:rPr>
          <w:rFonts w:ascii="Arial" w:hAnsi="Arial" w:cs="Arial"/>
          <w:sz w:val="22"/>
          <w:szCs w:val="22"/>
        </w:rPr>
        <w:t xml:space="preserve"> </w:t>
      </w:r>
      <w:r w:rsidR="00A61687">
        <w:rPr>
          <w:rFonts w:ascii="Arial" w:hAnsi="Arial" w:cs="Arial"/>
          <w:sz w:val="22"/>
          <w:szCs w:val="22"/>
        </w:rPr>
        <w:t xml:space="preserve">and </w:t>
      </w:r>
      <w:r w:rsidR="007E396C">
        <w:rPr>
          <w:rFonts w:ascii="Arial" w:hAnsi="Arial" w:cs="Arial"/>
          <w:sz w:val="22"/>
          <w:szCs w:val="22"/>
        </w:rPr>
        <w:t>drawing down financial assets</w:t>
      </w:r>
      <w:r w:rsidR="00A61687">
        <w:rPr>
          <w:rFonts w:ascii="Arial" w:hAnsi="Arial" w:cs="Arial"/>
          <w:sz w:val="22"/>
          <w:szCs w:val="22"/>
        </w:rPr>
        <w:t>.</w:t>
      </w:r>
    </w:p>
    <w:p w14:paraId="6AF14ED7" w14:textId="44E77FF8" w:rsidR="0053222A" w:rsidRPr="00393F98" w:rsidRDefault="003F7CE9" w:rsidP="003A32A8">
      <w:pPr>
        <w:spacing w:beforeLines="40" w:before="96" w:afterLines="40" w:after="96"/>
        <w:jc w:val="both"/>
        <w:rPr>
          <w:rFonts w:ascii="Arial" w:hAnsi="Arial" w:cs="Arial"/>
          <w:sz w:val="22"/>
          <w:szCs w:val="22"/>
        </w:rPr>
      </w:pPr>
      <w:r>
        <w:rPr>
          <w:rFonts w:ascii="Arial" w:hAnsi="Arial" w:cs="Arial"/>
          <w:sz w:val="22"/>
          <w:szCs w:val="22"/>
        </w:rPr>
        <w:t xml:space="preserve">The government adopted a </w:t>
      </w:r>
      <w:r w:rsidR="00B42777">
        <w:rPr>
          <w:rFonts w:ascii="Arial" w:hAnsi="Arial" w:cs="Arial"/>
          <w:sz w:val="22"/>
          <w:szCs w:val="22"/>
        </w:rPr>
        <w:t>dual financing</w:t>
      </w:r>
      <w:r>
        <w:rPr>
          <w:rFonts w:ascii="Arial" w:hAnsi="Arial" w:cs="Arial"/>
          <w:sz w:val="22"/>
          <w:szCs w:val="22"/>
        </w:rPr>
        <w:t xml:space="preserve"> strategy to finance the fiscal deficit </w:t>
      </w:r>
      <w:r w:rsidR="00B42777">
        <w:rPr>
          <w:rFonts w:ascii="Arial" w:hAnsi="Arial" w:cs="Arial"/>
          <w:sz w:val="22"/>
          <w:szCs w:val="22"/>
        </w:rPr>
        <w:t>for</w:t>
      </w:r>
      <w:r>
        <w:rPr>
          <w:rFonts w:ascii="Arial" w:hAnsi="Arial" w:cs="Arial"/>
          <w:sz w:val="22"/>
          <w:szCs w:val="22"/>
        </w:rPr>
        <w:t xml:space="preserve"> the year ended June 202</w:t>
      </w:r>
      <w:r w:rsidR="00B42777">
        <w:rPr>
          <w:rFonts w:ascii="Arial" w:hAnsi="Arial" w:cs="Arial"/>
          <w:sz w:val="22"/>
          <w:szCs w:val="22"/>
        </w:rPr>
        <w:t>4</w:t>
      </w:r>
      <w:r>
        <w:rPr>
          <w:rFonts w:ascii="Arial" w:hAnsi="Arial" w:cs="Arial"/>
          <w:sz w:val="22"/>
          <w:szCs w:val="22"/>
        </w:rPr>
        <w:t xml:space="preserve">. </w:t>
      </w:r>
      <w:r w:rsidR="00B42777">
        <w:rPr>
          <w:rFonts w:ascii="Arial" w:hAnsi="Arial" w:cs="Arial"/>
          <w:sz w:val="22"/>
          <w:szCs w:val="22"/>
        </w:rPr>
        <w:t>On one side, i</w:t>
      </w:r>
      <w:r>
        <w:rPr>
          <w:rFonts w:ascii="Arial" w:hAnsi="Arial" w:cs="Arial"/>
          <w:sz w:val="22"/>
          <w:szCs w:val="22"/>
        </w:rPr>
        <w:t xml:space="preserve">t ran down </w:t>
      </w:r>
      <w:r w:rsidR="00B42777">
        <w:rPr>
          <w:rFonts w:ascii="Arial" w:hAnsi="Arial" w:cs="Arial"/>
          <w:sz w:val="22"/>
          <w:szCs w:val="22"/>
        </w:rPr>
        <w:t xml:space="preserve">its </w:t>
      </w:r>
      <w:r>
        <w:rPr>
          <w:rFonts w:ascii="Arial" w:hAnsi="Arial" w:cs="Arial"/>
          <w:sz w:val="22"/>
          <w:szCs w:val="22"/>
        </w:rPr>
        <w:t xml:space="preserve">financial assets, </w:t>
      </w:r>
      <w:r w:rsidR="000D4AC6">
        <w:rPr>
          <w:rFonts w:ascii="Arial" w:hAnsi="Arial" w:cs="Arial"/>
          <w:sz w:val="22"/>
          <w:szCs w:val="22"/>
        </w:rPr>
        <w:t>primarily</w:t>
      </w:r>
      <w:r>
        <w:rPr>
          <w:rFonts w:ascii="Arial" w:hAnsi="Arial" w:cs="Arial"/>
          <w:sz w:val="22"/>
          <w:szCs w:val="22"/>
        </w:rPr>
        <w:t xml:space="preserve"> by reduc</w:t>
      </w:r>
      <w:r w:rsidR="00B42777">
        <w:rPr>
          <w:rFonts w:ascii="Arial" w:hAnsi="Arial" w:cs="Arial"/>
          <w:sz w:val="22"/>
          <w:szCs w:val="22"/>
        </w:rPr>
        <w:t>ing</w:t>
      </w:r>
      <w:r>
        <w:rPr>
          <w:rFonts w:ascii="Arial" w:hAnsi="Arial" w:cs="Arial"/>
          <w:sz w:val="22"/>
          <w:szCs w:val="22"/>
        </w:rPr>
        <w:t xml:space="preserve"> claims on domestic debtors (-Rs 22.9 billion)</w:t>
      </w:r>
      <w:r w:rsidR="002D7141">
        <w:rPr>
          <w:rFonts w:ascii="Arial" w:hAnsi="Arial" w:cs="Arial"/>
          <w:sz w:val="22"/>
          <w:szCs w:val="22"/>
        </w:rPr>
        <w:t>. On the other</w:t>
      </w:r>
      <w:r w:rsidR="000D4AC6">
        <w:rPr>
          <w:rFonts w:ascii="Arial" w:hAnsi="Arial" w:cs="Arial"/>
          <w:sz w:val="22"/>
          <w:szCs w:val="22"/>
        </w:rPr>
        <w:t xml:space="preserve"> side</w:t>
      </w:r>
      <w:r w:rsidR="002D7141">
        <w:rPr>
          <w:rFonts w:ascii="Arial" w:hAnsi="Arial" w:cs="Arial"/>
          <w:sz w:val="22"/>
          <w:szCs w:val="22"/>
        </w:rPr>
        <w:t xml:space="preserve">, it </w:t>
      </w:r>
      <w:r>
        <w:rPr>
          <w:rFonts w:ascii="Arial" w:hAnsi="Arial" w:cs="Arial"/>
          <w:sz w:val="22"/>
          <w:szCs w:val="22"/>
        </w:rPr>
        <w:t xml:space="preserve">relied </w:t>
      </w:r>
      <w:r w:rsidR="000D4AC6">
        <w:rPr>
          <w:rFonts w:ascii="Arial" w:hAnsi="Arial" w:cs="Arial"/>
          <w:sz w:val="22"/>
          <w:szCs w:val="22"/>
        </w:rPr>
        <w:t>significantly</w:t>
      </w:r>
      <w:r>
        <w:rPr>
          <w:rFonts w:ascii="Arial" w:hAnsi="Arial" w:cs="Arial"/>
          <w:sz w:val="22"/>
          <w:szCs w:val="22"/>
        </w:rPr>
        <w:t xml:space="preserve"> on domestic borrowing (Rs 40.4 billion)</w:t>
      </w:r>
      <w:r w:rsidR="002D7141">
        <w:rPr>
          <w:rFonts w:ascii="Arial" w:hAnsi="Arial" w:cs="Arial"/>
          <w:sz w:val="22"/>
          <w:szCs w:val="22"/>
        </w:rPr>
        <w:t>, while</w:t>
      </w:r>
      <w:r>
        <w:rPr>
          <w:rFonts w:ascii="Arial" w:hAnsi="Arial" w:cs="Arial"/>
          <w:sz w:val="22"/>
          <w:szCs w:val="22"/>
        </w:rPr>
        <w:t xml:space="preserve"> </w:t>
      </w:r>
      <w:r w:rsidR="000D4AC6">
        <w:rPr>
          <w:rFonts w:ascii="Arial" w:hAnsi="Arial" w:cs="Arial"/>
          <w:sz w:val="22"/>
          <w:szCs w:val="22"/>
        </w:rPr>
        <w:t xml:space="preserve">simultaneously </w:t>
      </w:r>
      <w:r w:rsidR="002D7141">
        <w:rPr>
          <w:rFonts w:ascii="Arial" w:hAnsi="Arial" w:cs="Arial"/>
          <w:sz w:val="22"/>
          <w:szCs w:val="22"/>
        </w:rPr>
        <w:t>managing to trim</w:t>
      </w:r>
      <w:r>
        <w:rPr>
          <w:rFonts w:ascii="Arial" w:hAnsi="Arial" w:cs="Arial"/>
          <w:sz w:val="22"/>
          <w:szCs w:val="22"/>
        </w:rPr>
        <w:t xml:space="preserve"> external debt obligations (-Rs 6.4 billion)</w:t>
      </w:r>
      <w:r w:rsidR="004F4016">
        <w:rPr>
          <w:rFonts w:ascii="Arial" w:hAnsi="Arial" w:cs="Arial"/>
          <w:sz w:val="22"/>
          <w:szCs w:val="22"/>
        </w:rPr>
        <w:t xml:space="preserve"> - Table 4</w:t>
      </w:r>
      <w:r>
        <w:rPr>
          <w:rFonts w:ascii="Arial" w:hAnsi="Arial" w:cs="Arial"/>
          <w:sz w:val="22"/>
          <w:szCs w:val="22"/>
        </w:rPr>
        <w:t>.</w:t>
      </w:r>
    </w:p>
    <w:p w14:paraId="2DCF7276" w14:textId="5ADFA3D0" w:rsidR="002853C7" w:rsidRPr="00393F98" w:rsidRDefault="00A80920" w:rsidP="003A32A8">
      <w:pPr>
        <w:spacing w:beforeLines="40" w:before="96" w:afterLines="40" w:after="96"/>
        <w:jc w:val="both"/>
        <w:rPr>
          <w:rFonts w:ascii="Arial" w:hAnsi="Arial" w:cs="Arial"/>
          <w:sz w:val="22"/>
          <w:szCs w:val="22"/>
        </w:rPr>
      </w:pPr>
      <w:r>
        <w:rPr>
          <w:rFonts w:ascii="Arial" w:hAnsi="Arial" w:cs="Arial"/>
          <w:sz w:val="22"/>
          <w:szCs w:val="22"/>
        </w:rPr>
        <w:t>Net acquisition of financial assets stood at -Rs 22.3 billion</w:t>
      </w:r>
      <w:r w:rsidR="00DE40C9">
        <w:rPr>
          <w:rFonts w:ascii="Arial" w:hAnsi="Arial" w:cs="Arial"/>
          <w:sz w:val="22"/>
          <w:szCs w:val="22"/>
        </w:rPr>
        <w:t xml:space="preserve"> in 2023/2024</w:t>
      </w:r>
      <w:r>
        <w:rPr>
          <w:rFonts w:ascii="Arial" w:hAnsi="Arial" w:cs="Arial"/>
          <w:sz w:val="22"/>
          <w:szCs w:val="22"/>
        </w:rPr>
        <w:t>, indicating a rundown of holdin</w:t>
      </w:r>
      <w:r w:rsidR="00DE40C9">
        <w:rPr>
          <w:rFonts w:ascii="Arial" w:hAnsi="Arial" w:cs="Arial"/>
          <w:sz w:val="22"/>
          <w:szCs w:val="22"/>
        </w:rPr>
        <w:t xml:space="preserve">gs. The contraction was mainly driven by a sharp fall in currency and deposits (-Rs </w:t>
      </w:r>
      <w:r w:rsidR="003E0956">
        <w:rPr>
          <w:rFonts w:ascii="Arial" w:hAnsi="Arial" w:cs="Arial"/>
          <w:sz w:val="22"/>
          <w:szCs w:val="22"/>
        </w:rPr>
        <w:t>26</w:t>
      </w:r>
      <w:r w:rsidR="00DE40C9">
        <w:rPr>
          <w:rFonts w:ascii="Arial" w:hAnsi="Arial" w:cs="Arial"/>
          <w:sz w:val="22"/>
          <w:szCs w:val="22"/>
        </w:rPr>
        <w:t>.</w:t>
      </w:r>
      <w:r w:rsidR="003E0956">
        <w:rPr>
          <w:rFonts w:ascii="Arial" w:hAnsi="Arial" w:cs="Arial"/>
          <w:sz w:val="22"/>
          <w:szCs w:val="22"/>
        </w:rPr>
        <w:t>7</w:t>
      </w:r>
      <w:r w:rsidR="00DE40C9">
        <w:rPr>
          <w:rFonts w:ascii="Arial" w:hAnsi="Arial" w:cs="Arial"/>
          <w:sz w:val="22"/>
          <w:szCs w:val="22"/>
        </w:rPr>
        <w:t xml:space="preserve"> billion). On the other hand, </w:t>
      </w:r>
      <w:r w:rsidR="00481F69">
        <w:rPr>
          <w:rFonts w:ascii="Arial" w:hAnsi="Arial" w:cs="Arial"/>
          <w:sz w:val="22"/>
          <w:szCs w:val="22"/>
        </w:rPr>
        <w:t>offsetting gains came from</w:t>
      </w:r>
      <w:r w:rsidR="00DE40C9">
        <w:rPr>
          <w:rFonts w:ascii="Arial" w:hAnsi="Arial" w:cs="Arial"/>
          <w:sz w:val="22"/>
          <w:szCs w:val="22"/>
        </w:rPr>
        <w:t xml:space="preserve"> equity and investment fund shares (Rs 4.2 billion) and other accounts receivable (Rs </w:t>
      </w:r>
      <w:r w:rsidR="003E0956">
        <w:rPr>
          <w:rFonts w:ascii="Arial" w:hAnsi="Arial" w:cs="Arial"/>
          <w:sz w:val="22"/>
          <w:szCs w:val="22"/>
        </w:rPr>
        <w:t>0</w:t>
      </w:r>
      <w:r w:rsidR="00DE40C9">
        <w:rPr>
          <w:rFonts w:ascii="Arial" w:hAnsi="Arial" w:cs="Arial"/>
          <w:sz w:val="22"/>
          <w:szCs w:val="22"/>
        </w:rPr>
        <w:t xml:space="preserve">.9 billion), with a modest rise in loans (Rs 0.3 billion). </w:t>
      </w:r>
    </w:p>
    <w:p w14:paraId="045AEE8A" w14:textId="498D760C" w:rsidR="00FD04F3" w:rsidRPr="00393F98" w:rsidRDefault="00DE40C9" w:rsidP="00393F98">
      <w:pPr>
        <w:pStyle w:val="BodyText"/>
        <w:tabs>
          <w:tab w:val="clear" w:pos="8370"/>
        </w:tabs>
        <w:spacing w:beforeLines="40" w:before="96" w:afterLines="40" w:after="96" w:line="240" w:lineRule="auto"/>
        <w:rPr>
          <w:rFonts w:ascii="Arial" w:hAnsi="Arial" w:cs="Arial"/>
          <w:sz w:val="22"/>
          <w:szCs w:val="22"/>
        </w:rPr>
      </w:pPr>
      <w:r>
        <w:rPr>
          <w:rFonts w:ascii="Arial" w:hAnsi="Arial" w:cs="Arial"/>
          <w:sz w:val="22"/>
          <w:szCs w:val="22"/>
          <w:lang w:val="en-GB"/>
        </w:rPr>
        <w:t>Net incurrence of liabilities amounted to Rs 33.9 billion in 2023/2024, reflecting new borrowing.</w:t>
      </w:r>
      <w:r w:rsidR="00F1786B">
        <w:rPr>
          <w:rFonts w:ascii="Arial" w:hAnsi="Arial" w:cs="Arial"/>
          <w:sz w:val="22"/>
          <w:szCs w:val="22"/>
          <w:lang w:val="en-GB"/>
        </w:rPr>
        <w:t xml:space="preserve"> </w:t>
      </w:r>
      <w:r>
        <w:rPr>
          <w:rFonts w:ascii="Arial" w:hAnsi="Arial" w:cs="Arial"/>
          <w:sz w:val="22"/>
          <w:szCs w:val="22"/>
          <w:lang w:val="en-GB"/>
        </w:rPr>
        <w:t>The main driver was debt securities (Rs 38.6 billion), underlining the government’s reliance on the domestic bond market. Additional increases came from loans (Rs 0.2 billion) and other accounts payable (Rs 1.9 billion)</w:t>
      </w:r>
      <w:r w:rsidR="003F14F8">
        <w:rPr>
          <w:rFonts w:ascii="Arial" w:hAnsi="Arial" w:cs="Arial"/>
          <w:sz w:val="22"/>
          <w:szCs w:val="22"/>
          <w:lang w:val="en-GB"/>
        </w:rPr>
        <w:t>,</w:t>
      </w:r>
      <w:r w:rsidR="000D655D">
        <w:rPr>
          <w:rFonts w:ascii="Arial" w:hAnsi="Arial" w:cs="Arial"/>
          <w:sz w:val="22"/>
          <w:szCs w:val="22"/>
          <w:lang w:val="en-GB"/>
        </w:rPr>
        <w:t xml:space="preserve"> partially offset by</w:t>
      </w:r>
      <w:r>
        <w:rPr>
          <w:rFonts w:ascii="Arial" w:hAnsi="Arial" w:cs="Arial"/>
          <w:sz w:val="22"/>
          <w:szCs w:val="22"/>
          <w:lang w:val="en-GB"/>
        </w:rPr>
        <w:t xml:space="preserve"> a reduction</w:t>
      </w:r>
      <w:r w:rsidR="003F14F8">
        <w:rPr>
          <w:rFonts w:ascii="Arial" w:hAnsi="Arial" w:cs="Arial"/>
          <w:sz w:val="22"/>
          <w:szCs w:val="22"/>
          <w:lang w:val="en-GB"/>
        </w:rPr>
        <w:t xml:space="preserve"> </w:t>
      </w:r>
      <w:r>
        <w:rPr>
          <w:rFonts w:ascii="Arial" w:hAnsi="Arial" w:cs="Arial"/>
          <w:sz w:val="22"/>
          <w:szCs w:val="22"/>
          <w:lang w:val="en-GB"/>
        </w:rPr>
        <w:t>in pension entitlements</w:t>
      </w:r>
      <w:r w:rsidR="003F14F8">
        <w:rPr>
          <w:rFonts w:ascii="Arial" w:hAnsi="Arial" w:cs="Arial"/>
          <w:sz w:val="22"/>
          <w:szCs w:val="22"/>
          <w:lang w:val="en-GB"/>
        </w:rPr>
        <w:t xml:space="preserve"> (-Rs 6.8 billion)</w:t>
      </w:r>
      <w:r>
        <w:rPr>
          <w:rFonts w:ascii="Arial" w:hAnsi="Arial" w:cs="Arial"/>
          <w:sz w:val="22"/>
          <w:szCs w:val="22"/>
          <w:lang w:val="en-GB"/>
        </w:rPr>
        <w:t>.</w:t>
      </w:r>
    </w:p>
    <w:p w14:paraId="127381C0" w14:textId="2EBF5E0D" w:rsidR="005B1D3A" w:rsidRDefault="00DE40C9" w:rsidP="001B66AA">
      <w:pPr>
        <w:pStyle w:val="BodyText"/>
        <w:tabs>
          <w:tab w:val="clear" w:pos="8370"/>
        </w:tabs>
        <w:spacing w:beforeLines="40" w:before="96" w:line="240" w:lineRule="auto"/>
        <w:rPr>
          <w:rFonts w:ascii="Arial" w:hAnsi="Arial" w:cs="Arial"/>
          <w:sz w:val="22"/>
          <w:szCs w:val="22"/>
          <w:lang w:val="en-US"/>
        </w:rPr>
      </w:pPr>
      <w:r>
        <w:rPr>
          <w:rFonts w:ascii="Arial" w:hAnsi="Arial" w:cs="Arial"/>
          <w:sz w:val="22"/>
          <w:szCs w:val="22"/>
          <w:lang w:val="en-US"/>
        </w:rPr>
        <w:t xml:space="preserve">Overall, financing </w:t>
      </w:r>
      <w:r w:rsidR="00BD0DA0">
        <w:rPr>
          <w:rFonts w:ascii="Arial" w:hAnsi="Arial" w:cs="Arial"/>
          <w:sz w:val="22"/>
          <w:szCs w:val="22"/>
          <w:lang w:val="en-US"/>
        </w:rPr>
        <w:t>activitie</w:t>
      </w:r>
      <w:r>
        <w:rPr>
          <w:rFonts w:ascii="Arial" w:hAnsi="Arial" w:cs="Arial"/>
          <w:sz w:val="22"/>
          <w:szCs w:val="22"/>
          <w:lang w:val="en-US"/>
        </w:rPr>
        <w:t xml:space="preserve">s </w:t>
      </w:r>
      <w:r w:rsidR="00BD0DA0">
        <w:rPr>
          <w:rFonts w:ascii="Arial" w:hAnsi="Arial" w:cs="Arial"/>
          <w:sz w:val="22"/>
          <w:szCs w:val="22"/>
          <w:lang w:val="en-US"/>
        </w:rPr>
        <w:t>led to a</w:t>
      </w:r>
      <w:r>
        <w:rPr>
          <w:rFonts w:ascii="Arial" w:hAnsi="Arial" w:cs="Arial"/>
          <w:sz w:val="22"/>
          <w:szCs w:val="22"/>
          <w:lang w:val="en-US"/>
        </w:rPr>
        <w:t xml:space="preserve"> net </w:t>
      </w:r>
      <w:r w:rsidR="00BD0DA0">
        <w:rPr>
          <w:rFonts w:ascii="Arial" w:hAnsi="Arial" w:cs="Arial"/>
          <w:sz w:val="22"/>
          <w:szCs w:val="22"/>
          <w:lang w:val="en-US"/>
        </w:rPr>
        <w:t>outflow</w:t>
      </w:r>
      <w:r w:rsidR="009613E1">
        <w:rPr>
          <w:rFonts w:ascii="Arial" w:hAnsi="Arial" w:cs="Arial"/>
          <w:sz w:val="22"/>
          <w:szCs w:val="22"/>
          <w:lang w:val="en-US"/>
        </w:rPr>
        <w:t xml:space="preserve"> </w:t>
      </w:r>
      <w:r w:rsidR="00BD0DA0">
        <w:rPr>
          <w:rFonts w:ascii="Arial" w:hAnsi="Arial" w:cs="Arial"/>
          <w:sz w:val="22"/>
          <w:szCs w:val="22"/>
          <w:lang w:val="en-US"/>
        </w:rPr>
        <w:t>of Rs 56.2 billion</w:t>
      </w:r>
      <w:r>
        <w:rPr>
          <w:rFonts w:ascii="Arial" w:hAnsi="Arial" w:cs="Arial"/>
          <w:sz w:val="22"/>
          <w:szCs w:val="22"/>
          <w:lang w:val="en-US"/>
        </w:rPr>
        <w:t xml:space="preserve">, </w:t>
      </w:r>
      <w:r w:rsidR="003F14F8">
        <w:rPr>
          <w:rFonts w:ascii="Arial" w:hAnsi="Arial" w:cs="Arial"/>
          <w:sz w:val="22"/>
          <w:szCs w:val="22"/>
          <w:lang w:val="en-US"/>
        </w:rPr>
        <w:t>consistent</w:t>
      </w:r>
      <w:r w:rsidR="00BD0DA0">
        <w:rPr>
          <w:rFonts w:ascii="Arial" w:hAnsi="Arial" w:cs="Arial"/>
          <w:sz w:val="22"/>
          <w:szCs w:val="22"/>
          <w:lang w:val="en-US"/>
        </w:rPr>
        <w:t xml:space="preserve"> </w:t>
      </w:r>
      <w:r>
        <w:rPr>
          <w:rFonts w:ascii="Arial" w:hAnsi="Arial" w:cs="Arial"/>
          <w:sz w:val="22"/>
          <w:szCs w:val="22"/>
          <w:lang w:val="en-US"/>
        </w:rPr>
        <w:t>with the fiscal deficit</w:t>
      </w:r>
      <w:r w:rsidR="00761A8D" w:rsidRPr="00761A8D">
        <w:rPr>
          <w:rFonts w:ascii="Arial" w:hAnsi="Arial" w:cs="Arial"/>
          <w:sz w:val="22"/>
          <w:szCs w:val="22"/>
          <w:lang w:val="en-US"/>
        </w:rPr>
        <w:t>.</w:t>
      </w:r>
    </w:p>
    <w:p w14:paraId="56211631" w14:textId="51B2E63A" w:rsidR="001B66AA" w:rsidRDefault="001B66AA" w:rsidP="001C2BFB">
      <w:pPr>
        <w:pStyle w:val="BodyText"/>
        <w:tabs>
          <w:tab w:val="clear" w:pos="8370"/>
        </w:tabs>
        <w:spacing w:line="240" w:lineRule="auto"/>
        <w:jc w:val="center"/>
        <w:rPr>
          <w:rFonts w:ascii="Arial" w:hAnsi="Arial" w:cs="Arial"/>
          <w:sz w:val="22"/>
          <w:szCs w:val="22"/>
        </w:rPr>
      </w:pPr>
    </w:p>
    <w:p w14:paraId="57372E6A" w14:textId="001245C0" w:rsidR="001C2BFB" w:rsidRDefault="00B56F93" w:rsidP="00140C42">
      <w:pPr>
        <w:pStyle w:val="BodyText"/>
        <w:tabs>
          <w:tab w:val="clear" w:pos="8370"/>
        </w:tabs>
        <w:spacing w:line="240" w:lineRule="auto"/>
        <w:jc w:val="left"/>
        <w:rPr>
          <w:rFonts w:ascii="Arial" w:hAnsi="Arial" w:cs="Arial"/>
          <w:sz w:val="22"/>
          <w:szCs w:val="22"/>
        </w:rPr>
      </w:pPr>
      <w:r w:rsidRPr="00B56F93">
        <w:rPr>
          <w:noProof/>
        </w:rPr>
        <w:drawing>
          <wp:inline distT="0" distB="0" distL="0" distR="0" wp14:anchorId="272F1776" wp14:editId="77AEC2DD">
            <wp:extent cx="3078480" cy="29946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8480" cy="2994660"/>
                    </a:xfrm>
                    <a:prstGeom prst="rect">
                      <a:avLst/>
                    </a:prstGeom>
                    <a:noFill/>
                    <a:ln>
                      <a:noFill/>
                    </a:ln>
                  </pic:spPr>
                </pic:pic>
              </a:graphicData>
            </a:graphic>
          </wp:inline>
        </w:drawing>
      </w:r>
      <w:r w:rsidRPr="00B56F93">
        <w:rPr>
          <w:noProof/>
        </w:rPr>
        <w:drawing>
          <wp:inline distT="0" distB="0" distL="0" distR="0" wp14:anchorId="03B763C7" wp14:editId="77F570B6">
            <wp:extent cx="3078480" cy="29946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8480" cy="2994660"/>
                    </a:xfrm>
                    <a:prstGeom prst="rect">
                      <a:avLst/>
                    </a:prstGeom>
                    <a:noFill/>
                    <a:ln>
                      <a:noFill/>
                    </a:ln>
                  </pic:spPr>
                </pic:pic>
              </a:graphicData>
            </a:graphic>
          </wp:inline>
        </w:drawing>
      </w:r>
    </w:p>
    <w:p w14:paraId="117C4249" w14:textId="77777777" w:rsidR="00B56F93" w:rsidRPr="00393F98" w:rsidRDefault="00B56F93" w:rsidP="00140C42">
      <w:pPr>
        <w:pStyle w:val="BodyText"/>
        <w:tabs>
          <w:tab w:val="clear" w:pos="8370"/>
        </w:tabs>
        <w:spacing w:line="240" w:lineRule="auto"/>
        <w:jc w:val="left"/>
        <w:rPr>
          <w:rFonts w:ascii="Arial" w:hAnsi="Arial" w:cs="Arial"/>
          <w:sz w:val="22"/>
          <w:szCs w:val="22"/>
        </w:rPr>
      </w:pPr>
    </w:p>
    <w:p w14:paraId="2ED26D2B" w14:textId="77777777" w:rsidR="00415F9C" w:rsidRPr="00C82E71" w:rsidRDefault="00415F9C" w:rsidP="001B66AA">
      <w:pPr>
        <w:pStyle w:val="BodyText"/>
        <w:tabs>
          <w:tab w:val="clear" w:pos="8370"/>
        </w:tabs>
        <w:spacing w:afterLines="40" w:after="96" w:line="240" w:lineRule="auto"/>
        <w:rPr>
          <w:rFonts w:ascii="Arial" w:hAnsi="Arial" w:cs="Arial"/>
          <w:b/>
          <w:smallCaps/>
          <w:sz w:val="22"/>
          <w:szCs w:val="22"/>
          <w:lang w:val="en-GB"/>
        </w:rPr>
      </w:pPr>
      <w:r>
        <w:rPr>
          <w:rFonts w:ascii="Arial" w:hAnsi="Arial" w:cs="Arial"/>
          <w:b/>
          <w:smallCaps/>
          <w:sz w:val="22"/>
          <w:szCs w:val="22"/>
          <w:lang w:val="en-GB"/>
        </w:rPr>
        <w:t>8.</w:t>
      </w:r>
      <w:r>
        <w:rPr>
          <w:rFonts w:ascii="Arial" w:hAnsi="Arial" w:cs="Arial"/>
          <w:b/>
          <w:smallCaps/>
          <w:sz w:val="22"/>
          <w:szCs w:val="22"/>
          <w:lang w:val="en-GB"/>
        </w:rPr>
        <w:tab/>
      </w:r>
      <w:r>
        <w:rPr>
          <w:rFonts w:ascii="Arial" w:hAnsi="Arial" w:cs="Arial"/>
          <w:b/>
          <w:smallCaps/>
          <w:sz w:val="22"/>
          <w:szCs w:val="22"/>
          <w:lang w:val="en-US" w:eastAsia="en-US"/>
        </w:rPr>
        <w:t>Debt and Link with the Deficit</w:t>
      </w:r>
    </w:p>
    <w:p w14:paraId="18728DF6" w14:textId="77777777" w:rsidR="00713871" w:rsidRDefault="00415F9C" w:rsidP="00713871">
      <w:pPr>
        <w:tabs>
          <w:tab w:val="num" w:pos="720"/>
        </w:tabs>
        <w:spacing w:beforeLines="40" w:before="96" w:afterLines="40" w:after="96"/>
        <w:jc w:val="both"/>
        <w:rPr>
          <w:rFonts w:ascii="Arial" w:hAnsi="Arial" w:cs="Arial"/>
          <w:sz w:val="22"/>
          <w:szCs w:val="22"/>
        </w:rPr>
      </w:pPr>
      <w:r>
        <w:rPr>
          <w:rFonts w:ascii="Arial" w:hAnsi="Arial" w:cs="Arial"/>
          <w:sz w:val="22"/>
          <w:szCs w:val="22"/>
        </w:rPr>
        <w:t>According to the Ministry of Finance, the general government debt stood at Rs 491.9 billion at the end of June 2024 compared to Rs 448.8 billion at the end of June 2023, representing a year-on-year increase of</w:t>
      </w:r>
      <w:r w:rsidR="001C2BFB">
        <w:rPr>
          <w:rFonts w:ascii="Arial" w:hAnsi="Arial" w:cs="Arial"/>
          <w:sz w:val="22"/>
          <w:szCs w:val="22"/>
        </w:rPr>
        <w:t xml:space="preserve"> </w:t>
      </w:r>
      <w:r w:rsidR="007D13E8">
        <w:rPr>
          <w:rFonts w:ascii="Arial" w:hAnsi="Arial" w:cs="Arial"/>
          <w:sz w:val="22"/>
          <w:szCs w:val="22"/>
        </w:rPr>
        <w:t xml:space="preserve">around </w:t>
      </w:r>
      <w:r>
        <w:rPr>
          <w:rFonts w:ascii="Arial" w:hAnsi="Arial" w:cs="Arial"/>
          <w:sz w:val="22"/>
          <w:szCs w:val="22"/>
        </w:rPr>
        <w:t>9.6%. Despite this increase in nominal debt, the debt-to-GDP ratio edged slightly down from 74.1% at the end of June 2023 to 73.8%</w:t>
      </w:r>
      <w:r w:rsidRPr="00DD3E99">
        <w:rPr>
          <w:rFonts w:ascii="Arial" w:hAnsi="Arial" w:cs="Arial"/>
          <w:sz w:val="22"/>
          <w:szCs w:val="22"/>
        </w:rPr>
        <w:t xml:space="preserve"> </w:t>
      </w:r>
      <w:r>
        <w:rPr>
          <w:rFonts w:ascii="Arial" w:hAnsi="Arial" w:cs="Arial"/>
          <w:sz w:val="22"/>
          <w:szCs w:val="22"/>
        </w:rPr>
        <w:t>at the end of June 2024.</w:t>
      </w:r>
      <w:r w:rsidR="00713871" w:rsidRPr="00713871">
        <w:rPr>
          <w:rFonts w:ascii="Arial" w:hAnsi="Arial" w:cs="Arial"/>
          <w:sz w:val="22"/>
          <w:szCs w:val="22"/>
        </w:rPr>
        <w:t xml:space="preserve"> </w:t>
      </w:r>
    </w:p>
    <w:p w14:paraId="3A460252" w14:textId="06EBA055" w:rsidR="00415F9C" w:rsidRDefault="00713871" w:rsidP="002D1D5E">
      <w:pPr>
        <w:tabs>
          <w:tab w:val="num" w:pos="720"/>
        </w:tabs>
        <w:spacing w:beforeLines="40" w:before="96"/>
        <w:jc w:val="both"/>
        <w:rPr>
          <w:rFonts w:ascii="Arial" w:hAnsi="Arial" w:cs="Arial"/>
          <w:sz w:val="22"/>
          <w:szCs w:val="22"/>
        </w:rPr>
      </w:pPr>
      <w:r>
        <w:rPr>
          <w:rFonts w:ascii="Arial" w:hAnsi="Arial" w:cs="Arial"/>
          <w:sz w:val="22"/>
          <w:szCs w:val="22"/>
        </w:rPr>
        <w:t>When the government runs a deficit in a given year, the level of debt increases in nominal terms.</w:t>
      </w:r>
      <w:r w:rsidRPr="000963BB">
        <w:t xml:space="preserve"> </w:t>
      </w:r>
      <w:r w:rsidRPr="000963BB">
        <w:rPr>
          <w:rFonts w:ascii="Arial" w:hAnsi="Arial" w:cs="Arial"/>
          <w:sz w:val="22"/>
          <w:szCs w:val="22"/>
        </w:rPr>
        <w:t>The stock of debt increased (Rs 43.1 billion) much slower than the recorded deficit (Rs 56.2 billion)</w:t>
      </w:r>
      <w:r>
        <w:rPr>
          <w:rFonts w:ascii="Arial" w:hAnsi="Arial" w:cs="Arial"/>
          <w:sz w:val="22"/>
          <w:szCs w:val="22"/>
        </w:rPr>
        <w:t xml:space="preserve"> during the year under review</w:t>
      </w:r>
      <w:r w:rsidRPr="000963BB">
        <w:rPr>
          <w:rFonts w:ascii="Arial" w:hAnsi="Arial" w:cs="Arial"/>
          <w:sz w:val="22"/>
          <w:szCs w:val="22"/>
        </w:rPr>
        <w:t>, reflecting some financial operations that offset part of the fiscal deficit.</w:t>
      </w:r>
    </w:p>
    <w:p w14:paraId="55B9097F" w14:textId="77777777" w:rsidR="001C2BFB" w:rsidRPr="00F032FF" w:rsidRDefault="001C2BFB" w:rsidP="002D1D5E">
      <w:pPr>
        <w:jc w:val="both"/>
        <w:rPr>
          <w:rFonts w:ascii="Arial" w:hAnsi="Arial" w:cs="Arial"/>
          <w:sz w:val="22"/>
          <w:szCs w:val="22"/>
        </w:rPr>
      </w:pPr>
    </w:p>
    <w:p w14:paraId="153B74A5" w14:textId="77777777" w:rsidR="00BF346A" w:rsidRPr="00C82E71" w:rsidRDefault="00BF346A" w:rsidP="002D1D5E">
      <w:pPr>
        <w:pStyle w:val="BodyText"/>
        <w:tabs>
          <w:tab w:val="clear" w:pos="8370"/>
        </w:tabs>
        <w:spacing w:afterLines="40" w:after="96" w:line="240" w:lineRule="auto"/>
        <w:rPr>
          <w:rFonts w:ascii="Arial" w:hAnsi="Arial" w:cs="Arial"/>
          <w:b/>
          <w:smallCaps/>
          <w:sz w:val="22"/>
          <w:szCs w:val="22"/>
          <w:lang w:val="en-GB"/>
        </w:rPr>
      </w:pPr>
      <w:r>
        <w:rPr>
          <w:rFonts w:ascii="Arial" w:hAnsi="Arial" w:cs="Arial"/>
          <w:b/>
          <w:smallCaps/>
          <w:sz w:val="22"/>
          <w:szCs w:val="22"/>
          <w:lang w:val="en-GB"/>
        </w:rPr>
        <w:t>9.</w:t>
      </w:r>
      <w:r>
        <w:rPr>
          <w:rFonts w:ascii="Arial" w:hAnsi="Arial" w:cs="Arial"/>
          <w:b/>
          <w:smallCaps/>
          <w:sz w:val="22"/>
          <w:szCs w:val="22"/>
          <w:lang w:val="en-GB"/>
        </w:rPr>
        <w:tab/>
      </w:r>
      <w:r>
        <w:rPr>
          <w:rFonts w:ascii="Arial" w:hAnsi="Arial" w:cs="Arial"/>
          <w:b/>
          <w:smallCaps/>
          <w:sz w:val="22"/>
          <w:szCs w:val="22"/>
          <w:lang w:val="en-US" w:eastAsia="en-US"/>
        </w:rPr>
        <w:t>International Comparisons</w:t>
      </w:r>
    </w:p>
    <w:p w14:paraId="24F6AD84" w14:textId="77777777" w:rsidR="00BF346A" w:rsidRPr="00551DFA" w:rsidRDefault="00BF346A" w:rsidP="00BF346A">
      <w:pPr>
        <w:tabs>
          <w:tab w:val="num" w:pos="720"/>
        </w:tabs>
        <w:spacing w:beforeLines="40" w:before="96" w:afterLines="40" w:after="96"/>
        <w:jc w:val="both"/>
        <w:rPr>
          <w:rFonts w:ascii="Arial" w:hAnsi="Arial" w:cs="Arial"/>
          <w:sz w:val="22"/>
          <w:szCs w:val="22"/>
        </w:rPr>
      </w:pPr>
      <w:r>
        <w:rPr>
          <w:rFonts w:ascii="Arial" w:hAnsi="Arial" w:cs="Arial"/>
          <w:sz w:val="22"/>
          <w:szCs w:val="22"/>
        </w:rPr>
        <w:t xml:space="preserve">This analysis benchmarks Mauritius’ government revenue against 36 African countries using the </w:t>
      </w:r>
      <w:r w:rsidRPr="005F3D78">
        <w:rPr>
          <w:rFonts w:ascii="Arial" w:hAnsi="Arial" w:cs="Arial"/>
          <w:b/>
          <w:bCs/>
          <w:sz w:val="22"/>
          <w:szCs w:val="22"/>
        </w:rPr>
        <w:t>OECD’s Revenue Statistics in Africa</w:t>
      </w:r>
      <w:r>
        <w:rPr>
          <w:rFonts w:ascii="Arial" w:hAnsi="Arial" w:cs="Arial"/>
          <w:sz w:val="22"/>
          <w:szCs w:val="22"/>
        </w:rPr>
        <w:t>, the most authoritative cross-country yardstick for comparable tax and non-tax data across the continent.</w:t>
      </w:r>
    </w:p>
    <w:p w14:paraId="266B770C" w14:textId="77777777" w:rsidR="00BF346A" w:rsidRDefault="00BF346A" w:rsidP="00BF346A">
      <w:pPr>
        <w:spacing w:beforeLines="40" w:before="96" w:afterLines="40" w:after="96"/>
        <w:jc w:val="both"/>
        <w:rPr>
          <w:rFonts w:ascii="Arial" w:hAnsi="Arial" w:cs="Arial"/>
          <w:sz w:val="22"/>
          <w:szCs w:val="22"/>
        </w:rPr>
      </w:pPr>
      <w:r>
        <w:rPr>
          <w:rFonts w:ascii="Arial" w:hAnsi="Arial" w:cs="Arial"/>
          <w:sz w:val="22"/>
          <w:szCs w:val="22"/>
        </w:rPr>
        <w:t>T</w:t>
      </w:r>
      <w:r w:rsidRPr="004A10BD">
        <w:rPr>
          <w:rFonts w:ascii="Arial" w:hAnsi="Arial" w:cs="Arial"/>
          <w:sz w:val="22"/>
          <w:szCs w:val="22"/>
        </w:rPr>
        <w:t>he 2024</w:t>
      </w:r>
      <w:r>
        <w:rPr>
          <w:rFonts w:ascii="Arial" w:hAnsi="Arial" w:cs="Arial"/>
          <w:sz w:val="22"/>
          <w:szCs w:val="22"/>
        </w:rPr>
        <w:t xml:space="preserve"> edition of the </w:t>
      </w:r>
      <w:r w:rsidRPr="004A10BD">
        <w:rPr>
          <w:rFonts w:ascii="Arial" w:hAnsi="Arial" w:cs="Arial"/>
          <w:sz w:val="22"/>
          <w:szCs w:val="22"/>
        </w:rPr>
        <w:t xml:space="preserve">OECD’s Revenue Statistics in Africa </w:t>
      </w:r>
      <w:r>
        <w:rPr>
          <w:rFonts w:ascii="Arial" w:hAnsi="Arial" w:cs="Arial"/>
          <w:sz w:val="22"/>
          <w:szCs w:val="22"/>
        </w:rPr>
        <w:t>provides the following key comparative insights into the structure of government revenues:</w:t>
      </w:r>
    </w:p>
    <w:p w14:paraId="03C2D5E3" w14:textId="77777777" w:rsidR="00BF346A" w:rsidRDefault="00BF346A" w:rsidP="00BF346A">
      <w:pPr>
        <w:pStyle w:val="ListParagraph"/>
        <w:numPr>
          <w:ilvl w:val="0"/>
          <w:numId w:val="12"/>
        </w:numPr>
        <w:spacing w:beforeLines="40" w:before="96" w:afterLines="40" w:after="96"/>
        <w:jc w:val="both"/>
        <w:rPr>
          <w:rFonts w:ascii="Arial" w:hAnsi="Arial" w:cs="Arial"/>
          <w:sz w:val="22"/>
          <w:szCs w:val="22"/>
        </w:rPr>
      </w:pPr>
      <w:r>
        <w:rPr>
          <w:rFonts w:ascii="Arial" w:hAnsi="Arial" w:cs="Arial"/>
          <w:sz w:val="22"/>
          <w:szCs w:val="22"/>
        </w:rPr>
        <w:t>In 2022, Mauritius achieved a tax-to-GDP ratio of 22.3%, positioning itself well above the 36-country African average of 16.0%;</w:t>
      </w:r>
    </w:p>
    <w:p w14:paraId="649426BA" w14:textId="77777777" w:rsidR="00BF346A" w:rsidRDefault="00BF346A" w:rsidP="00BF346A">
      <w:pPr>
        <w:pStyle w:val="ListParagraph"/>
        <w:numPr>
          <w:ilvl w:val="0"/>
          <w:numId w:val="12"/>
        </w:numPr>
        <w:spacing w:beforeLines="40" w:before="96" w:afterLines="40" w:after="96"/>
        <w:jc w:val="both"/>
        <w:rPr>
          <w:rFonts w:ascii="Arial" w:hAnsi="Arial" w:cs="Arial"/>
          <w:sz w:val="22"/>
          <w:szCs w:val="22"/>
        </w:rPr>
      </w:pPr>
      <w:r>
        <w:rPr>
          <w:rFonts w:ascii="Arial" w:hAnsi="Arial" w:cs="Arial"/>
          <w:sz w:val="22"/>
          <w:szCs w:val="22"/>
        </w:rPr>
        <w:t>The country collected more tax revenue relative to GDP than Senegal, Kenya, Rwanda, Zambia, Egypt, Ghana. Botswana, Uganda, Nigeria, though it remained below Tunisia, Morocco, Seychelles and South Africa;</w:t>
      </w:r>
    </w:p>
    <w:p w14:paraId="229E8F6E" w14:textId="73C87E8B" w:rsidR="00BF346A" w:rsidRDefault="00BF346A" w:rsidP="00BF346A">
      <w:pPr>
        <w:pStyle w:val="ListParagraph"/>
        <w:numPr>
          <w:ilvl w:val="0"/>
          <w:numId w:val="12"/>
        </w:numPr>
        <w:spacing w:beforeLines="40" w:before="96" w:afterLines="40" w:after="96"/>
        <w:jc w:val="both"/>
        <w:rPr>
          <w:rFonts w:ascii="Arial" w:hAnsi="Arial" w:cs="Arial"/>
          <w:sz w:val="22"/>
          <w:szCs w:val="22"/>
        </w:rPr>
      </w:pPr>
      <w:r>
        <w:rPr>
          <w:rFonts w:ascii="Arial" w:hAnsi="Arial" w:cs="Arial"/>
          <w:sz w:val="22"/>
          <w:szCs w:val="22"/>
        </w:rPr>
        <w:t>In 2022, VAT accounted for the largest share of Mauritius’ tax revenue at 33%, followed by other taxes on goods and services at 24%. This mirrors Africa’s trend, where such taxes contributed 51% on average</w:t>
      </w:r>
      <w:r w:rsidR="002673F4">
        <w:rPr>
          <w:rFonts w:ascii="Arial" w:hAnsi="Arial" w:cs="Arial"/>
          <w:sz w:val="22"/>
          <w:szCs w:val="22"/>
        </w:rPr>
        <w:t>;</w:t>
      </w:r>
    </w:p>
    <w:p w14:paraId="37F12AFB" w14:textId="77777777" w:rsidR="00BF346A" w:rsidRDefault="00BF346A" w:rsidP="00BF346A">
      <w:pPr>
        <w:pStyle w:val="ListParagraph"/>
        <w:numPr>
          <w:ilvl w:val="0"/>
          <w:numId w:val="12"/>
        </w:numPr>
        <w:spacing w:beforeLines="40" w:before="96" w:afterLines="40" w:after="96"/>
        <w:jc w:val="both"/>
        <w:rPr>
          <w:rFonts w:ascii="Arial" w:hAnsi="Arial" w:cs="Arial"/>
          <w:sz w:val="22"/>
          <w:szCs w:val="22"/>
        </w:rPr>
      </w:pPr>
      <w:r>
        <w:rPr>
          <w:rFonts w:ascii="Arial" w:hAnsi="Arial" w:cs="Arial"/>
          <w:sz w:val="22"/>
          <w:szCs w:val="22"/>
        </w:rPr>
        <w:t>On the other hand, non-tax revenue in Mauritius represented only 3.9% of GDP, considerably lower than the African average of 6.2% in 2022;</w:t>
      </w:r>
    </w:p>
    <w:p w14:paraId="3A0AA59E" w14:textId="5D779B6C" w:rsidR="00BF346A" w:rsidRDefault="00BF346A" w:rsidP="002D1D5E">
      <w:pPr>
        <w:pStyle w:val="ListParagraph"/>
        <w:numPr>
          <w:ilvl w:val="0"/>
          <w:numId w:val="12"/>
        </w:numPr>
        <w:spacing w:beforeLines="40" w:before="96"/>
        <w:ind w:left="714" w:hanging="357"/>
        <w:jc w:val="both"/>
        <w:rPr>
          <w:rFonts w:ascii="Arial" w:hAnsi="Arial" w:cs="Arial"/>
          <w:sz w:val="22"/>
          <w:szCs w:val="22"/>
        </w:rPr>
      </w:pPr>
      <w:r>
        <w:rPr>
          <w:rFonts w:ascii="Arial" w:hAnsi="Arial" w:cs="Arial"/>
          <w:sz w:val="22"/>
          <w:szCs w:val="22"/>
        </w:rPr>
        <w:t xml:space="preserve">Still, Mauritius outperformed Ghana, Morocco, Zambia, Senegal, Kenya, Uganda and South Africa in non-tax revenue as a share of GDP, but lagged behind Congo, Lesotho, Botswana, Namibia, Rwanda, </w:t>
      </w:r>
      <w:r w:rsidR="002F7DA1">
        <w:rPr>
          <w:rFonts w:ascii="Arial" w:hAnsi="Arial" w:cs="Arial"/>
          <w:sz w:val="22"/>
          <w:szCs w:val="22"/>
        </w:rPr>
        <w:t xml:space="preserve">Mozambique, </w:t>
      </w:r>
      <w:r>
        <w:rPr>
          <w:rFonts w:ascii="Arial" w:hAnsi="Arial" w:cs="Arial"/>
          <w:sz w:val="22"/>
          <w:szCs w:val="22"/>
        </w:rPr>
        <w:t>Seychelles, Egypt, Nigeria</w:t>
      </w:r>
      <w:r w:rsidR="002F7DA1">
        <w:rPr>
          <w:rFonts w:ascii="Arial" w:hAnsi="Arial" w:cs="Arial"/>
          <w:sz w:val="22"/>
          <w:szCs w:val="22"/>
        </w:rPr>
        <w:t xml:space="preserve">, </w:t>
      </w:r>
      <w:r>
        <w:rPr>
          <w:rFonts w:ascii="Arial" w:hAnsi="Arial" w:cs="Arial"/>
          <w:sz w:val="22"/>
          <w:szCs w:val="22"/>
        </w:rPr>
        <w:t>Tunisia</w:t>
      </w:r>
      <w:r w:rsidR="002F7DA1" w:rsidRPr="002F7DA1">
        <w:rPr>
          <w:rFonts w:ascii="Arial" w:hAnsi="Arial" w:cs="Arial"/>
          <w:sz w:val="22"/>
          <w:szCs w:val="22"/>
        </w:rPr>
        <w:t xml:space="preserve"> </w:t>
      </w:r>
      <w:r w:rsidR="002F7DA1">
        <w:rPr>
          <w:rFonts w:ascii="Arial" w:hAnsi="Arial" w:cs="Arial"/>
          <w:sz w:val="22"/>
          <w:szCs w:val="22"/>
        </w:rPr>
        <w:t>and</w:t>
      </w:r>
      <w:r w:rsidR="002F7DA1">
        <w:rPr>
          <w:rFonts w:ascii="Arial" w:hAnsi="Arial" w:cs="Arial"/>
          <w:sz w:val="22"/>
          <w:szCs w:val="22"/>
        </w:rPr>
        <w:t xml:space="preserve"> Cameroon</w:t>
      </w:r>
      <w:r>
        <w:rPr>
          <w:rFonts w:ascii="Arial" w:hAnsi="Arial" w:cs="Arial"/>
          <w:sz w:val="22"/>
          <w:szCs w:val="22"/>
        </w:rPr>
        <w:t>.</w:t>
      </w:r>
    </w:p>
    <w:p w14:paraId="6A65E216" w14:textId="77777777" w:rsidR="00F80DFA" w:rsidRPr="00F032FF" w:rsidRDefault="00F80DFA" w:rsidP="002D1D5E">
      <w:pPr>
        <w:jc w:val="both"/>
        <w:rPr>
          <w:rFonts w:ascii="Arial" w:hAnsi="Arial" w:cs="Arial"/>
          <w:sz w:val="22"/>
          <w:szCs w:val="22"/>
        </w:rPr>
      </w:pPr>
    </w:p>
    <w:p w14:paraId="33B0EAD9" w14:textId="7C0647EF" w:rsidR="004139A6" w:rsidRPr="00877C8A" w:rsidRDefault="00EA142F" w:rsidP="002D1D5E">
      <w:pPr>
        <w:keepLines/>
        <w:spacing w:afterLines="40" w:after="96"/>
        <w:jc w:val="both"/>
        <w:rPr>
          <w:rFonts w:ascii="Arial" w:hAnsi="Arial" w:cs="Arial"/>
          <w:b/>
          <w:smallCaps/>
          <w:sz w:val="22"/>
          <w:szCs w:val="22"/>
        </w:rPr>
      </w:pPr>
      <w:r>
        <w:rPr>
          <w:rFonts w:ascii="Arial" w:hAnsi="Arial" w:cs="Arial"/>
          <w:b/>
          <w:smallCaps/>
          <w:sz w:val="22"/>
          <w:szCs w:val="22"/>
        </w:rPr>
        <w:t>10</w:t>
      </w:r>
      <w:r w:rsidR="004139A6" w:rsidRPr="00877C8A">
        <w:rPr>
          <w:rFonts w:ascii="Arial" w:hAnsi="Arial" w:cs="Arial"/>
          <w:b/>
          <w:smallCaps/>
          <w:sz w:val="22"/>
          <w:szCs w:val="22"/>
        </w:rPr>
        <w:t>.</w:t>
      </w:r>
      <w:r w:rsidR="004139A6" w:rsidRPr="00877C8A">
        <w:rPr>
          <w:rFonts w:ascii="Arial" w:hAnsi="Arial" w:cs="Arial"/>
          <w:b/>
          <w:smallCaps/>
          <w:sz w:val="22"/>
          <w:szCs w:val="22"/>
        </w:rPr>
        <w:tab/>
        <w:t xml:space="preserve">List of </w:t>
      </w:r>
      <w:r w:rsidR="00F23537">
        <w:rPr>
          <w:rFonts w:ascii="Arial" w:hAnsi="Arial" w:cs="Arial"/>
          <w:b/>
          <w:smallCaps/>
          <w:sz w:val="22"/>
          <w:szCs w:val="22"/>
        </w:rPr>
        <w:t>T</w:t>
      </w:r>
      <w:r w:rsidR="004139A6" w:rsidRPr="00877C8A">
        <w:rPr>
          <w:rFonts w:ascii="Arial" w:hAnsi="Arial" w:cs="Arial"/>
          <w:b/>
          <w:smallCaps/>
          <w:sz w:val="22"/>
          <w:szCs w:val="22"/>
        </w:rPr>
        <w:t>ables</w:t>
      </w:r>
    </w:p>
    <w:p w14:paraId="24FE6BC2" w14:textId="0F44D526" w:rsidR="0037434E" w:rsidRDefault="004139A6" w:rsidP="00B96580">
      <w:pPr>
        <w:tabs>
          <w:tab w:val="left" w:pos="1080"/>
        </w:tabs>
        <w:spacing w:beforeLines="40" w:before="96" w:afterLines="40" w:after="96"/>
        <w:ind w:right="301"/>
        <w:jc w:val="both"/>
        <w:rPr>
          <w:rFonts w:ascii="Arial" w:eastAsia="Calibri" w:hAnsi="Arial" w:cs="Arial"/>
          <w:sz w:val="22"/>
          <w:szCs w:val="22"/>
        </w:rPr>
      </w:pPr>
      <w:r w:rsidRPr="003A32A8">
        <w:rPr>
          <w:rFonts w:ascii="Arial" w:eastAsia="Calibri" w:hAnsi="Arial" w:cs="Arial"/>
          <w:sz w:val="22"/>
          <w:szCs w:val="22"/>
        </w:rPr>
        <w:t xml:space="preserve">The following tables together with the web version of this publication </w:t>
      </w:r>
      <w:r w:rsidR="000A5A77">
        <w:rPr>
          <w:rFonts w:ascii="Arial" w:eastAsia="Calibri" w:hAnsi="Arial" w:cs="Arial"/>
          <w:sz w:val="22"/>
          <w:szCs w:val="22"/>
        </w:rPr>
        <w:t>are available</w:t>
      </w:r>
      <w:r w:rsidRPr="003A32A8">
        <w:rPr>
          <w:rFonts w:ascii="Arial" w:eastAsia="Calibri" w:hAnsi="Arial" w:cs="Arial"/>
          <w:sz w:val="22"/>
          <w:szCs w:val="22"/>
        </w:rPr>
        <w:t xml:space="preserve"> </w:t>
      </w:r>
      <w:r w:rsidR="000A5A77">
        <w:rPr>
          <w:rFonts w:ascii="Arial" w:eastAsia="Calibri" w:hAnsi="Arial" w:cs="Arial"/>
          <w:sz w:val="22"/>
          <w:szCs w:val="22"/>
        </w:rPr>
        <w:t xml:space="preserve">on the </w:t>
      </w:r>
      <w:r w:rsidR="000A5A77" w:rsidRPr="003A32A8">
        <w:rPr>
          <w:rFonts w:ascii="Arial" w:eastAsia="Calibri" w:hAnsi="Arial" w:cs="Arial"/>
          <w:sz w:val="22"/>
          <w:szCs w:val="22"/>
        </w:rPr>
        <w:t>website</w:t>
      </w:r>
      <w:r w:rsidR="000A5A77">
        <w:rPr>
          <w:rFonts w:ascii="Arial" w:eastAsia="Calibri" w:hAnsi="Arial" w:cs="Arial"/>
          <w:sz w:val="22"/>
          <w:szCs w:val="22"/>
        </w:rPr>
        <w:t xml:space="preserve"> of</w:t>
      </w:r>
      <w:r w:rsidRPr="003A32A8">
        <w:rPr>
          <w:rFonts w:ascii="Arial" w:eastAsia="Calibri" w:hAnsi="Arial" w:cs="Arial"/>
          <w:sz w:val="22"/>
          <w:szCs w:val="22"/>
        </w:rPr>
        <w:t xml:space="preserve"> Statistics Mauritius</w:t>
      </w:r>
      <w:r w:rsidR="00C62CAF">
        <w:rPr>
          <w:rFonts w:ascii="Arial" w:eastAsia="Calibri" w:hAnsi="Arial" w:cs="Arial"/>
          <w:sz w:val="22"/>
          <w:szCs w:val="22"/>
        </w:rPr>
        <w:t xml:space="preserve"> (SM)</w:t>
      </w:r>
      <w:r w:rsidRPr="003A32A8">
        <w:rPr>
          <w:rFonts w:ascii="Arial" w:eastAsia="Calibri" w:hAnsi="Arial" w:cs="Arial"/>
          <w:sz w:val="22"/>
          <w:szCs w:val="22"/>
        </w:rPr>
        <w:t xml:space="preserve"> </w:t>
      </w:r>
      <w:r w:rsidR="00A94959" w:rsidRPr="003A32A8">
        <w:rPr>
          <w:rFonts w:ascii="Arial" w:eastAsia="Calibri" w:hAnsi="Arial" w:cs="Arial"/>
          <w:sz w:val="22"/>
          <w:szCs w:val="22"/>
        </w:rPr>
        <w:t xml:space="preserve">at </w:t>
      </w:r>
      <w:hyperlink r:id="rId18" w:history="1">
        <w:r w:rsidR="00D31DA1" w:rsidRPr="000017D7">
          <w:rPr>
            <w:rStyle w:val="Hyperlink"/>
            <w:rFonts w:ascii="Arial" w:eastAsia="Calibri" w:hAnsi="Arial" w:cs="Arial"/>
            <w:sz w:val="22"/>
            <w:szCs w:val="22"/>
          </w:rPr>
          <w:t>https://statsmauritius.govmu.org</w:t>
        </w:r>
      </w:hyperlink>
      <w:r w:rsidR="00A94959" w:rsidRPr="003A32A8">
        <w:rPr>
          <w:rFonts w:ascii="Arial" w:eastAsia="Calibri" w:hAnsi="Arial" w:cs="Arial"/>
          <w:sz w:val="22"/>
          <w:szCs w:val="22"/>
        </w:rPr>
        <w:t xml:space="preserve"> </w:t>
      </w:r>
    </w:p>
    <w:p w14:paraId="7ACA4B7F" w14:textId="4F78BECD" w:rsidR="00863A30" w:rsidRPr="003A32A8" w:rsidRDefault="00A94959" w:rsidP="00C62CAF">
      <w:pPr>
        <w:tabs>
          <w:tab w:val="left" w:pos="1080"/>
        </w:tabs>
        <w:spacing w:beforeLines="40" w:before="96" w:afterLines="40" w:after="96"/>
        <w:ind w:right="301"/>
        <w:jc w:val="both"/>
        <w:rPr>
          <w:rFonts w:ascii="Arial" w:eastAsia="Calibri" w:hAnsi="Arial" w:cs="Arial"/>
          <w:sz w:val="22"/>
          <w:szCs w:val="22"/>
        </w:rPr>
      </w:pPr>
      <w:r w:rsidRPr="003A32A8">
        <w:rPr>
          <w:rFonts w:ascii="Arial" w:eastAsia="Calibri" w:hAnsi="Arial" w:cs="Arial"/>
          <w:sz w:val="22"/>
          <w:szCs w:val="22"/>
        </w:rPr>
        <w:t>From the homepage</w:t>
      </w:r>
      <w:r w:rsidR="0037434E">
        <w:rPr>
          <w:rFonts w:ascii="Arial" w:eastAsia="Calibri" w:hAnsi="Arial" w:cs="Arial"/>
          <w:sz w:val="22"/>
          <w:szCs w:val="22"/>
        </w:rPr>
        <w:t>,</w:t>
      </w:r>
      <w:r w:rsidRPr="003A32A8">
        <w:rPr>
          <w:rFonts w:ascii="Arial" w:eastAsia="Calibri" w:hAnsi="Arial" w:cs="Arial"/>
          <w:sz w:val="22"/>
          <w:szCs w:val="22"/>
        </w:rPr>
        <w:t xml:space="preserve"> click on ‘Statistics’</w:t>
      </w:r>
      <w:r w:rsidR="000A5A77">
        <w:rPr>
          <w:rFonts w:ascii="Arial" w:eastAsia="Calibri" w:hAnsi="Arial" w:cs="Arial"/>
          <w:sz w:val="22"/>
          <w:szCs w:val="22"/>
        </w:rPr>
        <w:t>,</w:t>
      </w:r>
      <w:r w:rsidRPr="003A32A8">
        <w:rPr>
          <w:rFonts w:ascii="Arial" w:eastAsia="Calibri" w:hAnsi="Arial" w:cs="Arial"/>
          <w:sz w:val="22"/>
          <w:szCs w:val="22"/>
        </w:rPr>
        <w:t xml:space="preserve"> followed by ‘</w:t>
      </w:r>
      <w:r w:rsidR="000A5A77" w:rsidRPr="003A32A8">
        <w:rPr>
          <w:rFonts w:ascii="Arial" w:eastAsia="Calibri" w:hAnsi="Arial" w:cs="Arial"/>
          <w:sz w:val="22"/>
          <w:szCs w:val="22"/>
        </w:rPr>
        <w:t>Statistics by subject’</w:t>
      </w:r>
      <w:r w:rsidR="00862A09" w:rsidRPr="003A32A8">
        <w:rPr>
          <w:rFonts w:ascii="Arial" w:eastAsia="Calibri" w:hAnsi="Arial" w:cs="Arial"/>
          <w:sz w:val="22"/>
          <w:szCs w:val="22"/>
        </w:rPr>
        <w:t>,</w:t>
      </w:r>
      <w:r w:rsidRPr="003A32A8">
        <w:rPr>
          <w:rFonts w:ascii="Arial" w:eastAsia="Calibri" w:hAnsi="Arial" w:cs="Arial"/>
          <w:sz w:val="22"/>
          <w:szCs w:val="22"/>
        </w:rPr>
        <w:t xml:space="preserve"> </w:t>
      </w:r>
      <w:r w:rsidR="000A5A77">
        <w:rPr>
          <w:rFonts w:ascii="Arial" w:eastAsia="Calibri" w:hAnsi="Arial" w:cs="Arial"/>
          <w:sz w:val="22"/>
          <w:szCs w:val="22"/>
        </w:rPr>
        <w:t>choose ‘Public</w:t>
      </w:r>
      <w:r w:rsidR="000A5A77" w:rsidRPr="003A32A8">
        <w:rPr>
          <w:rFonts w:ascii="Arial" w:eastAsia="Calibri" w:hAnsi="Arial" w:cs="Arial"/>
          <w:sz w:val="22"/>
          <w:szCs w:val="22"/>
        </w:rPr>
        <w:t xml:space="preserve"> </w:t>
      </w:r>
      <w:r w:rsidR="000A5A77">
        <w:rPr>
          <w:rFonts w:ascii="Arial" w:eastAsia="Calibri" w:hAnsi="Arial" w:cs="Arial"/>
          <w:sz w:val="22"/>
          <w:szCs w:val="22"/>
        </w:rPr>
        <w:t>Finance</w:t>
      </w:r>
      <w:r w:rsidR="000A5A77" w:rsidRPr="003A32A8">
        <w:rPr>
          <w:rFonts w:ascii="Arial" w:eastAsia="Calibri" w:hAnsi="Arial" w:cs="Arial"/>
          <w:sz w:val="22"/>
          <w:szCs w:val="22"/>
        </w:rPr>
        <w:t>’</w:t>
      </w:r>
      <w:r w:rsidR="000A5A77">
        <w:rPr>
          <w:rFonts w:ascii="Arial" w:eastAsia="Calibri" w:hAnsi="Arial" w:cs="Arial"/>
          <w:sz w:val="22"/>
          <w:szCs w:val="22"/>
        </w:rPr>
        <w:t xml:space="preserve">, </w:t>
      </w:r>
      <w:r w:rsidRPr="003A32A8">
        <w:rPr>
          <w:rFonts w:ascii="Arial" w:eastAsia="Calibri" w:hAnsi="Arial" w:cs="Arial"/>
          <w:sz w:val="22"/>
          <w:szCs w:val="22"/>
        </w:rPr>
        <w:t xml:space="preserve">then select the appropriate </w:t>
      </w:r>
      <w:r w:rsidR="00F121AB">
        <w:rPr>
          <w:rFonts w:ascii="Arial" w:eastAsia="Calibri" w:hAnsi="Arial" w:cs="Arial"/>
          <w:sz w:val="22"/>
          <w:szCs w:val="22"/>
        </w:rPr>
        <w:t>issue</w:t>
      </w:r>
      <w:r w:rsidRPr="003A32A8">
        <w:rPr>
          <w:rFonts w:ascii="Arial" w:eastAsia="Calibri" w:hAnsi="Arial" w:cs="Arial"/>
          <w:sz w:val="22"/>
          <w:szCs w:val="22"/>
        </w:rPr>
        <w:t xml:space="preserve"> under the heading ‘Economic and Social Indicators’.</w:t>
      </w:r>
    </w:p>
    <w:p w14:paraId="653BA147" w14:textId="05B06E56" w:rsidR="00CD0533" w:rsidRDefault="00863A30" w:rsidP="00B53AA4">
      <w:pPr>
        <w:spacing w:before="60" w:after="60" w:line="360" w:lineRule="auto"/>
        <w:ind w:left="720"/>
        <w:rPr>
          <w:rFonts w:ascii="Arial" w:eastAsia="Calibri" w:hAnsi="Arial" w:cs="Arial"/>
          <w:i/>
          <w:sz w:val="22"/>
          <w:szCs w:val="22"/>
        </w:rPr>
      </w:pPr>
      <w:r w:rsidRPr="003A32A8">
        <w:rPr>
          <w:rFonts w:ascii="Arial" w:eastAsia="Calibri" w:hAnsi="Arial" w:cs="Arial"/>
          <w:i/>
          <w:sz w:val="22"/>
          <w:szCs w:val="22"/>
        </w:rPr>
        <w:t xml:space="preserve">Table 1 – </w:t>
      </w:r>
      <w:r w:rsidR="00CD0533" w:rsidRPr="00CD0533">
        <w:rPr>
          <w:rFonts w:ascii="Arial" w:eastAsia="Calibri" w:hAnsi="Arial" w:cs="Arial"/>
          <w:i/>
          <w:sz w:val="22"/>
          <w:szCs w:val="22"/>
        </w:rPr>
        <w:t>Statement of Government Operations</w:t>
      </w:r>
      <w:r w:rsidR="003F1FEA">
        <w:rPr>
          <w:rFonts w:ascii="Arial" w:eastAsia="Calibri" w:hAnsi="Arial" w:cs="Arial"/>
          <w:i/>
          <w:sz w:val="22"/>
          <w:szCs w:val="22"/>
        </w:rPr>
        <w:t xml:space="preserve">, </w:t>
      </w:r>
      <w:r w:rsidR="009C14D2" w:rsidRPr="009C14D2">
        <w:rPr>
          <w:rFonts w:ascii="Arial" w:eastAsia="Calibri" w:hAnsi="Arial" w:cs="Arial"/>
          <w:i/>
          <w:sz w:val="22"/>
          <w:szCs w:val="22"/>
        </w:rPr>
        <w:t>2020/</w:t>
      </w:r>
      <w:r w:rsidR="009C14D2">
        <w:rPr>
          <w:rFonts w:ascii="Arial" w:eastAsia="Calibri" w:hAnsi="Arial" w:cs="Arial"/>
          <w:i/>
          <w:sz w:val="22"/>
          <w:szCs w:val="22"/>
        </w:rPr>
        <w:t>20</w:t>
      </w:r>
      <w:r w:rsidR="009C14D2" w:rsidRPr="009C14D2">
        <w:rPr>
          <w:rFonts w:ascii="Arial" w:eastAsia="Calibri" w:hAnsi="Arial" w:cs="Arial"/>
          <w:i/>
          <w:sz w:val="22"/>
          <w:szCs w:val="22"/>
        </w:rPr>
        <w:t>21</w:t>
      </w:r>
      <w:r w:rsidR="009C14D2">
        <w:rPr>
          <w:rFonts w:ascii="Arial" w:eastAsia="Calibri" w:hAnsi="Arial" w:cs="Arial"/>
          <w:i/>
          <w:sz w:val="22"/>
          <w:szCs w:val="22"/>
        </w:rPr>
        <w:t xml:space="preserve"> – </w:t>
      </w:r>
      <w:r w:rsidR="00CD0533" w:rsidRPr="00CD0533">
        <w:rPr>
          <w:rFonts w:ascii="Arial" w:eastAsia="Calibri" w:hAnsi="Arial" w:cs="Arial"/>
          <w:i/>
          <w:sz w:val="22"/>
          <w:szCs w:val="22"/>
        </w:rPr>
        <w:t>202</w:t>
      </w:r>
      <w:r w:rsidR="00CD0533">
        <w:rPr>
          <w:rFonts w:ascii="Arial" w:eastAsia="Calibri" w:hAnsi="Arial" w:cs="Arial"/>
          <w:i/>
          <w:sz w:val="22"/>
          <w:szCs w:val="22"/>
        </w:rPr>
        <w:t>3</w:t>
      </w:r>
      <w:r w:rsidR="009C14D2">
        <w:rPr>
          <w:rFonts w:ascii="Arial" w:eastAsia="Calibri" w:hAnsi="Arial" w:cs="Arial"/>
          <w:i/>
          <w:sz w:val="22"/>
          <w:szCs w:val="22"/>
        </w:rPr>
        <w:t>/</w:t>
      </w:r>
      <w:r w:rsidR="00CD0533" w:rsidRPr="00CD0533">
        <w:rPr>
          <w:rFonts w:ascii="Arial" w:eastAsia="Calibri" w:hAnsi="Arial" w:cs="Arial"/>
          <w:i/>
          <w:sz w:val="22"/>
          <w:szCs w:val="22"/>
        </w:rPr>
        <w:t>202</w:t>
      </w:r>
      <w:r w:rsidR="00CD0533">
        <w:rPr>
          <w:rFonts w:ascii="Arial" w:eastAsia="Calibri" w:hAnsi="Arial" w:cs="Arial"/>
          <w:i/>
          <w:sz w:val="22"/>
          <w:szCs w:val="22"/>
        </w:rPr>
        <w:t>4</w:t>
      </w:r>
    </w:p>
    <w:p w14:paraId="51E0FE08" w14:textId="1D7288F6" w:rsidR="00863A30" w:rsidRPr="003A32A8" w:rsidRDefault="00863A30" w:rsidP="00B53AA4">
      <w:pPr>
        <w:spacing w:before="60" w:after="60" w:line="360" w:lineRule="auto"/>
        <w:ind w:left="720"/>
        <w:rPr>
          <w:rFonts w:ascii="Arial" w:eastAsia="Calibri" w:hAnsi="Arial" w:cs="Arial"/>
          <w:i/>
          <w:sz w:val="22"/>
          <w:szCs w:val="22"/>
        </w:rPr>
      </w:pPr>
      <w:r w:rsidRPr="003A32A8">
        <w:rPr>
          <w:rFonts w:ascii="Arial" w:eastAsia="Calibri" w:hAnsi="Arial" w:cs="Arial"/>
          <w:i/>
          <w:sz w:val="22"/>
          <w:szCs w:val="22"/>
        </w:rPr>
        <w:t xml:space="preserve">Table </w:t>
      </w:r>
      <w:r w:rsidR="00CD0533">
        <w:rPr>
          <w:rFonts w:ascii="Arial" w:eastAsia="Calibri" w:hAnsi="Arial" w:cs="Arial"/>
          <w:i/>
          <w:sz w:val="22"/>
          <w:szCs w:val="22"/>
        </w:rPr>
        <w:t>2</w:t>
      </w:r>
      <w:r w:rsidRPr="003A32A8">
        <w:rPr>
          <w:rFonts w:ascii="Arial" w:eastAsia="Calibri" w:hAnsi="Arial" w:cs="Arial"/>
          <w:i/>
          <w:sz w:val="22"/>
          <w:szCs w:val="22"/>
        </w:rPr>
        <w:t xml:space="preserve"> – </w:t>
      </w:r>
      <w:r w:rsidR="00CD0533" w:rsidRPr="00CD0533">
        <w:rPr>
          <w:rFonts w:ascii="Arial" w:eastAsia="Calibri" w:hAnsi="Arial" w:cs="Arial"/>
          <w:i/>
          <w:sz w:val="22"/>
          <w:szCs w:val="22"/>
        </w:rPr>
        <w:t xml:space="preserve">Revenue, </w:t>
      </w:r>
      <w:r w:rsidR="009C14D2" w:rsidRPr="009C14D2">
        <w:rPr>
          <w:rFonts w:ascii="Arial" w:eastAsia="Calibri" w:hAnsi="Arial" w:cs="Arial"/>
          <w:i/>
          <w:sz w:val="22"/>
          <w:szCs w:val="22"/>
        </w:rPr>
        <w:t>2020/</w:t>
      </w:r>
      <w:r w:rsidR="009C14D2">
        <w:rPr>
          <w:rFonts w:ascii="Arial" w:eastAsia="Calibri" w:hAnsi="Arial" w:cs="Arial"/>
          <w:i/>
          <w:sz w:val="22"/>
          <w:szCs w:val="22"/>
        </w:rPr>
        <w:t>20</w:t>
      </w:r>
      <w:r w:rsidR="009C14D2" w:rsidRPr="009C14D2">
        <w:rPr>
          <w:rFonts w:ascii="Arial" w:eastAsia="Calibri" w:hAnsi="Arial" w:cs="Arial"/>
          <w:i/>
          <w:sz w:val="22"/>
          <w:szCs w:val="22"/>
        </w:rPr>
        <w:t>21</w:t>
      </w:r>
      <w:r w:rsidR="009C14D2">
        <w:rPr>
          <w:rFonts w:ascii="Arial" w:eastAsia="Calibri" w:hAnsi="Arial" w:cs="Arial"/>
          <w:i/>
          <w:sz w:val="22"/>
          <w:szCs w:val="22"/>
        </w:rPr>
        <w:t xml:space="preserve"> – </w:t>
      </w:r>
      <w:r w:rsidR="009C14D2" w:rsidRPr="00CD0533">
        <w:rPr>
          <w:rFonts w:ascii="Arial" w:eastAsia="Calibri" w:hAnsi="Arial" w:cs="Arial"/>
          <w:i/>
          <w:sz w:val="22"/>
          <w:szCs w:val="22"/>
        </w:rPr>
        <w:t>202</w:t>
      </w:r>
      <w:r w:rsidR="009C14D2">
        <w:rPr>
          <w:rFonts w:ascii="Arial" w:eastAsia="Calibri" w:hAnsi="Arial" w:cs="Arial"/>
          <w:i/>
          <w:sz w:val="22"/>
          <w:szCs w:val="22"/>
        </w:rPr>
        <w:t>3/</w:t>
      </w:r>
      <w:r w:rsidR="009C14D2" w:rsidRPr="00CD0533">
        <w:rPr>
          <w:rFonts w:ascii="Arial" w:eastAsia="Calibri" w:hAnsi="Arial" w:cs="Arial"/>
          <w:i/>
          <w:sz w:val="22"/>
          <w:szCs w:val="22"/>
        </w:rPr>
        <w:t>202</w:t>
      </w:r>
      <w:r w:rsidR="009C14D2">
        <w:rPr>
          <w:rFonts w:ascii="Arial" w:eastAsia="Calibri" w:hAnsi="Arial" w:cs="Arial"/>
          <w:i/>
          <w:sz w:val="22"/>
          <w:szCs w:val="22"/>
        </w:rPr>
        <w:t>4</w:t>
      </w:r>
    </w:p>
    <w:p w14:paraId="3F7E4D80" w14:textId="00448138" w:rsidR="00863A30" w:rsidRPr="003A32A8" w:rsidRDefault="00863A30" w:rsidP="00B53AA4">
      <w:pPr>
        <w:spacing w:before="60" w:after="60" w:line="360" w:lineRule="auto"/>
        <w:ind w:firstLine="720"/>
        <w:rPr>
          <w:rFonts w:ascii="Arial" w:eastAsia="Calibri" w:hAnsi="Arial" w:cs="Arial"/>
          <w:i/>
          <w:sz w:val="22"/>
          <w:szCs w:val="22"/>
        </w:rPr>
      </w:pPr>
      <w:r w:rsidRPr="003A32A8">
        <w:rPr>
          <w:rFonts w:ascii="Arial" w:eastAsia="Calibri" w:hAnsi="Arial" w:cs="Arial"/>
          <w:i/>
          <w:sz w:val="22"/>
          <w:szCs w:val="22"/>
        </w:rPr>
        <w:t xml:space="preserve">Table </w:t>
      </w:r>
      <w:r w:rsidR="00CD0533">
        <w:rPr>
          <w:rFonts w:ascii="Arial" w:eastAsia="Calibri" w:hAnsi="Arial" w:cs="Arial"/>
          <w:i/>
          <w:sz w:val="22"/>
          <w:szCs w:val="22"/>
        </w:rPr>
        <w:t>3</w:t>
      </w:r>
      <w:r w:rsidRPr="003A32A8">
        <w:rPr>
          <w:rFonts w:ascii="Arial" w:eastAsia="Calibri" w:hAnsi="Arial" w:cs="Arial"/>
          <w:i/>
          <w:sz w:val="22"/>
          <w:szCs w:val="22"/>
        </w:rPr>
        <w:t xml:space="preserve"> – </w:t>
      </w:r>
      <w:r w:rsidR="00CD0533" w:rsidRPr="00CD0533">
        <w:rPr>
          <w:rFonts w:ascii="Arial" w:eastAsia="Calibri" w:hAnsi="Arial" w:cs="Arial"/>
          <w:i/>
          <w:sz w:val="22"/>
          <w:szCs w:val="22"/>
        </w:rPr>
        <w:t>Expense</w:t>
      </w:r>
      <w:r w:rsidR="003F1FEA" w:rsidRPr="00CD0533">
        <w:rPr>
          <w:rFonts w:ascii="Arial" w:eastAsia="Calibri" w:hAnsi="Arial" w:cs="Arial"/>
          <w:i/>
          <w:sz w:val="22"/>
          <w:szCs w:val="22"/>
        </w:rPr>
        <w:t xml:space="preserve">, </w:t>
      </w:r>
      <w:r w:rsidR="009C14D2" w:rsidRPr="009C14D2">
        <w:rPr>
          <w:rFonts w:ascii="Arial" w:eastAsia="Calibri" w:hAnsi="Arial" w:cs="Arial"/>
          <w:i/>
          <w:sz w:val="22"/>
          <w:szCs w:val="22"/>
        </w:rPr>
        <w:t>2020/</w:t>
      </w:r>
      <w:r w:rsidR="009C14D2">
        <w:rPr>
          <w:rFonts w:ascii="Arial" w:eastAsia="Calibri" w:hAnsi="Arial" w:cs="Arial"/>
          <w:i/>
          <w:sz w:val="22"/>
          <w:szCs w:val="22"/>
        </w:rPr>
        <w:t>20</w:t>
      </w:r>
      <w:r w:rsidR="009C14D2" w:rsidRPr="009C14D2">
        <w:rPr>
          <w:rFonts w:ascii="Arial" w:eastAsia="Calibri" w:hAnsi="Arial" w:cs="Arial"/>
          <w:i/>
          <w:sz w:val="22"/>
          <w:szCs w:val="22"/>
        </w:rPr>
        <w:t>21</w:t>
      </w:r>
      <w:r w:rsidR="009C14D2">
        <w:rPr>
          <w:rFonts w:ascii="Arial" w:eastAsia="Calibri" w:hAnsi="Arial" w:cs="Arial"/>
          <w:i/>
          <w:sz w:val="22"/>
          <w:szCs w:val="22"/>
        </w:rPr>
        <w:t xml:space="preserve"> – </w:t>
      </w:r>
      <w:r w:rsidR="009C14D2" w:rsidRPr="00CD0533">
        <w:rPr>
          <w:rFonts w:ascii="Arial" w:eastAsia="Calibri" w:hAnsi="Arial" w:cs="Arial"/>
          <w:i/>
          <w:sz w:val="22"/>
          <w:szCs w:val="22"/>
        </w:rPr>
        <w:t>202</w:t>
      </w:r>
      <w:r w:rsidR="009C14D2">
        <w:rPr>
          <w:rFonts w:ascii="Arial" w:eastAsia="Calibri" w:hAnsi="Arial" w:cs="Arial"/>
          <w:i/>
          <w:sz w:val="22"/>
          <w:szCs w:val="22"/>
        </w:rPr>
        <w:t>3/</w:t>
      </w:r>
      <w:r w:rsidR="009C14D2" w:rsidRPr="00CD0533">
        <w:rPr>
          <w:rFonts w:ascii="Arial" w:eastAsia="Calibri" w:hAnsi="Arial" w:cs="Arial"/>
          <w:i/>
          <w:sz w:val="22"/>
          <w:szCs w:val="22"/>
        </w:rPr>
        <w:t>202</w:t>
      </w:r>
      <w:r w:rsidR="009C14D2">
        <w:rPr>
          <w:rFonts w:ascii="Arial" w:eastAsia="Calibri" w:hAnsi="Arial" w:cs="Arial"/>
          <w:i/>
          <w:sz w:val="22"/>
          <w:szCs w:val="22"/>
        </w:rPr>
        <w:t>4</w:t>
      </w:r>
    </w:p>
    <w:p w14:paraId="4D09C80E" w14:textId="194924DB" w:rsidR="0028043A" w:rsidRDefault="00863A30" w:rsidP="00B53AA4">
      <w:pPr>
        <w:spacing w:before="60" w:after="60" w:line="360" w:lineRule="auto"/>
        <w:ind w:firstLine="720"/>
        <w:rPr>
          <w:rFonts w:ascii="Arial" w:eastAsia="Calibri" w:hAnsi="Arial" w:cs="Arial"/>
          <w:i/>
          <w:sz w:val="22"/>
          <w:szCs w:val="22"/>
        </w:rPr>
      </w:pPr>
      <w:r w:rsidRPr="003A32A8">
        <w:rPr>
          <w:rFonts w:ascii="Arial" w:eastAsia="Calibri" w:hAnsi="Arial" w:cs="Arial"/>
          <w:i/>
          <w:sz w:val="22"/>
          <w:szCs w:val="22"/>
        </w:rPr>
        <w:t xml:space="preserve">Table </w:t>
      </w:r>
      <w:r w:rsidR="00CD0533">
        <w:rPr>
          <w:rFonts w:ascii="Arial" w:eastAsia="Calibri" w:hAnsi="Arial" w:cs="Arial"/>
          <w:i/>
          <w:sz w:val="22"/>
          <w:szCs w:val="22"/>
        </w:rPr>
        <w:t>4</w:t>
      </w:r>
      <w:r w:rsidRPr="003A32A8">
        <w:rPr>
          <w:rFonts w:ascii="Arial" w:eastAsia="Calibri" w:hAnsi="Arial" w:cs="Arial"/>
          <w:i/>
          <w:sz w:val="22"/>
          <w:szCs w:val="22"/>
        </w:rPr>
        <w:t xml:space="preserve"> – </w:t>
      </w:r>
      <w:r w:rsidR="00CD0533" w:rsidRPr="00CD0533">
        <w:rPr>
          <w:rFonts w:ascii="Arial" w:eastAsia="Calibri" w:hAnsi="Arial" w:cs="Arial"/>
          <w:i/>
          <w:sz w:val="22"/>
          <w:szCs w:val="22"/>
        </w:rPr>
        <w:t>Transactions in Assets and Liabilities</w:t>
      </w:r>
      <w:r w:rsidR="0028043A" w:rsidRPr="00CD0533">
        <w:rPr>
          <w:rFonts w:ascii="Arial" w:eastAsia="Calibri" w:hAnsi="Arial" w:cs="Arial"/>
          <w:i/>
          <w:sz w:val="22"/>
          <w:szCs w:val="22"/>
        </w:rPr>
        <w:t xml:space="preserve">, </w:t>
      </w:r>
      <w:r w:rsidR="009C14D2" w:rsidRPr="009C14D2">
        <w:rPr>
          <w:rFonts w:ascii="Arial" w:eastAsia="Calibri" w:hAnsi="Arial" w:cs="Arial"/>
          <w:i/>
          <w:sz w:val="22"/>
          <w:szCs w:val="22"/>
        </w:rPr>
        <w:t>2020/</w:t>
      </w:r>
      <w:r w:rsidR="009C14D2">
        <w:rPr>
          <w:rFonts w:ascii="Arial" w:eastAsia="Calibri" w:hAnsi="Arial" w:cs="Arial"/>
          <w:i/>
          <w:sz w:val="22"/>
          <w:szCs w:val="22"/>
        </w:rPr>
        <w:t>20</w:t>
      </w:r>
      <w:r w:rsidR="009C14D2" w:rsidRPr="009C14D2">
        <w:rPr>
          <w:rFonts w:ascii="Arial" w:eastAsia="Calibri" w:hAnsi="Arial" w:cs="Arial"/>
          <w:i/>
          <w:sz w:val="22"/>
          <w:szCs w:val="22"/>
        </w:rPr>
        <w:t>21</w:t>
      </w:r>
      <w:r w:rsidR="009C14D2">
        <w:rPr>
          <w:rFonts w:ascii="Arial" w:eastAsia="Calibri" w:hAnsi="Arial" w:cs="Arial"/>
          <w:i/>
          <w:sz w:val="22"/>
          <w:szCs w:val="22"/>
        </w:rPr>
        <w:t xml:space="preserve"> – </w:t>
      </w:r>
      <w:r w:rsidR="009C14D2" w:rsidRPr="00CD0533">
        <w:rPr>
          <w:rFonts w:ascii="Arial" w:eastAsia="Calibri" w:hAnsi="Arial" w:cs="Arial"/>
          <w:i/>
          <w:sz w:val="22"/>
          <w:szCs w:val="22"/>
        </w:rPr>
        <w:t>202</w:t>
      </w:r>
      <w:r w:rsidR="009C14D2">
        <w:rPr>
          <w:rFonts w:ascii="Arial" w:eastAsia="Calibri" w:hAnsi="Arial" w:cs="Arial"/>
          <w:i/>
          <w:sz w:val="22"/>
          <w:szCs w:val="22"/>
        </w:rPr>
        <w:t>3/</w:t>
      </w:r>
      <w:r w:rsidR="009C14D2" w:rsidRPr="00CD0533">
        <w:rPr>
          <w:rFonts w:ascii="Arial" w:eastAsia="Calibri" w:hAnsi="Arial" w:cs="Arial"/>
          <w:i/>
          <w:sz w:val="22"/>
          <w:szCs w:val="22"/>
        </w:rPr>
        <w:t>202</w:t>
      </w:r>
      <w:r w:rsidR="009C14D2">
        <w:rPr>
          <w:rFonts w:ascii="Arial" w:eastAsia="Calibri" w:hAnsi="Arial" w:cs="Arial"/>
          <w:i/>
          <w:sz w:val="22"/>
          <w:szCs w:val="22"/>
        </w:rPr>
        <w:t>4</w:t>
      </w:r>
    </w:p>
    <w:p w14:paraId="435A937E" w14:textId="5BAC8F0A" w:rsidR="00863A30" w:rsidRPr="003A32A8" w:rsidRDefault="00863A30" w:rsidP="00B53AA4">
      <w:pPr>
        <w:spacing w:before="60" w:after="60" w:line="360" w:lineRule="auto"/>
        <w:ind w:firstLine="720"/>
        <w:rPr>
          <w:rFonts w:ascii="Arial" w:eastAsia="Calibri" w:hAnsi="Arial" w:cs="Arial"/>
          <w:i/>
          <w:sz w:val="22"/>
          <w:szCs w:val="22"/>
        </w:rPr>
      </w:pPr>
      <w:r w:rsidRPr="003A32A8">
        <w:rPr>
          <w:rFonts w:ascii="Arial" w:eastAsia="Calibri" w:hAnsi="Arial" w:cs="Arial"/>
          <w:i/>
          <w:sz w:val="22"/>
          <w:szCs w:val="22"/>
        </w:rPr>
        <w:t xml:space="preserve">Table </w:t>
      </w:r>
      <w:r w:rsidR="00CD0533">
        <w:rPr>
          <w:rFonts w:ascii="Arial" w:eastAsia="Calibri" w:hAnsi="Arial" w:cs="Arial"/>
          <w:i/>
          <w:sz w:val="22"/>
          <w:szCs w:val="22"/>
        </w:rPr>
        <w:t>5</w:t>
      </w:r>
      <w:r w:rsidRPr="003A32A8">
        <w:rPr>
          <w:rFonts w:ascii="Arial" w:eastAsia="Calibri" w:hAnsi="Arial" w:cs="Arial"/>
          <w:i/>
          <w:sz w:val="22"/>
          <w:szCs w:val="22"/>
        </w:rPr>
        <w:t xml:space="preserve"> – </w:t>
      </w:r>
      <w:r w:rsidR="0028043A" w:rsidRPr="0028043A">
        <w:rPr>
          <w:rFonts w:ascii="Arial" w:eastAsia="Calibri" w:hAnsi="Arial" w:cs="Arial"/>
          <w:i/>
          <w:sz w:val="22"/>
          <w:szCs w:val="22"/>
        </w:rPr>
        <w:t>Expenditure by Functions of Government</w:t>
      </w:r>
      <w:r w:rsidR="0028043A" w:rsidRPr="00CD0533">
        <w:rPr>
          <w:rFonts w:ascii="Arial" w:eastAsia="Calibri" w:hAnsi="Arial" w:cs="Arial"/>
          <w:i/>
          <w:sz w:val="22"/>
          <w:szCs w:val="22"/>
        </w:rPr>
        <w:t xml:space="preserve">, </w:t>
      </w:r>
      <w:r w:rsidR="009C14D2" w:rsidRPr="009C14D2">
        <w:rPr>
          <w:rFonts w:ascii="Arial" w:eastAsia="Calibri" w:hAnsi="Arial" w:cs="Arial"/>
          <w:i/>
          <w:sz w:val="22"/>
          <w:szCs w:val="22"/>
        </w:rPr>
        <w:t>2020/</w:t>
      </w:r>
      <w:r w:rsidR="009C14D2">
        <w:rPr>
          <w:rFonts w:ascii="Arial" w:eastAsia="Calibri" w:hAnsi="Arial" w:cs="Arial"/>
          <w:i/>
          <w:sz w:val="22"/>
          <w:szCs w:val="22"/>
        </w:rPr>
        <w:t>20</w:t>
      </w:r>
      <w:r w:rsidR="009C14D2" w:rsidRPr="009C14D2">
        <w:rPr>
          <w:rFonts w:ascii="Arial" w:eastAsia="Calibri" w:hAnsi="Arial" w:cs="Arial"/>
          <w:i/>
          <w:sz w:val="22"/>
          <w:szCs w:val="22"/>
        </w:rPr>
        <w:t>21</w:t>
      </w:r>
      <w:r w:rsidR="009C14D2">
        <w:rPr>
          <w:rFonts w:ascii="Arial" w:eastAsia="Calibri" w:hAnsi="Arial" w:cs="Arial"/>
          <w:i/>
          <w:sz w:val="22"/>
          <w:szCs w:val="22"/>
        </w:rPr>
        <w:t xml:space="preserve"> – </w:t>
      </w:r>
      <w:r w:rsidR="009C14D2" w:rsidRPr="00CD0533">
        <w:rPr>
          <w:rFonts w:ascii="Arial" w:eastAsia="Calibri" w:hAnsi="Arial" w:cs="Arial"/>
          <w:i/>
          <w:sz w:val="22"/>
          <w:szCs w:val="22"/>
        </w:rPr>
        <w:t>202</w:t>
      </w:r>
      <w:r w:rsidR="009C14D2">
        <w:rPr>
          <w:rFonts w:ascii="Arial" w:eastAsia="Calibri" w:hAnsi="Arial" w:cs="Arial"/>
          <w:i/>
          <w:sz w:val="22"/>
          <w:szCs w:val="22"/>
        </w:rPr>
        <w:t>3/</w:t>
      </w:r>
      <w:r w:rsidR="009C14D2" w:rsidRPr="00CD0533">
        <w:rPr>
          <w:rFonts w:ascii="Arial" w:eastAsia="Calibri" w:hAnsi="Arial" w:cs="Arial"/>
          <w:i/>
          <w:sz w:val="22"/>
          <w:szCs w:val="22"/>
        </w:rPr>
        <w:t>202</w:t>
      </w:r>
      <w:r w:rsidR="009C14D2">
        <w:rPr>
          <w:rFonts w:ascii="Arial" w:eastAsia="Calibri" w:hAnsi="Arial" w:cs="Arial"/>
          <w:i/>
          <w:sz w:val="22"/>
          <w:szCs w:val="22"/>
        </w:rPr>
        <w:t>4</w:t>
      </w:r>
      <w:r>
        <w:rPr>
          <w:rFonts w:ascii="Arial" w:eastAsia="Calibri" w:hAnsi="Arial" w:cs="Arial"/>
          <w:i/>
          <w:sz w:val="22"/>
          <w:szCs w:val="22"/>
        </w:rPr>
        <w:tab/>
      </w:r>
      <w:r>
        <w:rPr>
          <w:rFonts w:ascii="Arial" w:eastAsia="Calibri" w:hAnsi="Arial" w:cs="Arial"/>
          <w:i/>
          <w:sz w:val="22"/>
          <w:szCs w:val="22"/>
        </w:rPr>
        <w:tab/>
      </w:r>
    </w:p>
    <w:p w14:paraId="2D6BA479" w14:textId="24830E23" w:rsidR="00393F98" w:rsidRPr="0037434E" w:rsidRDefault="00863A30" w:rsidP="00B53AA4">
      <w:pPr>
        <w:spacing w:before="60" w:after="60" w:line="360" w:lineRule="auto"/>
        <w:ind w:left="735"/>
        <w:rPr>
          <w:rFonts w:ascii="Arial" w:eastAsia="Calibri" w:hAnsi="Arial" w:cs="Arial"/>
          <w:i/>
          <w:sz w:val="22"/>
          <w:szCs w:val="22"/>
        </w:rPr>
      </w:pPr>
      <w:r w:rsidRPr="003A32A8">
        <w:rPr>
          <w:rFonts w:ascii="Arial" w:eastAsia="Calibri" w:hAnsi="Arial" w:cs="Arial"/>
          <w:i/>
          <w:sz w:val="22"/>
          <w:szCs w:val="22"/>
        </w:rPr>
        <w:t xml:space="preserve">Table </w:t>
      </w:r>
      <w:r w:rsidR="00CD0533">
        <w:rPr>
          <w:rFonts w:ascii="Arial" w:eastAsia="Calibri" w:hAnsi="Arial" w:cs="Arial"/>
          <w:i/>
          <w:sz w:val="22"/>
          <w:szCs w:val="22"/>
        </w:rPr>
        <w:t>6</w:t>
      </w:r>
      <w:r w:rsidRPr="003A32A8">
        <w:rPr>
          <w:rFonts w:ascii="Arial" w:eastAsia="Calibri" w:hAnsi="Arial" w:cs="Arial"/>
          <w:i/>
          <w:sz w:val="22"/>
          <w:szCs w:val="22"/>
        </w:rPr>
        <w:t xml:space="preserve"> – </w:t>
      </w:r>
      <w:r w:rsidR="0028043A" w:rsidRPr="0028043A">
        <w:rPr>
          <w:rFonts w:ascii="Arial" w:eastAsia="Calibri" w:hAnsi="Arial" w:cs="Arial"/>
          <w:i/>
          <w:sz w:val="22"/>
          <w:szCs w:val="22"/>
        </w:rPr>
        <w:t>Transactions in Financial Assets and Liabilities by Sector</w:t>
      </w:r>
      <w:r w:rsidR="0028043A" w:rsidRPr="00CD0533">
        <w:rPr>
          <w:rFonts w:ascii="Arial" w:eastAsia="Calibri" w:hAnsi="Arial" w:cs="Arial"/>
          <w:i/>
          <w:sz w:val="22"/>
          <w:szCs w:val="22"/>
        </w:rPr>
        <w:t xml:space="preserve">, </w:t>
      </w:r>
      <w:r w:rsidR="009C14D2" w:rsidRPr="009C14D2">
        <w:rPr>
          <w:rFonts w:ascii="Arial" w:eastAsia="Calibri" w:hAnsi="Arial" w:cs="Arial"/>
          <w:i/>
          <w:sz w:val="22"/>
          <w:szCs w:val="22"/>
        </w:rPr>
        <w:t>2020/</w:t>
      </w:r>
      <w:r w:rsidR="009C14D2">
        <w:rPr>
          <w:rFonts w:ascii="Arial" w:eastAsia="Calibri" w:hAnsi="Arial" w:cs="Arial"/>
          <w:i/>
          <w:sz w:val="22"/>
          <w:szCs w:val="22"/>
        </w:rPr>
        <w:t>20</w:t>
      </w:r>
      <w:r w:rsidR="009C14D2" w:rsidRPr="009C14D2">
        <w:rPr>
          <w:rFonts w:ascii="Arial" w:eastAsia="Calibri" w:hAnsi="Arial" w:cs="Arial"/>
          <w:i/>
          <w:sz w:val="22"/>
          <w:szCs w:val="22"/>
        </w:rPr>
        <w:t>21</w:t>
      </w:r>
      <w:r w:rsidR="009C14D2">
        <w:rPr>
          <w:rFonts w:ascii="Arial" w:eastAsia="Calibri" w:hAnsi="Arial" w:cs="Arial"/>
          <w:i/>
          <w:sz w:val="22"/>
          <w:szCs w:val="22"/>
        </w:rPr>
        <w:t xml:space="preserve"> – </w:t>
      </w:r>
      <w:r w:rsidR="009C14D2" w:rsidRPr="00CD0533">
        <w:rPr>
          <w:rFonts w:ascii="Arial" w:eastAsia="Calibri" w:hAnsi="Arial" w:cs="Arial"/>
          <w:i/>
          <w:sz w:val="22"/>
          <w:szCs w:val="22"/>
        </w:rPr>
        <w:t>202</w:t>
      </w:r>
      <w:r w:rsidR="009C14D2">
        <w:rPr>
          <w:rFonts w:ascii="Arial" w:eastAsia="Calibri" w:hAnsi="Arial" w:cs="Arial"/>
          <w:i/>
          <w:sz w:val="22"/>
          <w:szCs w:val="22"/>
        </w:rPr>
        <w:t>3/</w:t>
      </w:r>
      <w:r w:rsidR="009C14D2" w:rsidRPr="00CD0533">
        <w:rPr>
          <w:rFonts w:ascii="Arial" w:eastAsia="Calibri" w:hAnsi="Arial" w:cs="Arial"/>
          <w:i/>
          <w:sz w:val="22"/>
          <w:szCs w:val="22"/>
        </w:rPr>
        <w:t>202</w:t>
      </w:r>
      <w:r w:rsidR="009C14D2">
        <w:rPr>
          <w:rFonts w:ascii="Arial" w:eastAsia="Calibri" w:hAnsi="Arial" w:cs="Arial"/>
          <w:i/>
          <w:sz w:val="22"/>
          <w:szCs w:val="22"/>
        </w:rPr>
        <w:t>4</w:t>
      </w:r>
    </w:p>
    <w:p w14:paraId="5170A64E" w14:textId="5BD8F31E" w:rsidR="0037434E" w:rsidRPr="0037434E" w:rsidRDefault="0037434E" w:rsidP="00C62CAF">
      <w:pPr>
        <w:spacing w:beforeLines="40" w:before="96" w:afterLines="40" w:after="96"/>
        <w:jc w:val="both"/>
        <w:rPr>
          <w:rFonts w:ascii="Arial" w:eastAsia="Calibri" w:hAnsi="Arial" w:cs="Arial"/>
          <w:sz w:val="22"/>
          <w:szCs w:val="22"/>
        </w:rPr>
      </w:pPr>
      <w:r>
        <w:rPr>
          <w:rFonts w:ascii="Arial" w:eastAsia="Calibri" w:hAnsi="Arial" w:cs="Arial"/>
          <w:sz w:val="22"/>
          <w:szCs w:val="22"/>
        </w:rPr>
        <w:t>M</w:t>
      </w:r>
      <w:r w:rsidRPr="0037434E">
        <w:rPr>
          <w:rFonts w:ascii="Arial" w:eastAsia="Calibri" w:hAnsi="Arial" w:cs="Arial"/>
          <w:sz w:val="22"/>
          <w:szCs w:val="22"/>
        </w:rPr>
        <w:t>ore detailed Excel tables are available for download</w:t>
      </w:r>
      <w:r w:rsidRPr="00C62CAF">
        <w:rPr>
          <w:rFonts w:ascii="Arial" w:eastAsia="Calibri" w:hAnsi="Arial" w:cs="Arial"/>
          <w:sz w:val="22"/>
          <w:szCs w:val="22"/>
        </w:rPr>
        <w:t xml:space="preserve"> </w:t>
      </w:r>
      <w:r w:rsidRPr="0037434E">
        <w:rPr>
          <w:rFonts w:ascii="Arial" w:eastAsia="Calibri" w:hAnsi="Arial" w:cs="Arial"/>
          <w:sz w:val="22"/>
          <w:szCs w:val="22"/>
        </w:rPr>
        <w:t>in the dedicated section</w:t>
      </w:r>
      <w:r>
        <w:rPr>
          <w:rFonts w:ascii="Arial" w:eastAsia="Calibri" w:hAnsi="Arial" w:cs="Arial"/>
          <w:sz w:val="22"/>
          <w:szCs w:val="22"/>
        </w:rPr>
        <w:t xml:space="preserve"> </w:t>
      </w:r>
      <w:r w:rsidR="00C62CAF">
        <w:rPr>
          <w:rFonts w:ascii="Arial" w:eastAsia="Calibri" w:hAnsi="Arial" w:cs="Arial"/>
          <w:sz w:val="22"/>
          <w:szCs w:val="22"/>
        </w:rPr>
        <w:t>‘Public</w:t>
      </w:r>
      <w:r w:rsidRPr="0037434E">
        <w:rPr>
          <w:rFonts w:ascii="Arial" w:eastAsia="Calibri" w:hAnsi="Arial" w:cs="Arial"/>
          <w:sz w:val="22"/>
          <w:szCs w:val="22"/>
        </w:rPr>
        <w:t xml:space="preserve"> Finance</w:t>
      </w:r>
      <w:r w:rsidR="00C62CAF">
        <w:rPr>
          <w:rFonts w:ascii="Arial" w:eastAsia="Calibri" w:hAnsi="Arial" w:cs="Arial"/>
          <w:sz w:val="22"/>
          <w:szCs w:val="22"/>
        </w:rPr>
        <w:t>’</w:t>
      </w:r>
      <w:r w:rsidRPr="0037434E">
        <w:rPr>
          <w:rFonts w:ascii="Arial" w:eastAsia="Calibri" w:hAnsi="Arial" w:cs="Arial"/>
          <w:sz w:val="22"/>
          <w:szCs w:val="22"/>
        </w:rPr>
        <w:t>:</w:t>
      </w:r>
      <w:r w:rsidR="00C62CAF">
        <w:rPr>
          <w:rFonts w:ascii="Arial" w:eastAsia="Calibri" w:hAnsi="Arial" w:cs="Arial"/>
          <w:sz w:val="22"/>
          <w:szCs w:val="22"/>
        </w:rPr>
        <w:t xml:space="preserve"> </w:t>
      </w:r>
      <w:hyperlink r:id="rId19" w:history="1">
        <w:r w:rsidR="00C62CAF" w:rsidRPr="00B43803">
          <w:rPr>
            <w:rStyle w:val="Hyperlink"/>
            <w:rFonts w:ascii="Arial" w:eastAsia="Calibri" w:hAnsi="Arial" w:cs="Arial"/>
            <w:sz w:val="22"/>
            <w:szCs w:val="22"/>
          </w:rPr>
          <w:t>https://statsmauritius.govmu.org/Pages/Statistics/By_Subject/Public_Finance/Public_Finance.aspx</w:t>
        </w:r>
      </w:hyperlink>
      <w:r>
        <w:rPr>
          <w:rFonts w:ascii="Arial" w:eastAsia="Calibri" w:hAnsi="Arial" w:cs="Arial"/>
          <w:sz w:val="22"/>
          <w:szCs w:val="22"/>
        </w:rPr>
        <w:t xml:space="preserve"> </w:t>
      </w:r>
    </w:p>
    <w:p w14:paraId="0F3F124B" w14:textId="383F8598" w:rsidR="003215EB" w:rsidRPr="003A32A8" w:rsidRDefault="00EA142F" w:rsidP="003A32A8">
      <w:pPr>
        <w:spacing w:beforeLines="40" w:before="96" w:afterLines="40" w:after="96"/>
        <w:rPr>
          <w:rFonts w:ascii="Arial" w:hAnsi="Arial" w:cs="Arial"/>
          <w:b/>
          <w:smallCaps/>
          <w:sz w:val="22"/>
          <w:szCs w:val="22"/>
        </w:rPr>
      </w:pPr>
      <w:r>
        <w:rPr>
          <w:rFonts w:ascii="Arial" w:hAnsi="Arial" w:cs="Arial"/>
          <w:b/>
          <w:smallCaps/>
          <w:sz w:val="22"/>
          <w:szCs w:val="22"/>
        </w:rPr>
        <w:lastRenderedPageBreak/>
        <w:t>11</w:t>
      </w:r>
      <w:r w:rsidR="0020485B" w:rsidRPr="003A32A8">
        <w:rPr>
          <w:rFonts w:ascii="Arial" w:hAnsi="Arial" w:cs="Arial"/>
          <w:b/>
          <w:smallCaps/>
          <w:sz w:val="22"/>
          <w:szCs w:val="22"/>
        </w:rPr>
        <w:t>.</w:t>
      </w:r>
      <w:r w:rsidR="0020485B" w:rsidRPr="003A32A8">
        <w:rPr>
          <w:rFonts w:ascii="Arial" w:hAnsi="Arial" w:cs="Arial"/>
          <w:b/>
          <w:smallCaps/>
          <w:sz w:val="22"/>
          <w:szCs w:val="22"/>
        </w:rPr>
        <w:tab/>
        <w:t>Notes</w:t>
      </w:r>
    </w:p>
    <w:p w14:paraId="01AD76D4" w14:textId="6CEAA6C7" w:rsidR="003215EB" w:rsidRPr="003A32A8" w:rsidRDefault="00EA142F" w:rsidP="003A32A8">
      <w:pPr>
        <w:spacing w:beforeLines="40" w:before="96" w:afterLines="40" w:after="96"/>
        <w:rPr>
          <w:rFonts w:ascii="Arial" w:hAnsi="Arial" w:cs="Arial"/>
          <w:b/>
          <w:smallCaps/>
          <w:sz w:val="22"/>
          <w:szCs w:val="22"/>
        </w:rPr>
      </w:pPr>
      <w:r>
        <w:rPr>
          <w:rFonts w:ascii="Arial" w:hAnsi="Arial" w:cs="Arial"/>
          <w:b/>
          <w:smallCaps/>
          <w:sz w:val="22"/>
          <w:szCs w:val="22"/>
        </w:rPr>
        <w:t>11</w:t>
      </w:r>
      <w:r w:rsidR="0020485B" w:rsidRPr="003A32A8">
        <w:rPr>
          <w:rFonts w:ascii="Arial" w:hAnsi="Arial" w:cs="Arial"/>
          <w:b/>
          <w:smallCaps/>
          <w:sz w:val="22"/>
          <w:szCs w:val="22"/>
        </w:rPr>
        <w:t>.1</w:t>
      </w:r>
      <w:r w:rsidR="0020485B" w:rsidRPr="003A32A8">
        <w:rPr>
          <w:rFonts w:ascii="Arial" w:hAnsi="Arial" w:cs="Arial"/>
          <w:b/>
          <w:smallCaps/>
          <w:sz w:val="22"/>
          <w:szCs w:val="22"/>
        </w:rPr>
        <w:tab/>
        <w:t xml:space="preserve">Release </w:t>
      </w:r>
      <w:r w:rsidR="00F74602">
        <w:rPr>
          <w:rFonts w:ascii="Arial" w:hAnsi="Arial" w:cs="Arial"/>
          <w:b/>
          <w:smallCaps/>
          <w:sz w:val="22"/>
          <w:szCs w:val="22"/>
        </w:rPr>
        <w:t>o</w:t>
      </w:r>
      <w:r w:rsidR="0020485B" w:rsidRPr="003A32A8">
        <w:rPr>
          <w:rFonts w:ascii="Arial" w:hAnsi="Arial" w:cs="Arial"/>
          <w:b/>
          <w:smallCaps/>
          <w:sz w:val="22"/>
          <w:szCs w:val="22"/>
        </w:rPr>
        <w:t xml:space="preserve">f </w:t>
      </w:r>
      <w:r w:rsidR="00F74602">
        <w:rPr>
          <w:rFonts w:ascii="Arial" w:hAnsi="Arial" w:cs="Arial"/>
          <w:b/>
          <w:smallCaps/>
          <w:sz w:val="22"/>
          <w:szCs w:val="22"/>
        </w:rPr>
        <w:t>D</w:t>
      </w:r>
      <w:r w:rsidR="0020485B" w:rsidRPr="003A32A8">
        <w:rPr>
          <w:rFonts w:ascii="Arial" w:hAnsi="Arial" w:cs="Arial"/>
          <w:b/>
          <w:smallCaps/>
          <w:sz w:val="22"/>
          <w:szCs w:val="22"/>
        </w:rPr>
        <w:t xml:space="preserve">ata on </w:t>
      </w:r>
      <w:r w:rsidR="00F23537">
        <w:rPr>
          <w:rFonts w:ascii="Arial" w:hAnsi="Arial" w:cs="Arial"/>
          <w:b/>
          <w:smallCaps/>
          <w:sz w:val="22"/>
          <w:szCs w:val="22"/>
        </w:rPr>
        <w:t>Public</w:t>
      </w:r>
      <w:r w:rsidR="0020485B" w:rsidRPr="003A32A8">
        <w:rPr>
          <w:rFonts w:ascii="Arial" w:hAnsi="Arial" w:cs="Arial"/>
          <w:b/>
          <w:smallCaps/>
          <w:sz w:val="22"/>
          <w:szCs w:val="22"/>
        </w:rPr>
        <w:t xml:space="preserve"> </w:t>
      </w:r>
      <w:r w:rsidR="00F23537">
        <w:rPr>
          <w:rFonts w:ascii="Arial" w:hAnsi="Arial" w:cs="Arial"/>
          <w:b/>
          <w:smallCaps/>
          <w:sz w:val="22"/>
          <w:szCs w:val="22"/>
        </w:rPr>
        <w:t>Finance</w:t>
      </w:r>
    </w:p>
    <w:p w14:paraId="637EFBFD" w14:textId="77777777" w:rsidR="00996021" w:rsidRDefault="003215EB" w:rsidP="004719B6">
      <w:pPr>
        <w:spacing w:beforeLines="40" w:before="96" w:afterLines="40" w:after="96"/>
        <w:jc w:val="both"/>
        <w:rPr>
          <w:rFonts w:ascii="Arial" w:hAnsi="Arial" w:cs="Arial"/>
          <w:sz w:val="22"/>
          <w:szCs w:val="22"/>
        </w:rPr>
      </w:pPr>
      <w:r w:rsidRPr="003A32A8">
        <w:rPr>
          <w:rFonts w:ascii="Arial" w:hAnsi="Arial" w:cs="Arial"/>
          <w:sz w:val="22"/>
          <w:szCs w:val="22"/>
        </w:rPr>
        <w:t xml:space="preserve">This </w:t>
      </w:r>
      <w:r w:rsidR="00641048" w:rsidRPr="003A32A8">
        <w:rPr>
          <w:rFonts w:ascii="Arial" w:hAnsi="Arial" w:cs="Arial"/>
          <w:sz w:val="22"/>
          <w:szCs w:val="22"/>
        </w:rPr>
        <w:t>publication is a yearly issue to be released according to an advance calendar posted</w:t>
      </w:r>
      <w:r w:rsidR="002A357D" w:rsidRPr="003A32A8">
        <w:rPr>
          <w:rFonts w:ascii="Arial" w:hAnsi="Arial" w:cs="Arial"/>
          <w:sz w:val="22"/>
          <w:szCs w:val="22"/>
        </w:rPr>
        <w:t xml:space="preserve"> on Statistics Mauritius website</w:t>
      </w:r>
      <w:r w:rsidR="00572144" w:rsidRPr="003A32A8">
        <w:rPr>
          <w:rFonts w:ascii="Arial" w:hAnsi="Arial" w:cs="Arial"/>
          <w:sz w:val="22"/>
          <w:szCs w:val="22"/>
        </w:rPr>
        <w:t xml:space="preserve"> </w:t>
      </w:r>
      <w:r w:rsidR="002A357D" w:rsidRPr="003A32A8">
        <w:rPr>
          <w:rFonts w:ascii="Arial" w:hAnsi="Arial" w:cs="Arial"/>
          <w:sz w:val="22"/>
          <w:szCs w:val="22"/>
        </w:rPr>
        <w:t>(</w:t>
      </w:r>
      <w:hyperlink r:id="rId20" w:history="1">
        <w:r w:rsidR="00D31DA1" w:rsidRPr="000017D7">
          <w:rPr>
            <w:rStyle w:val="Hyperlink"/>
            <w:rFonts w:ascii="Arial" w:hAnsi="Arial" w:cs="Arial"/>
            <w:sz w:val="22"/>
            <w:szCs w:val="22"/>
          </w:rPr>
          <w:t>https://statsmauritius.govmu.org</w:t>
        </w:r>
      </w:hyperlink>
      <w:r w:rsidR="002A357D" w:rsidRPr="003A32A8">
        <w:rPr>
          <w:rFonts w:ascii="Arial" w:hAnsi="Arial" w:cs="Arial"/>
          <w:sz w:val="22"/>
          <w:szCs w:val="22"/>
        </w:rPr>
        <w:t xml:space="preserve">). The next issue </w:t>
      </w:r>
      <w:r w:rsidR="00F74602">
        <w:rPr>
          <w:rFonts w:ascii="Arial" w:hAnsi="Arial" w:cs="Arial"/>
          <w:sz w:val="22"/>
          <w:szCs w:val="22"/>
        </w:rPr>
        <w:t>covering the period July 202</w:t>
      </w:r>
      <w:r w:rsidR="00300DBE">
        <w:rPr>
          <w:rFonts w:ascii="Arial" w:hAnsi="Arial" w:cs="Arial"/>
          <w:sz w:val="22"/>
          <w:szCs w:val="22"/>
        </w:rPr>
        <w:t>4</w:t>
      </w:r>
      <w:r w:rsidR="00F74602">
        <w:rPr>
          <w:rFonts w:ascii="Arial" w:hAnsi="Arial" w:cs="Arial"/>
          <w:sz w:val="22"/>
          <w:szCs w:val="22"/>
        </w:rPr>
        <w:t xml:space="preserve"> to June 202</w:t>
      </w:r>
      <w:r w:rsidR="00300DBE">
        <w:rPr>
          <w:rFonts w:ascii="Arial" w:hAnsi="Arial" w:cs="Arial"/>
          <w:sz w:val="22"/>
          <w:szCs w:val="22"/>
        </w:rPr>
        <w:t>5</w:t>
      </w:r>
      <w:r w:rsidR="00F74602">
        <w:rPr>
          <w:rFonts w:ascii="Arial" w:hAnsi="Arial" w:cs="Arial"/>
          <w:sz w:val="22"/>
          <w:szCs w:val="22"/>
        </w:rPr>
        <w:t xml:space="preserve"> </w:t>
      </w:r>
      <w:r w:rsidR="002A357D" w:rsidRPr="003A32A8">
        <w:rPr>
          <w:rFonts w:ascii="Arial" w:hAnsi="Arial" w:cs="Arial"/>
          <w:sz w:val="22"/>
          <w:szCs w:val="22"/>
        </w:rPr>
        <w:t xml:space="preserve">is scheduled for </w:t>
      </w:r>
      <w:r w:rsidR="008A4DA0">
        <w:rPr>
          <w:rFonts w:ascii="Arial" w:hAnsi="Arial" w:cs="Arial"/>
          <w:sz w:val="22"/>
          <w:szCs w:val="22"/>
        </w:rPr>
        <w:t>September</w:t>
      </w:r>
      <w:r w:rsidR="002A357D" w:rsidRPr="003A32A8">
        <w:rPr>
          <w:rFonts w:ascii="Arial" w:hAnsi="Arial" w:cs="Arial"/>
          <w:sz w:val="22"/>
          <w:szCs w:val="22"/>
        </w:rPr>
        <w:t xml:space="preserve"> 20</w:t>
      </w:r>
      <w:r w:rsidR="001E412A">
        <w:rPr>
          <w:rFonts w:ascii="Arial" w:hAnsi="Arial" w:cs="Arial"/>
          <w:sz w:val="22"/>
          <w:szCs w:val="22"/>
        </w:rPr>
        <w:t>2</w:t>
      </w:r>
      <w:r w:rsidR="008A4DA0">
        <w:rPr>
          <w:rFonts w:ascii="Arial" w:hAnsi="Arial" w:cs="Arial"/>
          <w:sz w:val="22"/>
          <w:szCs w:val="22"/>
        </w:rPr>
        <w:t>6</w:t>
      </w:r>
      <w:r w:rsidR="002A357D" w:rsidRPr="003A32A8">
        <w:rPr>
          <w:rFonts w:ascii="Arial" w:hAnsi="Arial" w:cs="Arial"/>
          <w:sz w:val="22"/>
          <w:szCs w:val="22"/>
        </w:rPr>
        <w:t>.</w:t>
      </w:r>
      <w:r w:rsidR="00697B9B" w:rsidRPr="003A32A8">
        <w:rPr>
          <w:rFonts w:ascii="Arial" w:hAnsi="Arial" w:cs="Arial"/>
          <w:sz w:val="22"/>
          <w:szCs w:val="22"/>
        </w:rPr>
        <w:t xml:space="preserve"> </w:t>
      </w:r>
    </w:p>
    <w:p w14:paraId="0D6BF5AD" w14:textId="08CF0975" w:rsidR="009E4529" w:rsidRDefault="00697B9B" w:rsidP="004719B6">
      <w:pPr>
        <w:spacing w:beforeLines="40" w:before="96" w:afterLines="40" w:after="96"/>
        <w:jc w:val="both"/>
        <w:rPr>
          <w:rFonts w:ascii="Arial" w:hAnsi="Arial" w:cs="Arial"/>
          <w:sz w:val="22"/>
          <w:szCs w:val="22"/>
        </w:rPr>
      </w:pPr>
      <w:r w:rsidRPr="003A32A8">
        <w:rPr>
          <w:rFonts w:ascii="Arial" w:hAnsi="Arial" w:cs="Arial"/>
          <w:sz w:val="22"/>
          <w:szCs w:val="22"/>
        </w:rPr>
        <w:t xml:space="preserve">This </w:t>
      </w:r>
      <w:r w:rsidR="009E58BE">
        <w:rPr>
          <w:rFonts w:ascii="Arial" w:hAnsi="Arial" w:cs="Arial"/>
          <w:sz w:val="22"/>
          <w:szCs w:val="22"/>
        </w:rPr>
        <w:t>publication</w:t>
      </w:r>
      <w:r w:rsidRPr="003A32A8">
        <w:rPr>
          <w:rFonts w:ascii="Arial" w:hAnsi="Arial" w:cs="Arial"/>
          <w:sz w:val="22"/>
          <w:szCs w:val="22"/>
        </w:rPr>
        <w:t xml:space="preserve"> will be </w:t>
      </w:r>
      <w:r w:rsidR="009E58BE">
        <w:rPr>
          <w:rFonts w:ascii="Arial" w:hAnsi="Arial" w:cs="Arial"/>
          <w:sz w:val="22"/>
          <w:szCs w:val="22"/>
        </w:rPr>
        <w:t>complement</w:t>
      </w:r>
      <w:r w:rsidRPr="003A32A8">
        <w:rPr>
          <w:rFonts w:ascii="Arial" w:hAnsi="Arial" w:cs="Arial"/>
          <w:sz w:val="22"/>
          <w:szCs w:val="22"/>
        </w:rPr>
        <w:t xml:space="preserve">ed </w:t>
      </w:r>
      <w:r w:rsidR="009E58BE">
        <w:rPr>
          <w:rFonts w:ascii="Arial" w:hAnsi="Arial" w:cs="Arial"/>
          <w:sz w:val="22"/>
          <w:szCs w:val="22"/>
        </w:rPr>
        <w:t xml:space="preserve">later in the year </w:t>
      </w:r>
      <w:r w:rsidRPr="003A32A8">
        <w:rPr>
          <w:rFonts w:ascii="Arial" w:hAnsi="Arial" w:cs="Arial"/>
          <w:sz w:val="22"/>
          <w:szCs w:val="22"/>
        </w:rPr>
        <w:t>by a more comprehensive report</w:t>
      </w:r>
      <w:r w:rsidR="00996021">
        <w:rPr>
          <w:rFonts w:ascii="Arial" w:hAnsi="Arial" w:cs="Arial"/>
          <w:sz w:val="22"/>
          <w:szCs w:val="22"/>
        </w:rPr>
        <w:t xml:space="preserve"> </w:t>
      </w:r>
      <w:r w:rsidR="009E58BE">
        <w:rPr>
          <w:rFonts w:ascii="Arial" w:hAnsi="Arial" w:cs="Arial"/>
          <w:sz w:val="22"/>
          <w:szCs w:val="22"/>
        </w:rPr>
        <w:t xml:space="preserve">- </w:t>
      </w:r>
      <w:r w:rsidR="00996021">
        <w:rPr>
          <w:rFonts w:ascii="Arial" w:hAnsi="Arial" w:cs="Arial"/>
          <w:sz w:val="22"/>
          <w:szCs w:val="22"/>
        </w:rPr>
        <w:t>the Digest of Public Finance Statistics</w:t>
      </w:r>
      <w:r w:rsidR="009E58BE">
        <w:rPr>
          <w:rFonts w:ascii="Arial" w:hAnsi="Arial" w:cs="Arial"/>
          <w:sz w:val="22"/>
          <w:szCs w:val="22"/>
        </w:rPr>
        <w:t>. Covering the same subject</w:t>
      </w:r>
      <w:r w:rsidRPr="003A32A8">
        <w:rPr>
          <w:rFonts w:ascii="Arial" w:hAnsi="Arial" w:cs="Arial"/>
          <w:sz w:val="22"/>
          <w:szCs w:val="22"/>
        </w:rPr>
        <w:t xml:space="preserve"> and </w:t>
      </w:r>
      <w:r w:rsidR="009E58BE">
        <w:rPr>
          <w:rFonts w:ascii="Arial" w:hAnsi="Arial" w:cs="Arial"/>
          <w:sz w:val="22"/>
          <w:szCs w:val="22"/>
        </w:rPr>
        <w:t xml:space="preserve">reference </w:t>
      </w:r>
      <w:r w:rsidRPr="003A32A8">
        <w:rPr>
          <w:rFonts w:ascii="Arial" w:hAnsi="Arial" w:cs="Arial"/>
          <w:sz w:val="22"/>
          <w:szCs w:val="22"/>
        </w:rPr>
        <w:t>period</w:t>
      </w:r>
      <w:r w:rsidR="00D847E9">
        <w:rPr>
          <w:rFonts w:ascii="Arial" w:hAnsi="Arial" w:cs="Arial"/>
          <w:sz w:val="22"/>
          <w:szCs w:val="22"/>
        </w:rPr>
        <w:t xml:space="preserve">, </w:t>
      </w:r>
      <w:r w:rsidR="009E58BE">
        <w:rPr>
          <w:rFonts w:ascii="Arial" w:hAnsi="Arial" w:cs="Arial"/>
          <w:sz w:val="22"/>
          <w:szCs w:val="22"/>
        </w:rPr>
        <w:t>the Digest will present a complete set of</w:t>
      </w:r>
      <w:r w:rsidR="00D847E9">
        <w:rPr>
          <w:rFonts w:ascii="Arial" w:hAnsi="Arial" w:cs="Arial"/>
          <w:sz w:val="22"/>
          <w:szCs w:val="22"/>
        </w:rPr>
        <w:t xml:space="preserve"> data </w:t>
      </w:r>
      <w:r w:rsidR="009E58BE">
        <w:rPr>
          <w:rFonts w:ascii="Arial" w:hAnsi="Arial" w:cs="Arial"/>
          <w:sz w:val="22"/>
          <w:szCs w:val="22"/>
        </w:rPr>
        <w:t>encompassing</w:t>
      </w:r>
      <w:r w:rsidR="00D847E9">
        <w:rPr>
          <w:rFonts w:ascii="Arial" w:hAnsi="Arial" w:cs="Arial"/>
          <w:sz w:val="22"/>
          <w:szCs w:val="22"/>
        </w:rPr>
        <w:t xml:space="preserve"> all levels of government</w:t>
      </w:r>
      <w:r w:rsidR="00C653AA">
        <w:rPr>
          <w:rFonts w:ascii="Arial" w:hAnsi="Arial" w:cs="Arial"/>
          <w:sz w:val="22"/>
          <w:szCs w:val="22"/>
        </w:rPr>
        <w:t>,</w:t>
      </w:r>
      <w:r w:rsidR="009E58BE">
        <w:rPr>
          <w:rFonts w:ascii="Arial" w:hAnsi="Arial" w:cs="Arial"/>
          <w:sz w:val="22"/>
          <w:szCs w:val="22"/>
        </w:rPr>
        <w:t xml:space="preserve"> including </w:t>
      </w:r>
      <w:r w:rsidR="00C653AA">
        <w:rPr>
          <w:rFonts w:ascii="Arial" w:hAnsi="Arial" w:cs="Arial"/>
          <w:sz w:val="22"/>
          <w:szCs w:val="22"/>
        </w:rPr>
        <w:t>budgetary central government, extra budgetary units, social security funds, regional government and local authorities</w:t>
      </w:r>
      <w:r w:rsidR="00D847E9">
        <w:rPr>
          <w:rFonts w:ascii="Arial" w:hAnsi="Arial" w:cs="Arial"/>
          <w:sz w:val="22"/>
          <w:szCs w:val="22"/>
        </w:rPr>
        <w:t>.</w:t>
      </w:r>
    </w:p>
    <w:p w14:paraId="2AD59CDC" w14:textId="6E3E0F8B" w:rsidR="008C30C5" w:rsidRPr="003A32A8" w:rsidRDefault="008C30C5" w:rsidP="004719B6">
      <w:pPr>
        <w:spacing w:beforeLines="40" w:before="96" w:afterLines="40" w:after="96"/>
        <w:rPr>
          <w:rFonts w:ascii="Arial" w:hAnsi="Arial" w:cs="Arial"/>
          <w:b/>
          <w:smallCaps/>
          <w:sz w:val="22"/>
          <w:szCs w:val="22"/>
        </w:rPr>
      </w:pPr>
      <w:r>
        <w:rPr>
          <w:rFonts w:ascii="Arial" w:hAnsi="Arial" w:cs="Arial"/>
          <w:b/>
          <w:smallCaps/>
          <w:sz w:val="22"/>
          <w:szCs w:val="22"/>
        </w:rPr>
        <w:t>11</w:t>
      </w:r>
      <w:r w:rsidRPr="003A32A8">
        <w:rPr>
          <w:rFonts w:ascii="Arial" w:hAnsi="Arial" w:cs="Arial"/>
          <w:b/>
          <w:smallCaps/>
          <w:sz w:val="22"/>
          <w:szCs w:val="22"/>
        </w:rPr>
        <w:t>.2</w:t>
      </w:r>
      <w:r w:rsidRPr="003A32A8">
        <w:rPr>
          <w:rFonts w:ascii="Arial" w:hAnsi="Arial" w:cs="Arial"/>
          <w:b/>
          <w:smallCaps/>
          <w:sz w:val="22"/>
          <w:szCs w:val="22"/>
        </w:rPr>
        <w:tab/>
      </w:r>
      <w:r w:rsidR="00F23537">
        <w:rPr>
          <w:rFonts w:ascii="Arial" w:hAnsi="Arial" w:cs="Arial"/>
          <w:b/>
          <w:smallCaps/>
          <w:sz w:val="22"/>
          <w:szCs w:val="22"/>
        </w:rPr>
        <w:t>Revision</w:t>
      </w:r>
      <w:r w:rsidR="006B3085">
        <w:rPr>
          <w:rFonts w:ascii="Arial" w:hAnsi="Arial" w:cs="Arial"/>
          <w:b/>
          <w:smallCaps/>
          <w:sz w:val="22"/>
          <w:szCs w:val="22"/>
        </w:rPr>
        <w:t>s</w:t>
      </w:r>
      <w:r w:rsidR="00F23537">
        <w:rPr>
          <w:rFonts w:ascii="Arial" w:hAnsi="Arial" w:cs="Arial"/>
          <w:b/>
          <w:smallCaps/>
          <w:sz w:val="22"/>
          <w:szCs w:val="22"/>
        </w:rPr>
        <w:t xml:space="preserve"> Policy</w:t>
      </w:r>
    </w:p>
    <w:p w14:paraId="23C7194E" w14:textId="411A38D6" w:rsidR="00AD56ED" w:rsidRDefault="001659E2" w:rsidP="0060359B">
      <w:pPr>
        <w:spacing w:beforeLines="40" w:before="96" w:afterLines="40" w:after="96"/>
        <w:jc w:val="both"/>
        <w:rPr>
          <w:rFonts w:ascii="Arial" w:hAnsi="Arial" w:cs="Arial"/>
          <w:sz w:val="22"/>
          <w:szCs w:val="22"/>
        </w:rPr>
      </w:pPr>
      <w:r>
        <w:rPr>
          <w:rFonts w:ascii="Arial" w:hAnsi="Arial" w:cs="Arial"/>
          <w:sz w:val="22"/>
          <w:szCs w:val="22"/>
        </w:rPr>
        <w:t>In</w:t>
      </w:r>
      <w:r w:rsidR="00AD56ED" w:rsidRPr="00AD56ED">
        <w:rPr>
          <w:rFonts w:ascii="Arial" w:hAnsi="Arial" w:cs="Arial"/>
          <w:sz w:val="22"/>
          <w:szCs w:val="22"/>
        </w:rPr>
        <w:t xml:space="preserve"> </w:t>
      </w:r>
      <w:r w:rsidR="00D37B18">
        <w:rPr>
          <w:rFonts w:ascii="Arial" w:hAnsi="Arial" w:cs="Arial"/>
          <w:sz w:val="22"/>
          <w:szCs w:val="22"/>
        </w:rPr>
        <w:t>the compilation of government finance statistics, revisions are most commonly associated with the completion of official audits</w:t>
      </w:r>
      <w:r w:rsidR="00AD56ED" w:rsidRPr="00AD56ED">
        <w:rPr>
          <w:rFonts w:ascii="Arial" w:hAnsi="Arial" w:cs="Arial"/>
          <w:sz w:val="22"/>
          <w:szCs w:val="22"/>
        </w:rPr>
        <w:t>.</w:t>
      </w:r>
      <w:r w:rsidR="00D37B18">
        <w:rPr>
          <w:rFonts w:ascii="Arial" w:hAnsi="Arial" w:cs="Arial"/>
          <w:sz w:val="22"/>
          <w:szCs w:val="22"/>
        </w:rPr>
        <w:t xml:space="preserve"> These audits are conducted primarily on the basis of established accounting principles, which may differ from statistical methodologies. Once the auditing process is finalised, the data are formally classified as “final”, and the likelihood of subsequent revisions becomes minimal. Accordingly, unless otherwise specified, </w:t>
      </w:r>
      <w:r w:rsidR="00D37B18" w:rsidRPr="00C65252">
        <w:rPr>
          <w:rFonts w:ascii="Arial" w:hAnsi="Arial" w:cs="Arial"/>
          <w:b/>
          <w:bCs/>
          <w:sz w:val="22"/>
          <w:szCs w:val="22"/>
        </w:rPr>
        <w:t>the figures presented in this publication are regarded as final at the time of release</w:t>
      </w:r>
      <w:r w:rsidR="00D37B18" w:rsidRPr="00C65252">
        <w:rPr>
          <w:rFonts w:ascii="Arial" w:hAnsi="Arial" w:cs="Arial"/>
          <w:sz w:val="22"/>
          <w:szCs w:val="22"/>
        </w:rPr>
        <w:t>.</w:t>
      </w:r>
    </w:p>
    <w:p w14:paraId="122E1D0D" w14:textId="77777777" w:rsidR="00AE6C7A" w:rsidRDefault="00D37B18" w:rsidP="0060359B">
      <w:pPr>
        <w:spacing w:beforeLines="40" w:before="96" w:afterLines="40" w:after="96"/>
        <w:jc w:val="both"/>
        <w:rPr>
          <w:rFonts w:ascii="Arial" w:hAnsi="Arial" w:cs="Arial"/>
          <w:sz w:val="22"/>
          <w:szCs w:val="22"/>
        </w:rPr>
      </w:pPr>
      <w:r>
        <w:rPr>
          <w:rFonts w:ascii="Arial" w:hAnsi="Arial" w:cs="Arial"/>
          <w:sz w:val="22"/>
          <w:szCs w:val="22"/>
        </w:rPr>
        <w:t>Nevertheless, it is recognised that, in exceptional circumstances, minor revisions may be warranted if new or updated information becomes available after publication. In such cases, these adjustments will be clearly identified and explained to users at the time of dissemination, thereby ensuring both transparency and the integrity of the statistical series.</w:t>
      </w:r>
    </w:p>
    <w:p w14:paraId="152DD477" w14:textId="19495E40" w:rsidR="004719B6" w:rsidRDefault="00AE6C7A" w:rsidP="00C65252">
      <w:pPr>
        <w:spacing w:beforeLines="40" w:before="96" w:afterLines="40" w:after="96"/>
        <w:jc w:val="both"/>
        <w:rPr>
          <w:rFonts w:ascii="Arial" w:hAnsi="Arial" w:cs="Arial"/>
          <w:sz w:val="22"/>
          <w:szCs w:val="22"/>
        </w:rPr>
      </w:pPr>
      <w:r>
        <w:rPr>
          <w:rFonts w:ascii="Arial" w:hAnsi="Arial" w:cs="Arial"/>
          <w:sz w:val="22"/>
          <w:szCs w:val="22"/>
        </w:rPr>
        <w:t>In addition</w:t>
      </w:r>
      <w:r w:rsidR="004719B6">
        <w:rPr>
          <w:rFonts w:ascii="Arial" w:hAnsi="Arial" w:cs="Arial"/>
          <w:sz w:val="22"/>
          <w:szCs w:val="22"/>
        </w:rPr>
        <w:t xml:space="preserve"> to these minor adjustments, there are instances where </w:t>
      </w:r>
      <w:r w:rsidR="004719B6" w:rsidRPr="00C65252">
        <w:rPr>
          <w:rFonts w:ascii="Arial" w:hAnsi="Arial" w:cs="Arial"/>
          <w:b/>
          <w:bCs/>
          <w:sz w:val="22"/>
          <w:szCs w:val="22"/>
        </w:rPr>
        <w:t>major revisions</w:t>
      </w:r>
      <w:r w:rsidR="004719B6">
        <w:rPr>
          <w:rFonts w:ascii="Arial" w:hAnsi="Arial" w:cs="Arial"/>
          <w:sz w:val="22"/>
          <w:szCs w:val="22"/>
        </w:rPr>
        <w:t xml:space="preserve"> may be necessary. Such revisions typically arise from methodological changes, the adoption of new international statistical standards</w:t>
      </w:r>
      <w:r w:rsidR="00741C84">
        <w:rPr>
          <w:rFonts w:ascii="Arial" w:hAnsi="Arial" w:cs="Arial"/>
          <w:sz w:val="22"/>
          <w:szCs w:val="22"/>
        </w:rPr>
        <w:t xml:space="preserve"> (updated GFSM)</w:t>
      </w:r>
      <w:r w:rsidR="004719B6">
        <w:rPr>
          <w:rFonts w:ascii="Arial" w:hAnsi="Arial" w:cs="Arial"/>
          <w:sz w:val="22"/>
          <w:szCs w:val="22"/>
        </w:rPr>
        <w:t>, or substantial reclassifications of government activities and financial instruments. Major revisions are less frequent but are carefully planned to maintain data coherence and comparability over time. Users are notified in advance of these changes, and wherever possible, consistent data series are reconstructed and published to preserve the integrity and analytical value of the data.</w:t>
      </w:r>
    </w:p>
    <w:p w14:paraId="6218F54A" w14:textId="1D696A6D" w:rsidR="00D97D79" w:rsidRPr="001C2BFB" w:rsidRDefault="00EA142F" w:rsidP="001C2BFB">
      <w:pPr>
        <w:spacing w:beforeLines="40" w:before="96" w:afterLines="40" w:after="96"/>
        <w:jc w:val="both"/>
        <w:rPr>
          <w:rFonts w:ascii="Arial" w:hAnsi="Arial" w:cs="Arial"/>
          <w:b/>
          <w:smallCaps/>
          <w:sz w:val="22"/>
          <w:szCs w:val="22"/>
        </w:rPr>
      </w:pPr>
      <w:r>
        <w:rPr>
          <w:rFonts w:ascii="Arial" w:hAnsi="Arial" w:cs="Arial"/>
          <w:b/>
          <w:smallCaps/>
          <w:sz w:val="22"/>
          <w:szCs w:val="22"/>
        </w:rPr>
        <w:t>11</w:t>
      </w:r>
      <w:r w:rsidR="002A357D" w:rsidRPr="003A32A8">
        <w:rPr>
          <w:rFonts w:ascii="Arial" w:hAnsi="Arial" w:cs="Arial"/>
          <w:b/>
          <w:smallCaps/>
          <w:sz w:val="22"/>
          <w:szCs w:val="22"/>
        </w:rPr>
        <w:t>.</w:t>
      </w:r>
      <w:r w:rsidR="00947834">
        <w:rPr>
          <w:rFonts w:ascii="Arial" w:hAnsi="Arial" w:cs="Arial"/>
          <w:b/>
          <w:smallCaps/>
          <w:sz w:val="22"/>
          <w:szCs w:val="22"/>
        </w:rPr>
        <w:t>3</w:t>
      </w:r>
      <w:r w:rsidR="002A357D" w:rsidRPr="003A32A8">
        <w:rPr>
          <w:rFonts w:ascii="Arial" w:hAnsi="Arial" w:cs="Arial"/>
          <w:b/>
          <w:smallCaps/>
          <w:sz w:val="22"/>
          <w:szCs w:val="22"/>
        </w:rPr>
        <w:tab/>
      </w:r>
      <w:r w:rsidR="00D97D79">
        <w:rPr>
          <w:rFonts w:ascii="Arial" w:hAnsi="Arial" w:cs="Arial"/>
          <w:b/>
          <w:smallCaps/>
          <w:sz w:val="22"/>
          <w:szCs w:val="22"/>
        </w:rPr>
        <w:t>Concept</w:t>
      </w:r>
      <w:r w:rsidR="00B8429E">
        <w:rPr>
          <w:rFonts w:ascii="Arial" w:hAnsi="Arial" w:cs="Arial"/>
          <w:b/>
          <w:smallCaps/>
          <w:sz w:val="22"/>
          <w:szCs w:val="22"/>
        </w:rPr>
        <w:t>s</w:t>
      </w:r>
      <w:r w:rsidR="00D97D79">
        <w:rPr>
          <w:rFonts w:ascii="Arial" w:hAnsi="Arial" w:cs="Arial"/>
          <w:b/>
          <w:smallCaps/>
          <w:sz w:val="22"/>
          <w:szCs w:val="22"/>
        </w:rPr>
        <w:t xml:space="preserve"> and Definitions</w:t>
      </w:r>
    </w:p>
    <w:p w14:paraId="36AC397B" w14:textId="26403C1E" w:rsidR="00B8429E" w:rsidRPr="00D8227C" w:rsidRDefault="003911DF" w:rsidP="00B8429E">
      <w:pPr>
        <w:spacing w:before="96" w:after="96" w:line="276" w:lineRule="auto"/>
        <w:jc w:val="both"/>
        <w:rPr>
          <w:rFonts w:ascii="Arial" w:hAnsi="Arial" w:cs="Arial"/>
          <w:bCs/>
          <w:sz w:val="22"/>
          <w:szCs w:val="22"/>
        </w:rPr>
      </w:pPr>
      <w:r>
        <w:rPr>
          <w:rFonts w:ascii="Arial" w:hAnsi="Arial" w:cs="Arial"/>
          <w:b/>
          <w:sz w:val="22"/>
          <w:szCs w:val="22"/>
        </w:rPr>
        <w:t>1</w:t>
      </w:r>
      <w:r w:rsidR="00743DBB">
        <w:rPr>
          <w:rFonts w:ascii="Arial" w:hAnsi="Arial" w:cs="Arial"/>
          <w:b/>
          <w:sz w:val="22"/>
          <w:szCs w:val="22"/>
        </w:rPr>
        <w:t>1.3.1</w:t>
      </w:r>
      <w:r w:rsidR="003E1D20">
        <w:rPr>
          <w:rFonts w:ascii="Arial" w:hAnsi="Arial" w:cs="Arial"/>
          <w:bCs/>
          <w:sz w:val="22"/>
          <w:szCs w:val="22"/>
        </w:rPr>
        <w:t xml:space="preserve"> </w:t>
      </w:r>
      <w:r w:rsidR="00E06347" w:rsidRPr="00574A48">
        <w:rPr>
          <w:rFonts w:ascii="Arial" w:hAnsi="Arial" w:cs="Arial"/>
          <w:b/>
          <w:smallCaps/>
          <w:sz w:val="22"/>
          <w:szCs w:val="22"/>
        </w:rPr>
        <w:t>Revenue</w:t>
      </w:r>
    </w:p>
    <w:p w14:paraId="1DF1C2F0" w14:textId="6B52522B" w:rsidR="00B8429E" w:rsidRPr="00B8429E" w:rsidRDefault="00D8227C" w:rsidP="00B8429E">
      <w:pPr>
        <w:spacing w:before="96" w:after="96" w:line="276" w:lineRule="auto"/>
        <w:jc w:val="both"/>
        <w:rPr>
          <w:rFonts w:ascii="Arial" w:hAnsi="Arial" w:cs="Arial"/>
          <w:sz w:val="22"/>
          <w:szCs w:val="22"/>
        </w:rPr>
      </w:pPr>
      <w:r w:rsidRPr="00D8227C">
        <w:rPr>
          <w:rFonts w:ascii="Arial" w:hAnsi="Arial" w:cs="Arial"/>
          <w:sz w:val="22"/>
          <w:szCs w:val="22"/>
        </w:rPr>
        <w:t>Revenue is defined as all transactions that increase net worth</w:t>
      </w:r>
      <w:r w:rsidR="0033314B">
        <w:rPr>
          <w:rFonts w:ascii="Arial" w:hAnsi="Arial" w:cs="Arial"/>
          <w:sz w:val="22"/>
          <w:szCs w:val="22"/>
        </w:rPr>
        <w:t>, which</w:t>
      </w:r>
      <w:r w:rsidR="003911DF" w:rsidRPr="003911DF">
        <w:rPr>
          <w:rFonts w:ascii="Arial" w:hAnsi="Arial" w:cs="Arial"/>
          <w:sz w:val="22"/>
          <w:szCs w:val="22"/>
        </w:rPr>
        <w:t xml:space="preserve"> is the difference between the total value of all assets and the total value of all liabilities.</w:t>
      </w:r>
    </w:p>
    <w:p w14:paraId="6A2F9083" w14:textId="41E7D0C5" w:rsidR="005A6C16" w:rsidRPr="00D8227C" w:rsidRDefault="00743DBB" w:rsidP="005A6C16">
      <w:pPr>
        <w:spacing w:before="96" w:after="96" w:line="276" w:lineRule="auto"/>
        <w:jc w:val="both"/>
        <w:rPr>
          <w:rFonts w:ascii="Arial" w:hAnsi="Arial" w:cs="Arial"/>
          <w:bCs/>
          <w:sz w:val="22"/>
          <w:szCs w:val="22"/>
        </w:rPr>
      </w:pPr>
      <w:r>
        <w:rPr>
          <w:rFonts w:ascii="Arial" w:hAnsi="Arial" w:cs="Arial"/>
          <w:b/>
          <w:sz w:val="22"/>
          <w:szCs w:val="22"/>
        </w:rPr>
        <w:t>11.3.</w:t>
      </w:r>
      <w:r w:rsidR="003911DF">
        <w:rPr>
          <w:rFonts w:ascii="Arial" w:hAnsi="Arial" w:cs="Arial"/>
          <w:b/>
          <w:sz w:val="22"/>
          <w:szCs w:val="22"/>
        </w:rPr>
        <w:t>2</w:t>
      </w:r>
      <w:r w:rsidR="003E1D20">
        <w:rPr>
          <w:rFonts w:ascii="Arial" w:hAnsi="Arial" w:cs="Arial"/>
          <w:bCs/>
          <w:sz w:val="22"/>
          <w:szCs w:val="22"/>
        </w:rPr>
        <w:t xml:space="preserve"> </w:t>
      </w:r>
      <w:r w:rsidR="00D8227C">
        <w:rPr>
          <w:rFonts w:ascii="Arial" w:hAnsi="Arial" w:cs="Arial"/>
          <w:b/>
          <w:smallCaps/>
          <w:sz w:val="22"/>
          <w:szCs w:val="22"/>
        </w:rPr>
        <w:t>Taxes</w:t>
      </w:r>
    </w:p>
    <w:p w14:paraId="75573A2E" w14:textId="566C5313" w:rsidR="00B8429E" w:rsidRPr="005A6C16" w:rsidRDefault="005A6C16" w:rsidP="00B8429E">
      <w:pPr>
        <w:spacing w:before="96" w:after="96" w:line="276" w:lineRule="auto"/>
        <w:jc w:val="both"/>
        <w:rPr>
          <w:rFonts w:ascii="Arial" w:hAnsi="Arial" w:cs="Arial"/>
          <w:sz w:val="22"/>
          <w:szCs w:val="22"/>
        </w:rPr>
      </w:pPr>
      <w:r w:rsidRPr="005A6C16">
        <w:rPr>
          <w:rFonts w:ascii="Arial" w:hAnsi="Arial" w:cs="Arial"/>
          <w:sz w:val="22"/>
          <w:szCs w:val="22"/>
        </w:rPr>
        <w:t>Taxes comprise compulsory transfers to the government</w:t>
      </w:r>
      <w:r w:rsidR="00FA11C5">
        <w:rPr>
          <w:rFonts w:ascii="Arial" w:hAnsi="Arial" w:cs="Arial"/>
          <w:sz w:val="22"/>
          <w:szCs w:val="22"/>
        </w:rPr>
        <w:t xml:space="preserve"> </w:t>
      </w:r>
      <w:r w:rsidR="00FA11C5" w:rsidRPr="00FA11C5">
        <w:rPr>
          <w:rFonts w:ascii="Arial" w:hAnsi="Arial" w:cs="Arial"/>
          <w:sz w:val="22"/>
          <w:szCs w:val="22"/>
        </w:rPr>
        <w:t>but exclude certain compulsory transfers such as most social contributions and fines and penalties.</w:t>
      </w:r>
    </w:p>
    <w:p w14:paraId="08B6E802" w14:textId="62B89DD4" w:rsidR="00E1207B" w:rsidRPr="00D8227C" w:rsidRDefault="00743DBB" w:rsidP="00E1207B">
      <w:pPr>
        <w:spacing w:before="96" w:after="96" w:line="276" w:lineRule="auto"/>
        <w:jc w:val="both"/>
        <w:rPr>
          <w:rFonts w:ascii="Arial" w:hAnsi="Arial" w:cs="Arial"/>
          <w:bCs/>
          <w:sz w:val="22"/>
          <w:szCs w:val="22"/>
        </w:rPr>
      </w:pPr>
      <w:r>
        <w:rPr>
          <w:rFonts w:ascii="Arial" w:hAnsi="Arial" w:cs="Arial"/>
          <w:b/>
          <w:sz w:val="22"/>
          <w:szCs w:val="22"/>
        </w:rPr>
        <w:t>11.</w:t>
      </w:r>
      <w:r w:rsidR="003911DF">
        <w:rPr>
          <w:rFonts w:ascii="Arial" w:hAnsi="Arial" w:cs="Arial"/>
          <w:b/>
          <w:sz w:val="22"/>
          <w:szCs w:val="22"/>
        </w:rPr>
        <w:t>3</w:t>
      </w:r>
      <w:r w:rsidR="009D3378" w:rsidRPr="009D3378">
        <w:rPr>
          <w:rFonts w:ascii="Arial" w:hAnsi="Arial" w:cs="Arial"/>
          <w:b/>
          <w:sz w:val="22"/>
          <w:szCs w:val="22"/>
        </w:rPr>
        <w:t>.</w:t>
      </w:r>
      <w:r>
        <w:rPr>
          <w:rFonts w:ascii="Arial" w:hAnsi="Arial" w:cs="Arial"/>
          <w:b/>
          <w:sz w:val="22"/>
          <w:szCs w:val="22"/>
        </w:rPr>
        <w:t>3</w:t>
      </w:r>
      <w:r w:rsidR="009B1B16">
        <w:rPr>
          <w:rFonts w:ascii="Arial" w:hAnsi="Arial" w:cs="Arial"/>
          <w:bCs/>
          <w:sz w:val="22"/>
          <w:szCs w:val="22"/>
        </w:rPr>
        <w:t xml:space="preserve"> </w:t>
      </w:r>
      <w:r w:rsidR="00E1207B">
        <w:rPr>
          <w:rFonts w:ascii="Arial" w:hAnsi="Arial" w:cs="Arial"/>
          <w:b/>
          <w:smallCaps/>
          <w:sz w:val="22"/>
          <w:szCs w:val="22"/>
        </w:rPr>
        <w:t>T</w:t>
      </w:r>
      <w:r w:rsidR="00E1207B" w:rsidRPr="00E1207B">
        <w:rPr>
          <w:rFonts w:ascii="Arial" w:hAnsi="Arial" w:cs="Arial"/>
          <w:b/>
          <w:smallCaps/>
          <w:sz w:val="22"/>
          <w:szCs w:val="22"/>
        </w:rPr>
        <w:t>axes on income, profits, and capital gains</w:t>
      </w:r>
    </w:p>
    <w:p w14:paraId="7260C604" w14:textId="3490B540" w:rsidR="00E1207B" w:rsidRDefault="00E1207B" w:rsidP="00B8429E">
      <w:pPr>
        <w:spacing w:before="96" w:after="96" w:line="276" w:lineRule="auto"/>
        <w:jc w:val="both"/>
        <w:rPr>
          <w:rFonts w:ascii="Arial" w:hAnsi="Arial" w:cs="Arial"/>
          <w:sz w:val="22"/>
          <w:szCs w:val="22"/>
        </w:rPr>
      </w:pPr>
      <w:r>
        <w:rPr>
          <w:rFonts w:ascii="Arial" w:hAnsi="Arial" w:cs="Arial"/>
          <w:sz w:val="22"/>
          <w:szCs w:val="22"/>
        </w:rPr>
        <w:t>T</w:t>
      </w:r>
      <w:r w:rsidRPr="00E1207B">
        <w:rPr>
          <w:rFonts w:ascii="Arial" w:hAnsi="Arial" w:cs="Arial"/>
          <w:sz w:val="22"/>
          <w:szCs w:val="22"/>
        </w:rPr>
        <w:t>axes on income, profits, and capital gains</w:t>
      </w:r>
      <w:r>
        <w:rPr>
          <w:rFonts w:ascii="Arial" w:hAnsi="Arial" w:cs="Arial"/>
          <w:sz w:val="22"/>
          <w:szCs w:val="22"/>
        </w:rPr>
        <w:t xml:space="preserve"> </w:t>
      </w:r>
      <w:r w:rsidRPr="00E1207B">
        <w:rPr>
          <w:rFonts w:ascii="Arial" w:hAnsi="Arial" w:cs="Arial"/>
          <w:sz w:val="22"/>
          <w:szCs w:val="22"/>
        </w:rPr>
        <w:t xml:space="preserve">are generally levied </w:t>
      </w:r>
      <w:r w:rsidR="0018789D">
        <w:rPr>
          <w:rFonts w:ascii="Arial" w:hAnsi="Arial" w:cs="Arial"/>
          <w:sz w:val="22"/>
          <w:szCs w:val="22"/>
        </w:rPr>
        <w:t xml:space="preserve">on </w:t>
      </w:r>
      <w:r w:rsidRPr="00E1207B">
        <w:rPr>
          <w:rFonts w:ascii="Arial" w:hAnsi="Arial" w:cs="Arial"/>
          <w:sz w:val="22"/>
          <w:szCs w:val="22"/>
        </w:rPr>
        <w:t>salaries, interest, dividends, rent,</w:t>
      </w:r>
      <w:r w:rsidR="00FA737C">
        <w:rPr>
          <w:rFonts w:ascii="Arial" w:hAnsi="Arial" w:cs="Arial"/>
          <w:sz w:val="22"/>
          <w:szCs w:val="22"/>
        </w:rPr>
        <w:t xml:space="preserve"> </w:t>
      </w:r>
      <w:r w:rsidRPr="00E1207B">
        <w:rPr>
          <w:rFonts w:ascii="Arial" w:hAnsi="Arial" w:cs="Arial"/>
          <w:sz w:val="22"/>
          <w:szCs w:val="22"/>
        </w:rPr>
        <w:t>royalty incomes</w:t>
      </w:r>
      <w:r w:rsidR="00FA737C">
        <w:rPr>
          <w:rFonts w:ascii="Arial" w:hAnsi="Arial" w:cs="Arial"/>
          <w:sz w:val="22"/>
          <w:szCs w:val="22"/>
        </w:rPr>
        <w:t xml:space="preserve">, </w:t>
      </w:r>
      <w:r w:rsidRPr="00E1207B">
        <w:rPr>
          <w:rFonts w:ascii="Arial" w:hAnsi="Arial" w:cs="Arial"/>
          <w:sz w:val="22"/>
          <w:szCs w:val="22"/>
        </w:rPr>
        <w:t>capital gains</w:t>
      </w:r>
      <w:r w:rsidR="0018789D">
        <w:rPr>
          <w:rFonts w:ascii="Arial" w:hAnsi="Arial" w:cs="Arial"/>
          <w:sz w:val="22"/>
          <w:szCs w:val="22"/>
        </w:rPr>
        <w:t xml:space="preserve">, </w:t>
      </w:r>
      <w:r w:rsidRPr="00E1207B">
        <w:rPr>
          <w:rFonts w:ascii="Arial" w:hAnsi="Arial" w:cs="Arial"/>
          <w:sz w:val="22"/>
          <w:szCs w:val="22"/>
        </w:rPr>
        <w:t>profits of corporations</w:t>
      </w:r>
      <w:r w:rsidR="0018789D">
        <w:rPr>
          <w:rFonts w:ascii="Arial" w:hAnsi="Arial" w:cs="Arial"/>
          <w:sz w:val="22"/>
          <w:szCs w:val="22"/>
        </w:rPr>
        <w:t xml:space="preserve"> and </w:t>
      </w:r>
      <w:r w:rsidR="0018789D" w:rsidRPr="0018789D">
        <w:rPr>
          <w:rFonts w:ascii="Arial" w:hAnsi="Arial" w:cs="Arial"/>
          <w:sz w:val="22"/>
          <w:szCs w:val="22"/>
        </w:rPr>
        <w:t>taxable portions of social security</w:t>
      </w:r>
      <w:r w:rsidRPr="00E1207B">
        <w:rPr>
          <w:rFonts w:ascii="Arial" w:hAnsi="Arial" w:cs="Arial"/>
          <w:sz w:val="22"/>
          <w:szCs w:val="22"/>
        </w:rPr>
        <w:t>.</w:t>
      </w:r>
    </w:p>
    <w:p w14:paraId="306801FE" w14:textId="6C3481FE" w:rsidR="00E1207B" w:rsidRPr="00D8227C" w:rsidRDefault="00743DBB" w:rsidP="00E1207B">
      <w:pPr>
        <w:spacing w:before="96" w:after="96" w:line="276" w:lineRule="auto"/>
        <w:jc w:val="both"/>
        <w:rPr>
          <w:rFonts w:ascii="Arial" w:hAnsi="Arial" w:cs="Arial"/>
          <w:bCs/>
          <w:sz w:val="22"/>
          <w:szCs w:val="22"/>
        </w:rPr>
      </w:pPr>
      <w:r>
        <w:rPr>
          <w:rFonts w:ascii="Arial" w:hAnsi="Arial" w:cs="Arial"/>
          <w:b/>
          <w:sz w:val="22"/>
          <w:szCs w:val="22"/>
        </w:rPr>
        <w:t>11.3</w:t>
      </w:r>
      <w:r w:rsidRPr="009D3378">
        <w:rPr>
          <w:rFonts w:ascii="Arial" w:hAnsi="Arial" w:cs="Arial"/>
          <w:b/>
          <w:sz w:val="22"/>
          <w:szCs w:val="22"/>
        </w:rPr>
        <w:t>.</w:t>
      </w:r>
      <w:r w:rsidR="003911DF">
        <w:rPr>
          <w:rFonts w:ascii="Arial" w:hAnsi="Arial" w:cs="Arial"/>
          <w:b/>
          <w:bCs/>
          <w:sz w:val="22"/>
          <w:szCs w:val="22"/>
        </w:rPr>
        <w:t>4</w:t>
      </w:r>
      <w:r w:rsidR="00E1207B">
        <w:rPr>
          <w:rFonts w:ascii="Arial" w:hAnsi="Arial" w:cs="Arial"/>
          <w:b/>
          <w:bCs/>
          <w:sz w:val="22"/>
          <w:szCs w:val="22"/>
        </w:rPr>
        <w:t xml:space="preserve"> </w:t>
      </w:r>
      <w:r w:rsidR="00FB2623">
        <w:rPr>
          <w:rFonts w:ascii="Arial" w:hAnsi="Arial" w:cs="Arial"/>
          <w:b/>
          <w:smallCaps/>
          <w:sz w:val="22"/>
          <w:szCs w:val="22"/>
        </w:rPr>
        <w:t>T</w:t>
      </w:r>
      <w:r w:rsidR="00FB2623" w:rsidRPr="00FB2623">
        <w:rPr>
          <w:rFonts w:ascii="Arial" w:hAnsi="Arial" w:cs="Arial"/>
          <w:b/>
          <w:smallCaps/>
          <w:sz w:val="22"/>
          <w:szCs w:val="22"/>
        </w:rPr>
        <w:t xml:space="preserve">axes on payroll </w:t>
      </w:r>
      <w:r w:rsidR="00FA737C">
        <w:rPr>
          <w:rFonts w:ascii="Arial" w:hAnsi="Arial" w:cs="Arial"/>
          <w:b/>
          <w:smallCaps/>
          <w:sz w:val="22"/>
          <w:szCs w:val="22"/>
        </w:rPr>
        <w:t>and</w:t>
      </w:r>
      <w:r w:rsidR="00FB2623" w:rsidRPr="00FB2623">
        <w:rPr>
          <w:rFonts w:ascii="Arial" w:hAnsi="Arial" w:cs="Arial"/>
          <w:b/>
          <w:smallCaps/>
          <w:sz w:val="22"/>
          <w:szCs w:val="22"/>
        </w:rPr>
        <w:t xml:space="preserve"> workforce</w:t>
      </w:r>
    </w:p>
    <w:p w14:paraId="48716CA4" w14:textId="13657D9B" w:rsidR="00FB2623" w:rsidRDefault="00FA737C" w:rsidP="00E1207B">
      <w:pPr>
        <w:spacing w:before="96" w:after="96" w:line="276" w:lineRule="auto"/>
        <w:jc w:val="both"/>
        <w:rPr>
          <w:rFonts w:ascii="Arial" w:hAnsi="Arial" w:cs="Arial"/>
          <w:sz w:val="22"/>
          <w:szCs w:val="22"/>
        </w:rPr>
      </w:pPr>
      <w:r>
        <w:rPr>
          <w:rFonts w:ascii="Arial" w:hAnsi="Arial" w:cs="Arial"/>
          <w:sz w:val="22"/>
          <w:szCs w:val="22"/>
        </w:rPr>
        <w:t>T</w:t>
      </w:r>
      <w:r w:rsidRPr="00FA737C">
        <w:rPr>
          <w:rFonts w:ascii="Arial" w:hAnsi="Arial" w:cs="Arial"/>
          <w:sz w:val="22"/>
          <w:szCs w:val="22"/>
        </w:rPr>
        <w:t>axes on payroll and workforce</w:t>
      </w:r>
      <w:r w:rsidR="00FB2623" w:rsidRPr="00FB2623">
        <w:rPr>
          <w:rFonts w:ascii="Arial" w:hAnsi="Arial" w:cs="Arial"/>
          <w:sz w:val="22"/>
          <w:szCs w:val="22"/>
        </w:rPr>
        <w:t xml:space="preserve"> consist of taxes that are collected from employers or the self-employed either as a proportion of payroll size or as a fixed amount per person and that are not earmarked for social security schemes.</w:t>
      </w:r>
    </w:p>
    <w:p w14:paraId="2B9FC707" w14:textId="767B1DD6" w:rsidR="00974CB9" w:rsidRPr="00D8227C" w:rsidRDefault="00743DBB" w:rsidP="00974CB9">
      <w:pPr>
        <w:spacing w:before="96" w:after="96" w:line="276" w:lineRule="auto"/>
        <w:jc w:val="both"/>
        <w:rPr>
          <w:rFonts w:ascii="Arial" w:hAnsi="Arial" w:cs="Arial"/>
          <w:bCs/>
          <w:sz w:val="22"/>
          <w:szCs w:val="22"/>
        </w:rPr>
      </w:pPr>
      <w:r>
        <w:rPr>
          <w:rFonts w:ascii="Arial" w:hAnsi="Arial" w:cs="Arial"/>
          <w:b/>
          <w:sz w:val="22"/>
          <w:szCs w:val="22"/>
        </w:rPr>
        <w:lastRenderedPageBreak/>
        <w:t>11.3</w:t>
      </w:r>
      <w:r w:rsidRPr="009D3378">
        <w:rPr>
          <w:rFonts w:ascii="Arial" w:hAnsi="Arial" w:cs="Arial"/>
          <w:b/>
          <w:sz w:val="22"/>
          <w:szCs w:val="22"/>
        </w:rPr>
        <w:t>.</w:t>
      </w:r>
      <w:r w:rsidR="003911DF">
        <w:rPr>
          <w:rFonts w:ascii="Arial" w:hAnsi="Arial" w:cs="Arial"/>
          <w:b/>
          <w:bCs/>
          <w:sz w:val="22"/>
          <w:szCs w:val="22"/>
        </w:rPr>
        <w:t>5</w:t>
      </w:r>
      <w:r w:rsidR="00817CFD">
        <w:rPr>
          <w:rFonts w:ascii="Arial" w:hAnsi="Arial" w:cs="Arial"/>
          <w:b/>
          <w:bCs/>
          <w:sz w:val="22"/>
          <w:szCs w:val="22"/>
        </w:rPr>
        <w:t xml:space="preserve"> </w:t>
      </w:r>
      <w:r w:rsidR="00974CB9">
        <w:rPr>
          <w:rFonts w:ascii="Arial" w:hAnsi="Arial" w:cs="Arial"/>
          <w:b/>
          <w:smallCaps/>
          <w:sz w:val="22"/>
          <w:szCs w:val="22"/>
        </w:rPr>
        <w:t>T</w:t>
      </w:r>
      <w:r w:rsidR="00974CB9" w:rsidRPr="00974CB9">
        <w:rPr>
          <w:rFonts w:ascii="Arial" w:hAnsi="Arial" w:cs="Arial"/>
          <w:b/>
          <w:smallCaps/>
          <w:sz w:val="22"/>
          <w:szCs w:val="22"/>
        </w:rPr>
        <w:t>axes on property</w:t>
      </w:r>
    </w:p>
    <w:p w14:paraId="503EC2EE" w14:textId="2693D3BB" w:rsidR="00974CB9" w:rsidRDefault="0090089E" w:rsidP="00974CB9">
      <w:pPr>
        <w:spacing w:before="96" w:after="96" w:line="276" w:lineRule="auto"/>
        <w:jc w:val="both"/>
        <w:rPr>
          <w:rFonts w:ascii="Arial" w:hAnsi="Arial" w:cs="Arial"/>
          <w:sz w:val="22"/>
          <w:szCs w:val="22"/>
        </w:rPr>
      </w:pPr>
      <w:r>
        <w:rPr>
          <w:rFonts w:ascii="Arial" w:hAnsi="Arial" w:cs="Arial"/>
          <w:sz w:val="22"/>
          <w:szCs w:val="22"/>
        </w:rPr>
        <w:t>T</w:t>
      </w:r>
      <w:r w:rsidRPr="0090089E">
        <w:rPr>
          <w:rFonts w:ascii="Arial" w:hAnsi="Arial" w:cs="Arial"/>
          <w:sz w:val="22"/>
          <w:szCs w:val="22"/>
        </w:rPr>
        <w:t xml:space="preserve">axes on property </w:t>
      </w:r>
      <w:r w:rsidR="00974CB9" w:rsidRPr="00974CB9">
        <w:rPr>
          <w:rFonts w:ascii="Arial" w:hAnsi="Arial" w:cs="Arial"/>
          <w:sz w:val="22"/>
          <w:szCs w:val="22"/>
        </w:rPr>
        <w:t xml:space="preserve">include taxes on the use, ownership, or transfer of wealth. </w:t>
      </w:r>
      <w:r>
        <w:rPr>
          <w:rFonts w:ascii="Arial" w:hAnsi="Arial" w:cs="Arial"/>
          <w:sz w:val="22"/>
          <w:szCs w:val="22"/>
        </w:rPr>
        <w:t>Examples are recurrent taxes on immovable property and capital levies.</w:t>
      </w:r>
    </w:p>
    <w:p w14:paraId="39659E3F" w14:textId="308842E5" w:rsidR="00974CB9" w:rsidRPr="00D8227C" w:rsidRDefault="00743DBB" w:rsidP="00974CB9">
      <w:pPr>
        <w:spacing w:before="96" w:after="96" w:line="276" w:lineRule="auto"/>
        <w:jc w:val="both"/>
        <w:rPr>
          <w:rFonts w:ascii="Arial" w:hAnsi="Arial" w:cs="Arial"/>
          <w:bCs/>
          <w:sz w:val="22"/>
          <w:szCs w:val="22"/>
        </w:rPr>
      </w:pPr>
      <w:r>
        <w:rPr>
          <w:rFonts w:ascii="Arial" w:hAnsi="Arial" w:cs="Arial"/>
          <w:b/>
          <w:sz w:val="22"/>
          <w:szCs w:val="22"/>
        </w:rPr>
        <w:t>11.3</w:t>
      </w:r>
      <w:r w:rsidRPr="009D3378">
        <w:rPr>
          <w:rFonts w:ascii="Arial" w:hAnsi="Arial" w:cs="Arial"/>
          <w:b/>
          <w:sz w:val="22"/>
          <w:szCs w:val="22"/>
        </w:rPr>
        <w:t>.</w:t>
      </w:r>
      <w:r w:rsidR="003911DF">
        <w:rPr>
          <w:rFonts w:ascii="Arial" w:hAnsi="Arial" w:cs="Arial"/>
          <w:b/>
          <w:bCs/>
          <w:sz w:val="22"/>
          <w:szCs w:val="22"/>
        </w:rPr>
        <w:t>6</w:t>
      </w:r>
      <w:r w:rsidR="00817CFD">
        <w:rPr>
          <w:rFonts w:ascii="Arial" w:hAnsi="Arial" w:cs="Arial"/>
          <w:b/>
          <w:bCs/>
          <w:sz w:val="22"/>
          <w:szCs w:val="22"/>
        </w:rPr>
        <w:t xml:space="preserve"> </w:t>
      </w:r>
      <w:r w:rsidR="00974CB9" w:rsidRPr="00974CB9">
        <w:rPr>
          <w:rFonts w:ascii="Arial" w:hAnsi="Arial" w:cs="Arial"/>
          <w:b/>
          <w:smallCaps/>
          <w:sz w:val="22"/>
          <w:szCs w:val="22"/>
        </w:rPr>
        <w:t>Taxes on goods &amp; services</w:t>
      </w:r>
    </w:p>
    <w:p w14:paraId="44A30E60" w14:textId="6A69F074" w:rsidR="00974CB9" w:rsidRPr="00974CB9" w:rsidRDefault="0090089E" w:rsidP="00974CB9">
      <w:pPr>
        <w:spacing w:before="96" w:after="96" w:line="276" w:lineRule="auto"/>
        <w:jc w:val="both"/>
        <w:rPr>
          <w:rFonts w:ascii="Arial" w:hAnsi="Arial" w:cs="Arial"/>
          <w:sz w:val="22"/>
          <w:szCs w:val="22"/>
        </w:rPr>
      </w:pPr>
      <w:r>
        <w:rPr>
          <w:rFonts w:ascii="Arial" w:hAnsi="Arial" w:cs="Arial"/>
          <w:sz w:val="22"/>
          <w:szCs w:val="22"/>
        </w:rPr>
        <w:t>T</w:t>
      </w:r>
      <w:r w:rsidRPr="0090089E">
        <w:rPr>
          <w:rFonts w:ascii="Arial" w:hAnsi="Arial" w:cs="Arial"/>
          <w:sz w:val="22"/>
          <w:szCs w:val="22"/>
        </w:rPr>
        <w:t xml:space="preserve">axes on goods and services </w:t>
      </w:r>
      <w:r>
        <w:rPr>
          <w:rFonts w:ascii="Arial" w:hAnsi="Arial" w:cs="Arial"/>
          <w:sz w:val="22"/>
          <w:szCs w:val="22"/>
        </w:rPr>
        <w:t>i</w:t>
      </w:r>
      <w:r w:rsidR="00974CB9" w:rsidRPr="00974CB9">
        <w:rPr>
          <w:rFonts w:ascii="Arial" w:hAnsi="Arial" w:cs="Arial"/>
          <w:sz w:val="22"/>
          <w:szCs w:val="22"/>
        </w:rPr>
        <w:t xml:space="preserve">nclude all taxes levied on the production, extraction, sale, transfer, leasing, or delivery of goods and rendering of services. Also included are taxes on the use of goods and on permission to use goods or perform activities. </w:t>
      </w:r>
      <w:r w:rsidR="0005600A">
        <w:rPr>
          <w:rFonts w:ascii="Arial" w:hAnsi="Arial" w:cs="Arial"/>
          <w:sz w:val="22"/>
          <w:szCs w:val="22"/>
        </w:rPr>
        <w:t xml:space="preserve">Examples are </w:t>
      </w:r>
      <w:r w:rsidR="00974CB9" w:rsidRPr="00974CB9">
        <w:rPr>
          <w:rFonts w:ascii="Arial" w:hAnsi="Arial" w:cs="Arial"/>
          <w:sz w:val="22"/>
          <w:szCs w:val="22"/>
        </w:rPr>
        <w:t>Value-added taxes</w:t>
      </w:r>
      <w:r w:rsidR="0005600A">
        <w:rPr>
          <w:rFonts w:ascii="Arial" w:hAnsi="Arial" w:cs="Arial"/>
          <w:sz w:val="22"/>
          <w:szCs w:val="22"/>
        </w:rPr>
        <w:t>, e</w:t>
      </w:r>
      <w:r w:rsidR="00974CB9" w:rsidRPr="00974CB9">
        <w:rPr>
          <w:rFonts w:ascii="Arial" w:hAnsi="Arial" w:cs="Arial"/>
          <w:sz w:val="22"/>
          <w:szCs w:val="22"/>
        </w:rPr>
        <w:t>xcises</w:t>
      </w:r>
      <w:r w:rsidR="0005600A">
        <w:rPr>
          <w:rFonts w:ascii="Arial" w:hAnsi="Arial" w:cs="Arial"/>
          <w:sz w:val="22"/>
          <w:szCs w:val="22"/>
        </w:rPr>
        <w:t xml:space="preserve">, taxes on financial and capital transactions, and </w:t>
      </w:r>
      <w:r w:rsidR="00974CB9" w:rsidRPr="00974CB9">
        <w:rPr>
          <w:rFonts w:ascii="Arial" w:hAnsi="Arial" w:cs="Arial"/>
          <w:sz w:val="22"/>
          <w:szCs w:val="22"/>
        </w:rPr>
        <w:t xml:space="preserve">motor vehicles </w:t>
      </w:r>
      <w:r w:rsidR="0005600A">
        <w:rPr>
          <w:rFonts w:ascii="Arial" w:hAnsi="Arial" w:cs="Arial"/>
          <w:sz w:val="22"/>
          <w:szCs w:val="22"/>
        </w:rPr>
        <w:t>taxes.</w:t>
      </w:r>
    </w:p>
    <w:p w14:paraId="3B764182" w14:textId="7AE7FAAA" w:rsidR="00974CB9" w:rsidRPr="00D8227C" w:rsidRDefault="00743DBB" w:rsidP="00974CB9">
      <w:pPr>
        <w:spacing w:before="96" w:after="96" w:line="276" w:lineRule="auto"/>
        <w:jc w:val="both"/>
        <w:rPr>
          <w:rFonts w:ascii="Arial" w:hAnsi="Arial" w:cs="Arial"/>
          <w:bCs/>
          <w:sz w:val="22"/>
          <w:szCs w:val="22"/>
        </w:rPr>
      </w:pPr>
      <w:r>
        <w:rPr>
          <w:rFonts w:ascii="Arial" w:hAnsi="Arial" w:cs="Arial"/>
          <w:b/>
          <w:sz w:val="22"/>
          <w:szCs w:val="22"/>
        </w:rPr>
        <w:t>11.3</w:t>
      </w:r>
      <w:r w:rsidRPr="009D3378">
        <w:rPr>
          <w:rFonts w:ascii="Arial" w:hAnsi="Arial" w:cs="Arial"/>
          <w:b/>
          <w:sz w:val="22"/>
          <w:szCs w:val="22"/>
        </w:rPr>
        <w:t>.</w:t>
      </w:r>
      <w:r w:rsidR="003911DF">
        <w:rPr>
          <w:rFonts w:ascii="Arial" w:hAnsi="Arial" w:cs="Arial"/>
          <w:b/>
          <w:bCs/>
          <w:sz w:val="22"/>
          <w:szCs w:val="22"/>
        </w:rPr>
        <w:t>7</w:t>
      </w:r>
      <w:r w:rsidR="00817CFD">
        <w:rPr>
          <w:rFonts w:ascii="Arial" w:hAnsi="Arial" w:cs="Arial"/>
          <w:b/>
          <w:bCs/>
          <w:sz w:val="22"/>
          <w:szCs w:val="22"/>
        </w:rPr>
        <w:t xml:space="preserve"> </w:t>
      </w:r>
      <w:r w:rsidR="00974CB9">
        <w:rPr>
          <w:rFonts w:ascii="Arial" w:hAnsi="Arial" w:cs="Arial"/>
          <w:b/>
          <w:smallCaps/>
          <w:sz w:val="22"/>
          <w:szCs w:val="22"/>
        </w:rPr>
        <w:t>T</w:t>
      </w:r>
      <w:r w:rsidR="00974CB9" w:rsidRPr="00974CB9">
        <w:rPr>
          <w:rFonts w:ascii="Arial" w:hAnsi="Arial" w:cs="Arial"/>
          <w:b/>
          <w:smallCaps/>
          <w:sz w:val="22"/>
          <w:szCs w:val="22"/>
        </w:rPr>
        <w:t xml:space="preserve">axes on international trade </w:t>
      </w:r>
      <w:r w:rsidR="0005600A">
        <w:rPr>
          <w:rFonts w:ascii="Arial" w:hAnsi="Arial" w:cs="Arial"/>
          <w:b/>
          <w:smallCaps/>
          <w:sz w:val="22"/>
          <w:szCs w:val="22"/>
        </w:rPr>
        <w:t>and</w:t>
      </w:r>
      <w:r w:rsidR="00974CB9" w:rsidRPr="00974CB9">
        <w:rPr>
          <w:rFonts w:ascii="Arial" w:hAnsi="Arial" w:cs="Arial"/>
          <w:b/>
          <w:smallCaps/>
          <w:sz w:val="22"/>
          <w:szCs w:val="22"/>
        </w:rPr>
        <w:t xml:space="preserve"> transactions</w:t>
      </w:r>
    </w:p>
    <w:p w14:paraId="1C7DEC45" w14:textId="3C80240D" w:rsidR="00974CB9" w:rsidRDefault="00974CB9" w:rsidP="00974CB9">
      <w:pPr>
        <w:spacing w:before="96" w:after="96" w:line="276" w:lineRule="auto"/>
        <w:jc w:val="both"/>
        <w:rPr>
          <w:rFonts w:ascii="Arial" w:hAnsi="Arial" w:cs="Arial"/>
          <w:sz w:val="22"/>
          <w:szCs w:val="22"/>
        </w:rPr>
      </w:pPr>
      <w:r w:rsidRPr="00974CB9">
        <w:rPr>
          <w:rFonts w:ascii="Arial" w:hAnsi="Arial" w:cs="Arial"/>
          <w:sz w:val="22"/>
          <w:szCs w:val="22"/>
        </w:rPr>
        <w:t xml:space="preserve">Taxes on international trade </w:t>
      </w:r>
      <w:r w:rsidR="0005600A">
        <w:rPr>
          <w:rFonts w:ascii="Arial" w:hAnsi="Arial" w:cs="Arial"/>
          <w:sz w:val="22"/>
          <w:szCs w:val="22"/>
        </w:rPr>
        <w:t>and</w:t>
      </w:r>
      <w:r w:rsidRPr="00974CB9">
        <w:rPr>
          <w:rFonts w:ascii="Arial" w:hAnsi="Arial" w:cs="Arial"/>
          <w:sz w:val="22"/>
          <w:szCs w:val="22"/>
        </w:rPr>
        <w:t xml:space="preserve"> transactions include </w:t>
      </w:r>
      <w:r w:rsidR="0005600A">
        <w:rPr>
          <w:rFonts w:ascii="Arial" w:hAnsi="Arial" w:cs="Arial"/>
          <w:sz w:val="22"/>
          <w:szCs w:val="22"/>
        </w:rPr>
        <w:t xml:space="preserve">mainly </w:t>
      </w:r>
      <w:r w:rsidRPr="00974CB9">
        <w:rPr>
          <w:rFonts w:ascii="Arial" w:hAnsi="Arial" w:cs="Arial"/>
          <w:sz w:val="22"/>
          <w:szCs w:val="22"/>
        </w:rPr>
        <w:t xml:space="preserve">customs and other import duties. </w:t>
      </w:r>
    </w:p>
    <w:p w14:paraId="09A5AD44" w14:textId="586A23B0" w:rsidR="00974CB9" w:rsidRPr="00D8227C" w:rsidRDefault="00743DBB" w:rsidP="00974CB9">
      <w:pPr>
        <w:spacing w:before="96" w:after="96" w:line="276" w:lineRule="auto"/>
        <w:jc w:val="both"/>
        <w:rPr>
          <w:rFonts w:ascii="Arial" w:hAnsi="Arial" w:cs="Arial"/>
          <w:bCs/>
          <w:sz w:val="22"/>
          <w:szCs w:val="22"/>
        </w:rPr>
      </w:pPr>
      <w:r>
        <w:rPr>
          <w:rFonts w:ascii="Arial" w:hAnsi="Arial" w:cs="Arial"/>
          <w:b/>
          <w:sz w:val="22"/>
          <w:szCs w:val="22"/>
        </w:rPr>
        <w:t>11.3</w:t>
      </w:r>
      <w:r w:rsidRPr="009D3378">
        <w:rPr>
          <w:rFonts w:ascii="Arial" w:hAnsi="Arial" w:cs="Arial"/>
          <w:b/>
          <w:sz w:val="22"/>
          <w:szCs w:val="22"/>
        </w:rPr>
        <w:t>.</w:t>
      </w:r>
      <w:r w:rsidR="003911DF">
        <w:rPr>
          <w:rFonts w:ascii="Arial" w:hAnsi="Arial" w:cs="Arial"/>
          <w:b/>
          <w:bCs/>
          <w:sz w:val="22"/>
          <w:szCs w:val="22"/>
        </w:rPr>
        <w:t>8</w:t>
      </w:r>
      <w:r w:rsidR="00817CFD">
        <w:rPr>
          <w:rFonts w:ascii="Arial" w:hAnsi="Arial" w:cs="Arial"/>
          <w:b/>
          <w:bCs/>
          <w:sz w:val="22"/>
          <w:szCs w:val="22"/>
        </w:rPr>
        <w:t xml:space="preserve"> </w:t>
      </w:r>
      <w:r w:rsidR="00974CB9" w:rsidRPr="00974CB9">
        <w:rPr>
          <w:rFonts w:ascii="Arial" w:hAnsi="Arial" w:cs="Arial"/>
          <w:b/>
          <w:smallCaps/>
          <w:sz w:val="22"/>
          <w:szCs w:val="22"/>
        </w:rPr>
        <w:t>Other taxes</w:t>
      </w:r>
    </w:p>
    <w:p w14:paraId="3D2E070A" w14:textId="1E12BFD0" w:rsidR="00974CB9" w:rsidRDefault="0005600A" w:rsidP="00974CB9">
      <w:pPr>
        <w:spacing w:before="96" w:after="96" w:line="276" w:lineRule="auto"/>
        <w:jc w:val="both"/>
        <w:rPr>
          <w:rFonts w:ascii="Arial" w:hAnsi="Arial" w:cs="Arial"/>
          <w:sz w:val="22"/>
          <w:szCs w:val="22"/>
        </w:rPr>
      </w:pPr>
      <w:r>
        <w:rPr>
          <w:rFonts w:ascii="Arial" w:hAnsi="Arial" w:cs="Arial"/>
          <w:sz w:val="22"/>
          <w:szCs w:val="22"/>
        </w:rPr>
        <w:t>O</w:t>
      </w:r>
      <w:r w:rsidRPr="0005600A">
        <w:rPr>
          <w:rFonts w:ascii="Arial" w:hAnsi="Arial" w:cs="Arial"/>
          <w:sz w:val="22"/>
          <w:szCs w:val="22"/>
        </w:rPr>
        <w:t xml:space="preserve">ther taxes </w:t>
      </w:r>
      <w:r w:rsidR="00974CB9" w:rsidRPr="00974CB9">
        <w:rPr>
          <w:rFonts w:ascii="Arial" w:hAnsi="Arial" w:cs="Arial"/>
          <w:sz w:val="22"/>
          <w:szCs w:val="22"/>
        </w:rPr>
        <w:t xml:space="preserve">cover revenue from taxes other than those described under the preceding tax headings. Also included is revenue from unidentified taxes and interest and penalties collected for late payment or nonpayment of taxes but not identifiable by tax category. </w:t>
      </w:r>
    </w:p>
    <w:p w14:paraId="703B9031" w14:textId="7D12E1B7" w:rsidR="003911DF" w:rsidRDefault="00743DBB" w:rsidP="00B8429E">
      <w:pPr>
        <w:spacing w:before="96" w:after="96" w:line="276" w:lineRule="auto"/>
        <w:jc w:val="both"/>
        <w:rPr>
          <w:rFonts w:ascii="Arial" w:hAnsi="Arial" w:cs="Arial"/>
          <w:bCs/>
          <w:sz w:val="22"/>
          <w:szCs w:val="22"/>
        </w:rPr>
      </w:pPr>
      <w:r>
        <w:rPr>
          <w:rFonts w:ascii="Arial" w:hAnsi="Arial" w:cs="Arial"/>
          <w:b/>
          <w:sz w:val="22"/>
          <w:szCs w:val="22"/>
        </w:rPr>
        <w:t>11.3</w:t>
      </w:r>
      <w:r w:rsidRPr="009D3378">
        <w:rPr>
          <w:rFonts w:ascii="Arial" w:hAnsi="Arial" w:cs="Arial"/>
          <w:b/>
          <w:sz w:val="22"/>
          <w:szCs w:val="22"/>
        </w:rPr>
        <w:t>.</w:t>
      </w:r>
      <w:r w:rsidR="003911DF">
        <w:rPr>
          <w:rFonts w:ascii="Arial" w:hAnsi="Arial" w:cs="Arial"/>
          <w:b/>
          <w:bCs/>
          <w:sz w:val="22"/>
          <w:szCs w:val="22"/>
        </w:rPr>
        <w:t>9</w:t>
      </w:r>
      <w:r w:rsidR="00C8516D">
        <w:rPr>
          <w:rFonts w:ascii="Arial" w:hAnsi="Arial" w:cs="Arial"/>
          <w:b/>
          <w:bCs/>
          <w:sz w:val="22"/>
          <w:szCs w:val="22"/>
        </w:rPr>
        <w:t xml:space="preserve"> </w:t>
      </w:r>
      <w:r w:rsidR="00B8429E" w:rsidRPr="00C8516D">
        <w:rPr>
          <w:rFonts w:ascii="Arial" w:hAnsi="Arial" w:cs="Arial"/>
          <w:b/>
          <w:smallCaps/>
          <w:sz w:val="22"/>
          <w:szCs w:val="22"/>
        </w:rPr>
        <w:t xml:space="preserve">Social </w:t>
      </w:r>
      <w:r w:rsidR="00D31247">
        <w:rPr>
          <w:rFonts w:ascii="Arial" w:hAnsi="Arial" w:cs="Arial"/>
          <w:b/>
          <w:smallCaps/>
          <w:sz w:val="22"/>
          <w:szCs w:val="22"/>
        </w:rPr>
        <w:t>c</w:t>
      </w:r>
      <w:r w:rsidR="00B8429E" w:rsidRPr="00C8516D">
        <w:rPr>
          <w:rFonts w:ascii="Arial" w:hAnsi="Arial" w:cs="Arial"/>
          <w:b/>
          <w:smallCaps/>
          <w:sz w:val="22"/>
          <w:szCs w:val="22"/>
        </w:rPr>
        <w:t>ontributions</w:t>
      </w:r>
    </w:p>
    <w:p w14:paraId="09C2A1A3" w14:textId="5E4DF84D" w:rsidR="006504ED" w:rsidRPr="003911DF" w:rsidRDefault="006504ED" w:rsidP="00B8429E">
      <w:pPr>
        <w:spacing w:before="96" w:after="96" w:line="276" w:lineRule="auto"/>
        <w:jc w:val="both"/>
        <w:rPr>
          <w:rFonts w:ascii="Arial" w:hAnsi="Arial" w:cs="Arial"/>
          <w:bCs/>
          <w:sz w:val="22"/>
          <w:szCs w:val="22"/>
        </w:rPr>
      </w:pPr>
      <w:r w:rsidRPr="006504ED">
        <w:rPr>
          <w:rFonts w:ascii="Arial" w:hAnsi="Arial" w:cs="Arial"/>
          <w:sz w:val="22"/>
          <w:szCs w:val="22"/>
        </w:rPr>
        <w:t xml:space="preserve">Social contributions are receipts either from employers on behalf of their employees or from employees, self-employed, or nonemployed persons on their own behalf that secure entitlement to social benefits for the contributors, their dependents, or their survivors. </w:t>
      </w:r>
    </w:p>
    <w:p w14:paraId="5284CFE3" w14:textId="60141267" w:rsidR="006504ED" w:rsidRPr="00D31247" w:rsidRDefault="00743DBB" w:rsidP="006504ED">
      <w:pPr>
        <w:spacing w:before="96" w:after="96" w:line="276" w:lineRule="auto"/>
        <w:jc w:val="both"/>
        <w:rPr>
          <w:rFonts w:ascii="Arial" w:hAnsi="Arial" w:cs="Arial"/>
          <w:b/>
          <w:smallCaps/>
          <w:sz w:val="22"/>
          <w:szCs w:val="22"/>
        </w:rPr>
      </w:pPr>
      <w:r>
        <w:rPr>
          <w:rFonts w:ascii="Arial" w:hAnsi="Arial" w:cs="Arial"/>
          <w:b/>
          <w:sz w:val="22"/>
          <w:szCs w:val="22"/>
        </w:rPr>
        <w:t>11.3</w:t>
      </w:r>
      <w:r w:rsidRPr="009D3378">
        <w:rPr>
          <w:rFonts w:ascii="Arial" w:hAnsi="Arial" w:cs="Arial"/>
          <w:b/>
          <w:sz w:val="22"/>
          <w:szCs w:val="22"/>
        </w:rPr>
        <w:t>.</w:t>
      </w:r>
      <w:r w:rsidR="00817CFD">
        <w:rPr>
          <w:rFonts w:ascii="Arial" w:hAnsi="Arial" w:cs="Arial"/>
          <w:b/>
          <w:bCs/>
          <w:sz w:val="22"/>
          <w:szCs w:val="22"/>
        </w:rPr>
        <w:t>1</w:t>
      </w:r>
      <w:r w:rsidR="003911DF">
        <w:rPr>
          <w:rFonts w:ascii="Arial" w:hAnsi="Arial" w:cs="Arial"/>
          <w:b/>
          <w:bCs/>
          <w:sz w:val="22"/>
          <w:szCs w:val="22"/>
        </w:rPr>
        <w:t>0</w:t>
      </w:r>
      <w:r w:rsidR="006504ED">
        <w:rPr>
          <w:rFonts w:ascii="Arial" w:hAnsi="Arial" w:cs="Arial"/>
          <w:b/>
          <w:bCs/>
          <w:sz w:val="22"/>
          <w:szCs w:val="22"/>
        </w:rPr>
        <w:t xml:space="preserve"> </w:t>
      </w:r>
      <w:r w:rsidR="00B8429E" w:rsidRPr="00D31247">
        <w:rPr>
          <w:rFonts w:ascii="Arial" w:hAnsi="Arial" w:cs="Arial"/>
          <w:b/>
          <w:smallCaps/>
          <w:sz w:val="22"/>
          <w:szCs w:val="22"/>
        </w:rPr>
        <w:t>Grants</w:t>
      </w:r>
    </w:p>
    <w:p w14:paraId="2DE99996" w14:textId="1135670F" w:rsidR="006504ED" w:rsidRDefault="006504ED" w:rsidP="00D31247">
      <w:pPr>
        <w:spacing w:before="96" w:after="96" w:line="276" w:lineRule="auto"/>
        <w:jc w:val="both"/>
        <w:rPr>
          <w:rFonts w:ascii="Arial" w:hAnsi="Arial" w:cs="Arial"/>
          <w:sz w:val="22"/>
          <w:szCs w:val="22"/>
        </w:rPr>
      </w:pPr>
      <w:r w:rsidRPr="006504ED">
        <w:rPr>
          <w:rFonts w:ascii="Arial" w:hAnsi="Arial" w:cs="Arial"/>
          <w:sz w:val="22"/>
          <w:szCs w:val="22"/>
        </w:rPr>
        <w:t>Grants are noncompulsory current or capital transfers received in cash or in kind by a government unit from either another government unit or an international organi</w:t>
      </w:r>
      <w:r w:rsidR="00E15894">
        <w:rPr>
          <w:rFonts w:ascii="Arial" w:hAnsi="Arial" w:cs="Arial"/>
          <w:sz w:val="22"/>
          <w:szCs w:val="22"/>
        </w:rPr>
        <w:t>s</w:t>
      </w:r>
      <w:r w:rsidRPr="006504ED">
        <w:rPr>
          <w:rFonts w:ascii="Arial" w:hAnsi="Arial" w:cs="Arial"/>
          <w:sz w:val="22"/>
          <w:szCs w:val="22"/>
        </w:rPr>
        <w:t>ation.</w:t>
      </w:r>
    </w:p>
    <w:p w14:paraId="0BE96003" w14:textId="2DC7ABBC" w:rsidR="006504ED" w:rsidRDefault="00743DBB" w:rsidP="00B8429E">
      <w:pPr>
        <w:spacing w:before="96" w:after="96" w:line="276" w:lineRule="auto"/>
        <w:jc w:val="both"/>
        <w:rPr>
          <w:rFonts w:ascii="Arial" w:hAnsi="Arial" w:cs="Arial"/>
          <w:sz w:val="22"/>
          <w:szCs w:val="22"/>
        </w:rPr>
      </w:pPr>
      <w:r>
        <w:rPr>
          <w:rFonts w:ascii="Arial" w:hAnsi="Arial" w:cs="Arial"/>
          <w:b/>
          <w:sz w:val="22"/>
          <w:szCs w:val="22"/>
        </w:rPr>
        <w:t>11.3</w:t>
      </w:r>
      <w:r w:rsidRPr="009D3378">
        <w:rPr>
          <w:rFonts w:ascii="Arial" w:hAnsi="Arial" w:cs="Arial"/>
          <w:b/>
          <w:sz w:val="22"/>
          <w:szCs w:val="22"/>
        </w:rPr>
        <w:t>.</w:t>
      </w:r>
      <w:r w:rsidR="00817CFD">
        <w:rPr>
          <w:rFonts w:ascii="Arial" w:hAnsi="Arial" w:cs="Arial"/>
          <w:b/>
          <w:bCs/>
          <w:sz w:val="22"/>
          <w:szCs w:val="22"/>
        </w:rPr>
        <w:t>1</w:t>
      </w:r>
      <w:r w:rsidR="0012260C">
        <w:rPr>
          <w:rFonts w:ascii="Arial" w:hAnsi="Arial" w:cs="Arial"/>
          <w:b/>
          <w:bCs/>
          <w:sz w:val="22"/>
          <w:szCs w:val="22"/>
        </w:rPr>
        <w:t>1</w:t>
      </w:r>
      <w:r w:rsidR="006504ED">
        <w:rPr>
          <w:rFonts w:ascii="Arial" w:hAnsi="Arial" w:cs="Arial"/>
          <w:b/>
          <w:bCs/>
          <w:sz w:val="22"/>
          <w:szCs w:val="22"/>
        </w:rPr>
        <w:t xml:space="preserve"> </w:t>
      </w:r>
      <w:r w:rsidR="00B8429E" w:rsidRPr="00E15894">
        <w:rPr>
          <w:rFonts w:ascii="Arial" w:hAnsi="Arial" w:cs="Arial"/>
          <w:b/>
          <w:smallCaps/>
          <w:sz w:val="22"/>
          <w:szCs w:val="22"/>
        </w:rPr>
        <w:t>Other revenue</w:t>
      </w:r>
    </w:p>
    <w:p w14:paraId="639706B9" w14:textId="6E7B42FA" w:rsidR="00B8429E" w:rsidRPr="00B8429E" w:rsidRDefault="006504ED" w:rsidP="00B8429E">
      <w:pPr>
        <w:spacing w:before="96" w:after="96" w:line="276" w:lineRule="auto"/>
        <w:jc w:val="both"/>
        <w:rPr>
          <w:rFonts w:ascii="Arial" w:hAnsi="Arial" w:cs="Arial"/>
          <w:sz w:val="22"/>
          <w:szCs w:val="22"/>
        </w:rPr>
      </w:pPr>
      <w:r w:rsidRPr="006504ED">
        <w:rPr>
          <w:rFonts w:ascii="Arial" w:hAnsi="Arial" w:cs="Arial"/>
          <w:sz w:val="22"/>
          <w:szCs w:val="22"/>
        </w:rPr>
        <w:t>Other revenue includes property income (e.g., interest, dividends, rent), sales of goods and services, fines, penalties, and forfeits, voluntary transfers other than grants, and miscellaneous other revenue.</w:t>
      </w:r>
      <w:r>
        <w:rPr>
          <w:rFonts w:ascii="Arial" w:hAnsi="Arial" w:cs="Arial"/>
          <w:sz w:val="22"/>
          <w:szCs w:val="22"/>
        </w:rPr>
        <w:t xml:space="preserve"> </w:t>
      </w:r>
    </w:p>
    <w:p w14:paraId="7A45F701" w14:textId="0F28DD8A" w:rsidR="005A6C16" w:rsidRPr="00B8429E" w:rsidRDefault="00743DBB" w:rsidP="005A6C16">
      <w:pPr>
        <w:spacing w:before="96" w:after="96" w:line="276" w:lineRule="auto"/>
        <w:jc w:val="both"/>
        <w:rPr>
          <w:rFonts w:ascii="Arial" w:hAnsi="Arial" w:cs="Arial"/>
          <w:b/>
          <w:bCs/>
          <w:sz w:val="22"/>
          <w:szCs w:val="22"/>
        </w:rPr>
      </w:pPr>
      <w:r>
        <w:rPr>
          <w:rFonts w:ascii="Arial" w:hAnsi="Arial" w:cs="Arial"/>
          <w:b/>
          <w:sz w:val="22"/>
          <w:szCs w:val="22"/>
        </w:rPr>
        <w:t>11.3</w:t>
      </w:r>
      <w:r w:rsidRPr="009D3378">
        <w:rPr>
          <w:rFonts w:ascii="Arial" w:hAnsi="Arial" w:cs="Arial"/>
          <w:b/>
          <w:sz w:val="22"/>
          <w:szCs w:val="22"/>
        </w:rPr>
        <w:t>.</w:t>
      </w:r>
      <w:r w:rsidR="00150BEA">
        <w:rPr>
          <w:rFonts w:ascii="Arial" w:hAnsi="Arial" w:cs="Arial"/>
          <w:b/>
          <w:bCs/>
          <w:sz w:val="22"/>
          <w:szCs w:val="22"/>
        </w:rPr>
        <w:t>1</w:t>
      </w:r>
      <w:r w:rsidR="0012260C">
        <w:rPr>
          <w:rFonts w:ascii="Arial" w:hAnsi="Arial" w:cs="Arial"/>
          <w:b/>
          <w:bCs/>
          <w:sz w:val="22"/>
          <w:szCs w:val="22"/>
        </w:rPr>
        <w:t>2</w:t>
      </w:r>
      <w:r w:rsidR="00817CFD">
        <w:rPr>
          <w:rFonts w:ascii="Arial" w:hAnsi="Arial" w:cs="Arial"/>
          <w:b/>
          <w:bCs/>
          <w:sz w:val="22"/>
          <w:szCs w:val="22"/>
        </w:rPr>
        <w:t xml:space="preserve"> </w:t>
      </w:r>
      <w:r w:rsidR="005A6C16">
        <w:rPr>
          <w:rFonts w:ascii="Arial" w:hAnsi="Arial" w:cs="Arial"/>
          <w:b/>
          <w:smallCaps/>
          <w:sz w:val="22"/>
          <w:szCs w:val="22"/>
        </w:rPr>
        <w:t>Expense</w:t>
      </w:r>
    </w:p>
    <w:p w14:paraId="276D9E42" w14:textId="0482E11C" w:rsidR="00B8429E" w:rsidRPr="00B8429E" w:rsidRDefault="00817CFD" w:rsidP="00B8429E">
      <w:pPr>
        <w:spacing w:before="96" w:after="96" w:line="276" w:lineRule="auto"/>
        <w:jc w:val="both"/>
        <w:rPr>
          <w:rFonts w:ascii="Arial" w:hAnsi="Arial" w:cs="Arial"/>
          <w:sz w:val="22"/>
          <w:szCs w:val="22"/>
        </w:rPr>
      </w:pPr>
      <w:r w:rsidRPr="00817CFD">
        <w:rPr>
          <w:rFonts w:ascii="Arial" w:hAnsi="Arial" w:cs="Arial"/>
          <w:sz w:val="22"/>
          <w:szCs w:val="22"/>
        </w:rPr>
        <w:t>Expense is defined as all transactions that decrease net worth.</w:t>
      </w:r>
    </w:p>
    <w:p w14:paraId="2E190A0A" w14:textId="4BC2E71B" w:rsidR="00817CFD" w:rsidRDefault="00743DBB" w:rsidP="00B8429E">
      <w:pPr>
        <w:spacing w:before="96" w:after="96" w:line="276" w:lineRule="auto"/>
        <w:jc w:val="both"/>
        <w:rPr>
          <w:rFonts w:ascii="Arial" w:hAnsi="Arial" w:cs="Arial"/>
          <w:b/>
          <w:bCs/>
          <w:sz w:val="22"/>
          <w:szCs w:val="22"/>
        </w:rPr>
      </w:pPr>
      <w:r>
        <w:rPr>
          <w:rFonts w:ascii="Arial" w:hAnsi="Arial" w:cs="Arial"/>
          <w:b/>
          <w:sz w:val="22"/>
          <w:szCs w:val="22"/>
        </w:rPr>
        <w:t>11.3</w:t>
      </w:r>
      <w:r w:rsidRPr="009D3378">
        <w:rPr>
          <w:rFonts w:ascii="Arial" w:hAnsi="Arial" w:cs="Arial"/>
          <w:b/>
          <w:sz w:val="22"/>
          <w:szCs w:val="22"/>
        </w:rPr>
        <w:t>.</w:t>
      </w:r>
      <w:r w:rsidR="002F73FC">
        <w:rPr>
          <w:rFonts w:ascii="Arial" w:hAnsi="Arial" w:cs="Arial"/>
          <w:b/>
          <w:bCs/>
          <w:sz w:val="22"/>
          <w:szCs w:val="22"/>
        </w:rPr>
        <w:t>1</w:t>
      </w:r>
      <w:r w:rsidR="0012260C">
        <w:rPr>
          <w:rFonts w:ascii="Arial" w:hAnsi="Arial" w:cs="Arial"/>
          <w:b/>
          <w:bCs/>
          <w:sz w:val="22"/>
          <w:szCs w:val="22"/>
        </w:rPr>
        <w:t>3</w:t>
      </w:r>
      <w:r w:rsidR="00817CFD">
        <w:rPr>
          <w:rFonts w:ascii="Arial" w:hAnsi="Arial" w:cs="Arial"/>
          <w:b/>
          <w:bCs/>
          <w:sz w:val="22"/>
          <w:szCs w:val="22"/>
        </w:rPr>
        <w:t xml:space="preserve"> </w:t>
      </w:r>
      <w:r w:rsidR="00817CFD" w:rsidRPr="00817CFD">
        <w:rPr>
          <w:rFonts w:ascii="Arial" w:hAnsi="Arial" w:cs="Arial"/>
          <w:b/>
          <w:smallCaps/>
          <w:sz w:val="22"/>
          <w:szCs w:val="22"/>
        </w:rPr>
        <w:t>Compensation of employees</w:t>
      </w:r>
    </w:p>
    <w:p w14:paraId="15CCA1C5" w14:textId="344A90AD" w:rsidR="00B8429E" w:rsidRPr="00B8429E" w:rsidRDefault="00B8429E" w:rsidP="00B8429E">
      <w:pPr>
        <w:spacing w:before="96" w:after="96" w:line="276" w:lineRule="auto"/>
        <w:jc w:val="both"/>
        <w:rPr>
          <w:rFonts w:ascii="Arial" w:hAnsi="Arial" w:cs="Arial"/>
          <w:sz w:val="22"/>
          <w:szCs w:val="22"/>
        </w:rPr>
      </w:pPr>
      <w:r w:rsidRPr="009B7FEA">
        <w:rPr>
          <w:rFonts w:ascii="Arial" w:hAnsi="Arial" w:cs="Arial"/>
          <w:sz w:val="22"/>
          <w:szCs w:val="22"/>
        </w:rPr>
        <w:t>Compensation of employees</w:t>
      </w:r>
      <w:r w:rsidRPr="00B8429E">
        <w:rPr>
          <w:rFonts w:ascii="Arial" w:hAnsi="Arial" w:cs="Arial"/>
          <w:sz w:val="22"/>
          <w:szCs w:val="22"/>
        </w:rPr>
        <w:t xml:space="preserve"> </w:t>
      </w:r>
      <w:r w:rsidR="00FF2C50" w:rsidRPr="00FF2C50">
        <w:rPr>
          <w:rFonts w:ascii="Arial" w:hAnsi="Arial" w:cs="Arial"/>
          <w:sz w:val="22"/>
          <w:szCs w:val="22"/>
        </w:rPr>
        <w:t>is the total remuneration, in cash or in kind,</w:t>
      </w:r>
      <w:r w:rsidR="00FF2C50">
        <w:rPr>
          <w:rFonts w:ascii="Arial" w:hAnsi="Arial" w:cs="Arial"/>
          <w:sz w:val="22"/>
          <w:szCs w:val="22"/>
        </w:rPr>
        <w:t xml:space="preserve"> </w:t>
      </w:r>
      <w:r w:rsidR="00FF2C50" w:rsidRPr="00FF2C50">
        <w:rPr>
          <w:rFonts w:ascii="Arial" w:hAnsi="Arial" w:cs="Arial"/>
          <w:sz w:val="22"/>
          <w:szCs w:val="22"/>
        </w:rPr>
        <w:t>payable to employees including allowances and travelling. It also includes social contributions made on behalf of employees to pension and insurance schemes</w:t>
      </w:r>
      <w:r w:rsidR="002F73FC">
        <w:rPr>
          <w:rFonts w:ascii="Arial" w:hAnsi="Arial" w:cs="Arial"/>
          <w:sz w:val="22"/>
          <w:szCs w:val="22"/>
        </w:rPr>
        <w:t>.</w:t>
      </w:r>
    </w:p>
    <w:p w14:paraId="3CF7082C" w14:textId="7251EB75" w:rsidR="002F73FC" w:rsidRDefault="00743DBB" w:rsidP="00B8429E">
      <w:pPr>
        <w:spacing w:before="96" w:after="96" w:line="276" w:lineRule="auto"/>
        <w:jc w:val="both"/>
        <w:rPr>
          <w:rFonts w:ascii="Arial" w:hAnsi="Arial" w:cs="Arial"/>
          <w:b/>
          <w:bCs/>
          <w:sz w:val="22"/>
          <w:szCs w:val="22"/>
        </w:rPr>
      </w:pPr>
      <w:r>
        <w:rPr>
          <w:rFonts w:ascii="Arial" w:hAnsi="Arial" w:cs="Arial"/>
          <w:b/>
          <w:sz w:val="22"/>
          <w:szCs w:val="22"/>
        </w:rPr>
        <w:t>11.3</w:t>
      </w:r>
      <w:r w:rsidRPr="009D3378">
        <w:rPr>
          <w:rFonts w:ascii="Arial" w:hAnsi="Arial" w:cs="Arial"/>
          <w:b/>
          <w:sz w:val="22"/>
          <w:szCs w:val="22"/>
        </w:rPr>
        <w:t>.</w:t>
      </w:r>
      <w:r w:rsidR="002F73FC">
        <w:rPr>
          <w:rFonts w:ascii="Arial" w:hAnsi="Arial" w:cs="Arial"/>
          <w:b/>
          <w:bCs/>
          <w:sz w:val="22"/>
          <w:szCs w:val="22"/>
        </w:rPr>
        <w:t>1</w:t>
      </w:r>
      <w:r w:rsidR="0012260C">
        <w:rPr>
          <w:rFonts w:ascii="Arial" w:hAnsi="Arial" w:cs="Arial"/>
          <w:b/>
          <w:bCs/>
          <w:sz w:val="22"/>
          <w:szCs w:val="22"/>
        </w:rPr>
        <w:t>4</w:t>
      </w:r>
      <w:r w:rsidR="002F73FC">
        <w:rPr>
          <w:rFonts w:ascii="Arial" w:hAnsi="Arial" w:cs="Arial"/>
          <w:b/>
          <w:bCs/>
          <w:sz w:val="22"/>
          <w:szCs w:val="22"/>
        </w:rPr>
        <w:t xml:space="preserve"> </w:t>
      </w:r>
      <w:r w:rsidR="002F73FC" w:rsidRPr="002F73FC">
        <w:rPr>
          <w:rFonts w:ascii="Arial" w:hAnsi="Arial" w:cs="Arial"/>
          <w:b/>
          <w:smallCaps/>
          <w:sz w:val="22"/>
          <w:szCs w:val="22"/>
        </w:rPr>
        <w:t>Use of goods and services</w:t>
      </w:r>
    </w:p>
    <w:p w14:paraId="0E6B09C6" w14:textId="1AC7A248" w:rsidR="00B8429E" w:rsidRPr="00B8429E" w:rsidRDefault="00B8429E" w:rsidP="00B8429E">
      <w:pPr>
        <w:spacing w:before="96" w:after="96" w:line="276" w:lineRule="auto"/>
        <w:jc w:val="both"/>
        <w:rPr>
          <w:rFonts w:ascii="Arial" w:hAnsi="Arial" w:cs="Arial"/>
          <w:sz w:val="22"/>
          <w:szCs w:val="22"/>
        </w:rPr>
      </w:pPr>
      <w:r w:rsidRPr="002F73FC">
        <w:rPr>
          <w:rFonts w:ascii="Arial" w:hAnsi="Arial" w:cs="Arial"/>
          <w:sz w:val="22"/>
          <w:szCs w:val="22"/>
        </w:rPr>
        <w:t>Use of goods and services</w:t>
      </w:r>
      <w:r w:rsidRPr="00B8429E">
        <w:rPr>
          <w:rFonts w:ascii="Arial" w:hAnsi="Arial" w:cs="Arial"/>
          <w:sz w:val="22"/>
          <w:szCs w:val="22"/>
        </w:rPr>
        <w:t xml:space="preserve"> consists of the value of goods and services used for the production of </w:t>
      </w:r>
      <w:r w:rsidR="00FA11C5" w:rsidRPr="00FA11C5">
        <w:rPr>
          <w:rFonts w:ascii="Arial" w:hAnsi="Arial" w:cs="Arial"/>
          <w:sz w:val="22"/>
          <w:szCs w:val="22"/>
        </w:rPr>
        <w:t>market and nonmarket goods and services</w:t>
      </w:r>
      <w:r w:rsidRPr="00B8429E">
        <w:rPr>
          <w:rFonts w:ascii="Arial" w:hAnsi="Arial" w:cs="Arial"/>
          <w:sz w:val="22"/>
          <w:szCs w:val="22"/>
        </w:rPr>
        <w:t xml:space="preserve">.  </w:t>
      </w:r>
      <w:r w:rsidR="0012260C" w:rsidRPr="0012260C">
        <w:rPr>
          <w:rFonts w:ascii="Arial" w:hAnsi="Arial" w:cs="Arial"/>
          <w:sz w:val="22"/>
          <w:szCs w:val="22"/>
        </w:rPr>
        <w:t>An estimate can be derived by subtracting the value of changes in inventories of materials and supplies from the value of purchases made</w:t>
      </w:r>
      <w:r w:rsidR="0012260C">
        <w:rPr>
          <w:rFonts w:ascii="Arial" w:hAnsi="Arial" w:cs="Arial"/>
          <w:sz w:val="22"/>
          <w:szCs w:val="22"/>
        </w:rPr>
        <w:t>.</w:t>
      </w:r>
    </w:p>
    <w:p w14:paraId="7BAED8BC" w14:textId="0E9B2E75" w:rsidR="00FF2C50" w:rsidRDefault="00743DBB" w:rsidP="00B8429E">
      <w:pPr>
        <w:spacing w:before="96" w:after="96" w:line="276" w:lineRule="auto"/>
        <w:jc w:val="both"/>
        <w:rPr>
          <w:rFonts w:ascii="Arial" w:hAnsi="Arial" w:cs="Arial"/>
          <w:b/>
          <w:bCs/>
          <w:sz w:val="22"/>
          <w:szCs w:val="22"/>
        </w:rPr>
      </w:pPr>
      <w:r>
        <w:rPr>
          <w:rFonts w:ascii="Arial" w:hAnsi="Arial" w:cs="Arial"/>
          <w:b/>
          <w:sz w:val="22"/>
          <w:szCs w:val="22"/>
        </w:rPr>
        <w:lastRenderedPageBreak/>
        <w:t>11.3</w:t>
      </w:r>
      <w:r w:rsidRPr="009D3378">
        <w:rPr>
          <w:rFonts w:ascii="Arial" w:hAnsi="Arial" w:cs="Arial"/>
          <w:b/>
          <w:sz w:val="22"/>
          <w:szCs w:val="22"/>
        </w:rPr>
        <w:t>.</w:t>
      </w:r>
      <w:r w:rsidR="00FF2C50">
        <w:rPr>
          <w:rFonts w:ascii="Arial" w:hAnsi="Arial" w:cs="Arial"/>
          <w:b/>
          <w:bCs/>
          <w:sz w:val="22"/>
          <w:szCs w:val="22"/>
        </w:rPr>
        <w:t>1</w:t>
      </w:r>
      <w:r w:rsidR="0012260C">
        <w:rPr>
          <w:rFonts w:ascii="Arial" w:hAnsi="Arial" w:cs="Arial"/>
          <w:b/>
          <w:bCs/>
          <w:sz w:val="22"/>
          <w:szCs w:val="22"/>
        </w:rPr>
        <w:t>5</w:t>
      </w:r>
      <w:r w:rsidR="00FF2C50" w:rsidRPr="00FF2C50">
        <w:rPr>
          <w:rFonts w:ascii="Arial" w:hAnsi="Arial" w:cs="Arial"/>
          <w:b/>
          <w:smallCaps/>
          <w:sz w:val="22"/>
          <w:szCs w:val="22"/>
        </w:rPr>
        <w:t xml:space="preserve"> Interest</w:t>
      </w:r>
    </w:p>
    <w:p w14:paraId="6030EE9F" w14:textId="4847C6DA" w:rsidR="00304F8D" w:rsidRDefault="00304F8D" w:rsidP="00B8429E">
      <w:pPr>
        <w:spacing w:before="96" w:after="96" w:line="276" w:lineRule="auto"/>
        <w:jc w:val="both"/>
        <w:rPr>
          <w:rFonts w:ascii="Arial" w:hAnsi="Arial" w:cs="Arial"/>
          <w:sz w:val="22"/>
          <w:szCs w:val="22"/>
        </w:rPr>
      </w:pPr>
      <w:r w:rsidRPr="00304F8D">
        <w:rPr>
          <w:rFonts w:ascii="Arial" w:hAnsi="Arial" w:cs="Arial"/>
          <w:sz w:val="22"/>
          <w:szCs w:val="22"/>
        </w:rPr>
        <w:t>Interest is payable by units that incur certain kinds of liabilities, namely deposits, securities other than shares, loans, and accounts payable.</w:t>
      </w:r>
    </w:p>
    <w:p w14:paraId="62A69224" w14:textId="40DA37CB" w:rsidR="00304F8D" w:rsidRDefault="00743DBB" w:rsidP="00304F8D">
      <w:pPr>
        <w:spacing w:before="96" w:after="96" w:line="276" w:lineRule="auto"/>
        <w:jc w:val="both"/>
        <w:rPr>
          <w:rFonts w:ascii="Arial" w:hAnsi="Arial" w:cs="Arial"/>
          <w:b/>
          <w:bCs/>
          <w:sz w:val="22"/>
          <w:szCs w:val="22"/>
        </w:rPr>
      </w:pPr>
      <w:r>
        <w:rPr>
          <w:rFonts w:ascii="Arial" w:hAnsi="Arial" w:cs="Arial"/>
          <w:b/>
          <w:sz w:val="22"/>
          <w:szCs w:val="22"/>
        </w:rPr>
        <w:t>11.3</w:t>
      </w:r>
      <w:r w:rsidRPr="009D3378">
        <w:rPr>
          <w:rFonts w:ascii="Arial" w:hAnsi="Arial" w:cs="Arial"/>
          <w:b/>
          <w:sz w:val="22"/>
          <w:szCs w:val="22"/>
        </w:rPr>
        <w:t>.</w:t>
      </w:r>
      <w:r w:rsidR="00304F8D">
        <w:rPr>
          <w:rFonts w:ascii="Arial" w:hAnsi="Arial" w:cs="Arial"/>
          <w:b/>
          <w:bCs/>
          <w:sz w:val="22"/>
          <w:szCs w:val="22"/>
        </w:rPr>
        <w:t>1</w:t>
      </w:r>
      <w:r w:rsidR="0012260C">
        <w:rPr>
          <w:rFonts w:ascii="Arial" w:hAnsi="Arial" w:cs="Arial"/>
          <w:b/>
          <w:bCs/>
          <w:sz w:val="22"/>
          <w:szCs w:val="22"/>
        </w:rPr>
        <w:t>6</w:t>
      </w:r>
      <w:r w:rsidR="00304F8D" w:rsidRPr="00FF2C50">
        <w:rPr>
          <w:rFonts w:ascii="Arial" w:hAnsi="Arial" w:cs="Arial"/>
          <w:b/>
          <w:smallCaps/>
          <w:sz w:val="22"/>
          <w:szCs w:val="22"/>
        </w:rPr>
        <w:t xml:space="preserve"> </w:t>
      </w:r>
      <w:r w:rsidR="00304F8D" w:rsidRPr="00304F8D">
        <w:rPr>
          <w:rFonts w:ascii="Arial" w:hAnsi="Arial" w:cs="Arial"/>
          <w:b/>
          <w:smallCaps/>
          <w:sz w:val="22"/>
          <w:szCs w:val="22"/>
        </w:rPr>
        <w:t>Subsidies</w:t>
      </w:r>
    </w:p>
    <w:p w14:paraId="235C9C95" w14:textId="04DCFBB1" w:rsidR="00B8429E" w:rsidRPr="00B8429E" w:rsidRDefault="00B8429E" w:rsidP="00B8429E">
      <w:pPr>
        <w:spacing w:before="96" w:after="96" w:line="276" w:lineRule="auto"/>
        <w:jc w:val="both"/>
        <w:rPr>
          <w:rFonts w:ascii="Arial" w:hAnsi="Arial" w:cs="Arial"/>
          <w:sz w:val="22"/>
          <w:szCs w:val="22"/>
        </w:rPr>
      </w:pPr>
      <w:r w:rsidRPr="00304F8D">
        <w:rPr>
          <w:rFonts w:ascii="Arial" w:hAnsi="Arial" w:cs="Arial"/>
          <w:sz w:val="22"/>
          <w:szCs w:val="22"/>
        </w:rPr>
        <w:t xml:space="preserve">Subsidies </w:t>
      </w:r>
      <w:r w:rsidRPr="00B8429E">
        <w:rPr>
          <w:rFonts w:ascii="Arial" w:hAnsi="Arial" w:cs="Arial"/>
          <w:sz w:val="22"/>
          <w:szCs w:val="22"/>
        </w:rPr>
        <w:t xml:space="preserve">are current </w:t>
      </w:r>
      <w:r w:rsidR="00826341" w:rsidRPr="00826341">
        <w:rPr>
          <w:rFonts w:ascii="Arial" w:hAnsi="Arial" w:cs="Arial"/>
          <w:sz w:val="22"/>
          <w:szCs w:val="22"/>
        </w:rPr>
        <w:t xml:space="preserve">payments </w:t>
      </w:r>
      <w:r w:rsidRPr="00B8429E">
        <w:rPr>
          <w:rFonts w:ascii="Arial" w:hAnsi="Arial" w:cs="Arial"/>
          <w:sz w:val="22"/>
          <w:szCs w:val="22"/>
        </w:rPr>
        <w:t>that government units make to enterprises to influence levels of production, the prices at which outputs are sold or the profits of the enterprises.</w:t>
      </w:r>
    </w:p>
    <w:p w14:paraId="636F6FA6" w14:textId="1C030053" w:rsidR="00826341" w:rsidRDefault="00743DBB" w:rsidP="00B8429E">
      <w:pPr>
        <w:spacing w:before="96" w:after="96" w:line="276" w:lineRule="auto"/>
        <w:jc w:val="both"/>
        <w:rPr>
          <w:rFonts w:ascii="Arial" w:hAnsi="Arial" w:cs="Arial"/>
          <w:sz w:val="22"/>
          <w:szCs w:val="22"/>
        </w:rPr>
      </w:pPr>
      <w:r>
        <w:rPr>
          <w:rFonts w:ascii="Arial" w:hAnsi="Arial" w:cs="Arial"/>
          <w:b/>
          <w:sz w:val="22"/>
          <w:szCs w:val="22"/>
        </w:rPr>
        <w:t>11.3</w:t>
      </w:r>
      <w:r w:rsidRPr="009D3378">
        <w:rPr>
          <w:rFonts w:ascii="Arial" w:hAnsi="Arial" w:cs="Arial"/>
          <w:b/>
          <w:sz w:val="22"/>
          <w:szCs w:val="22"/>
        </w:rPr>
        <w:t>.</w:t>
      </w:r>
      <w:r w:rsidR="00826341">
        <w:rPr>
          <w:rFonts w:ascii="Arial" w:hAnsi="Arial" w:cs="Arial"/>
          <w:b/>
          <w:bCs/>
          <w:sz w:val="22"/>
          <w:szCs w:val="22"/>
        </w:rPr>
        <w:t>1</w:t>
      </w:r>
      <w:r w:rsidR="00CF55E3">
        <w:rPr>
          <w:rFonts w:ascii="Arial" w:hAnsi="Arial" w:cs="Arial"/>
          <w:b/>
          <w:bCs/>
          <w:sz w:val="22"/>
          <w:szCs w:val="22"/>
        </w:rPr>
        <w:t>7</w:t>
      </w:r>
      <w:r w:rsidR="00826341">
        <w:rPr>
          <w:rFonts w:ascii="Arial" w:hAnsi="Arial" w:cs="Arial"/>
          <w:b/>
          <w:bCs/>
          <w:sz w:val="22"/>
          <w:szCs w:val="22"/>
        </w:rPr>
        <w:t xml:space="preserve"> </w:t>
      </w:r>
      <w:r w:rsidR="00B8429E" w:rsidRPr="00826341">
        <w:rPr>
          <w:rFonts w:ascii="Arial" w:hAnsi="Arial" w:cs="Arial"/>
          <w:b/>
          <w:smallCaps/>
          <w:sz w:val="22"/>
          <w:szCs w:val="22"/>
        </w:rPr>
        <w:t>Social benefits</w:t>
      </w:r>
      <w:r w:rsidR="00B8429E" w:rsidRPr="00B8429E">
        <w:rPr>
          <w:rFonts w:ascii="Arial" w:hAnsi="Arial" w:cs="Arial"/>
          <w:sz w:val="22"/>
          <w:szCs w:val="22"/>
        </w:rPr>
        <w:t xml:space="preserve"> </w:t>
      </w:r>
    </w:p>
    <w:p w14:paraId="5B123BC9" w14:textId="63905D6D" w:rsidR="00B8429E" w:rsidRPr="00B8429E" w:rsidRDefault="00D752C7" w:rsidP="00B8429E">
      <w:pPr>
        <w:spacing w:before="96" w:after="96" w:line="276" w:lineRule="auto"/>
        <w:jc w:val="both"/>
        <w:rPr>
          <w:rFonts w:ascii="Arial" w:hAnsi="Arial" w:cs="Arial"/>
          <w:sz w:val="22"/>
          <w:szCs w:val="22"/>
        </w:rPr>
      </w:pPr>
      <w:r w:rsidRPr="00D752C7">
        <w:rPr>
          <w:rFonts w:ascii="Arial" w:hAnsi="Arial" w:cs="Arial"/>
          <w:sz w:val="22"/>
          <w:szCs w:val="22"/>
        </w:rPr>
        <w:t>Social benefits are defined as transfers in cash or in kind to protect the entire population or specific segments of it against certain social risks. Examples of social benefits are</w:t>
      </w:r>
      <w:r w:rsidR="00B8429E" w:rsidRPr="00B8429E">
        <w:rPr>
          <w:rFonts w:ascii="Arial" w:hAnsi="Arial" w:cs="Arial"/>
          <w:sz w:val="22"/>
          <w:szCs w:val="22"/>
        </w:rPr>
        <w:t xml:space="preserve"> social aid, basic retirement pension, basic widow’s pension, basic invalidity pension and pensions and gratuities.</w:t>
      </w:r>
    </w:p>
    <w:p w14:paraId="721A7FA9" w14:textId="652F7982" w:rsidR="00D752C7" w:rsidRDefault="00743DBB" w:rsidP="00B8429E">
      <w:pPr>
        <w:spacing w:before="96" w:after="96" w:line="276" w:lineRule="auto"/>
        <w:jc w:val="both"/>
        <w:rPr>
          <w:rFonts w:ascii="Arial" w:hAnsi="Arial" w:cs="Arial"/>
          <w:sz w:val="22"/>
          <w:szCs w:val="22"/>
        </w:rPr>
      </w:pPr>
      <w:r>
        <w:rPr>
          <w:rFonts w:ascii="Arial" w:hAnsi="Arial" w:cs="Arial"/>
          <w:b/>
          <w:sz w:val="22"/>
          <w:szCs w:val="22"/>
        </w:rPr>
        <w:t>11.3</w:t>
      </w:r>
      <w:r w:rsidRPr="009D3378">
        <w:rPr>
          <w:rFonts w:ascii="Arial" w:hAnsi="Arial" w:cs="Arial"/>
          <w:b/>
          <w:sz w:val="22"/>
          <w:szCs w:val="22"/>
        </w:rPr>
        <w:t>.</w:t>
      </w:r>
      <w:r w:rsidR="0012260C">
        <w:rPr>
          <w:rFonts w:ascii="Arial" w:hAnsi="Arial" w:cs="Arial"/>
          <w:b/>
          <w:bCs/>
          <w:sz w:val="22"/>
          <w:szCs w:val="22"/>
        </w:rPr>
        <w:t>1</w:t>
      </w:r>
      <w:r w:rsidR="00CF55E3">
        <w:rPr>
          <w:rFonts w:ascii="Arial" w:hAnsi="Arial" w:cs="Arial"/>
          <w:b/>
          <w:bCs/>
          <w:sz w:val="22"/>
          <w:szCs w:val="22"/>
        </w:rPr>
        <w:t>8</w:t>
      </w:r>
      <w:r w:rsidR="00D752C7">
        <w:rPr>
          <w:rFonts w:ascii="Arial" w:hAnsi="Arial" w:cs="Arial"/>
          <w:b/>
          <w:bCs/>
          <w:sz w:val="22"/>
          <w:szCs w:val="22"/>
        </w:rPr>
        <w:t xml:space="preserve"> </w:t>
      </w:r>
      <w:r w:rsidR="00B8429E" w:rsidRPr="00D752C7">
        <w:rPr>
          <w:rFonts w:ascii="Arial" w:hAnsi="Arial" w:cs="Arial"/>
          <w:b/>
          <w:smallCaps/>
          <w:sz w:val="22"/>
          <w:szCs w:val="22"/>
        </w:rPr>
        <w:t>Other expense</w:t>
      </w:r>
      <w:r w:rsidR="00B8429E" w:rsidRPr="00B8429E">
        <w:rPr>
          <w:rFonts w:ascii="Arial" w:hAnsi="Arial" w:cs="Arial"/>
          <w:sz w:val="22"/>
          <w:szCs w:val="22"/>
        </w:rPr>
        <w:t xml:space="preserve"> </w:t>
      </w:r>
    </w:p>
    <w:p w14:paraId="7DEFE42F" w14:textId="52458636" w:rsidR="00D752C7" w:rsidRDefault="00D752C7" w:rsidP="00B8429E">
      <w:pPr>
        <w:spacing w:before="96" w:after="96" w:line="276" w:lineRule="auto"/>
        <w:jc w:val="both"/>
        <w:rPr>
          <w:rFonts w:ascii="Arial" w:hAnsi="Arial" w:cs="Arial"/>
          <w:sz w:val="22"/>
          <w:szCs w:val="22"/>
        </w:rPr>
      </w:pPr>
      <w:r>
        <w:rPr>
          <w:rFonts w:ascii="Arial" w:hAnsi="Arial" w:cs="Arial"/>
          <w:sz w:val="22"/>
          <w:szCs w:val="22"/>
        </w:rPr>
        <w:t xml:space="preserve">Other expense </w:t>
      </w:r>
      <w:r w:rsidRPr="00D752C7">
        <w:rPr>
          <w:rFonts w:ascii="Arial" w:hAnsi="Arial" w:cs="Arial"/>
          <w:sz w:val="22"/>
          <w:szCs w:val="22"/>
        </w:rPr>
        <w:t>includes property expense other than interest, and miscellaneous other current and capital expense, which comprise a number of transfers serving quite different purposes and any other expense transaction not elsewhere classified</w:t>
      </w:r>
      <w:r w:rsidR="002076C1">
        <w:rPr>
          <w:rFonts w:ascii="Arial" w:hAnsi="Arial" w:cs="Arial"/>
          <w:sz w:val="22"/>
          <w:szCs w:val="22"/>
        </w:rPr>
        <w:t>.</w:t>
      </w:r>
    </w:p>
    <w:p w14:paraId="46547006" w14:textId="7E9CF7C9" w:rsidR="002076C1" w:rsidRPr="002076C1" w:rsidRDefault="00743DBB" w:rsidP="00B8429E">
      <w:pPr>
        <w:spacing w:before="96" w:after="96" w:line="276" w:lineRule="auto"/>
        <w:jc w:val="both"/>
        <w:rPr>
          <w:rFonts w:ascii="Arial" w:hAnsi="Arial" w:cs="Arial"/>
          <w:b/>
          <w:smallCaps/>
          <w:sz w:val="22"/>
          <w:szCs w:val="22"/>
        </w:rPr>
      </w:pPr>
      <w:r>
        <w:rPr>
          <w:rFonts w:ascii="Arial" w:hAnsi="Arial" w:cs="Arial"/>
          <w:b/>
          <w:sz w:val="22"/>
          <w:szCs w:val="22"/>
        </w:rPr>
        <w:t>11.3</w:t>
      </w:r>
      <w:r w:rsidRPr="009D3378">
        <w:rPr>
          <w:rFonts w:ascii="Arial" w:hAnsi="Arial" w:cs="Arial"/>
          <w:b/>
          <w:sz w:val="22"/>
          <w:szCs w:val="22"/>
        </w:rPr>
        <w:t>.</w:t>
      </w:r>
      <w:r w:rsidR="00CF55E3">
        <w:rPr>
          <w:rFonts w:ascii="Arial" w:hAnsi="Arial" w:cs="Arial"/>
          <w:b/>
          <w:bCs/>
          <w:sz w:val="22"/>
          <w:szCs w:val="22"/>
        </w:rPr>
        <w:t>19</w:t>
      </w:r>
      <w:r w:rsidR="002076C1">
        <w:rPr>
          <w:rFonts w:ascii="Arial" w:hAnsi="Arial" w:cs="Arial"/>
          <w:b/>
          <w:bCs/>
          <w:sz w:val="22"/>
          <w:szCs w:val="22"/>
        </w:rPr>
        <w:t xml:space="preserve"> </w:t>
      </w:r>
      <w:r w:rsidR="002076C1">
        <w:rPr>
          <w:rFonts w:ascii="Arial" w:hAnsi="Arial" w:cs="Arial"/>
          <w:b/>
          <w:smallCaps/>
          <w:sz w:val="22"/>
          <w:szCs w:val="22"/>
        </w:rPr>
        <w:t>Gross a</w:t>
      </w:r>
      <w:r w:rsidR="00B8429E" w:rsidRPr="002076C1">
        <w:rPr>
          <w:rFonts w:ascii="Arial" w:hAnsi="Arial" w:cs="Arial"/>
          <w:b/>
          <w:smallCaps/>
          <w:sz w:val="22"/>
          <w:szCs w:val="22"/>
        </w:rPr>
        <w:t>cquisition of non</w:t>
      </w:r>
      <w:r w:rsidR="002A3E74">
        <w:rPr>
          <w:rFonts w:ascii="Arial" w:hAnsi="Arial" w:cs="Arial"/>
          <w:b/>
          <w:smallCaps/>
          <w:sz w:val="22"/>
          <w:szCs w:val="22"/>
        </w:rPr>
        <w:t>-</w:t>
      </w:r>
      <w:r w:rsidR="00B8429E" w:rsidRPr="002076C1">
        <w:rPr>
          <w:rFonts w:ascii="Arial" w:hAnsi="Arial" w:cs="Arial"/>
          <w:b/>
          <w:smallCaps/>
          <w:sz w:val="22"/>
          <w:szCs w:val="22"/>
        </w:rPr>
        <w:t xml:space="preserve">financial assets </w:t>
      </w:r>
    </w:p>
    <w:p w14:paraId="2C0503D9" w14:textId="112D041D" w:rsidR="002076C1" w:rsidRPr="00B8429E" w:rsidRDefault="001545D6" w:rsidP="002076C1">
      <w:pPr>
        <w:spacing w:before="96" w:after="96" w:line="276" w:lineRule="auto"/>
        <w:jc w:val="both"/>
        <w:rPr>
          <w:rFonts w:ascii="Arial" w:hAnsi="Arial" w:cs="Arial"/>
          <w:sz w:val="22"/>
          <w:szCs w:val="22"/>
        </w:rPr>
      </w:pPr>
      <w:r>
        <w:rPr>
          <w:rFonts w:ascii="Arial" w:hAnsi="Arial" w:cs="Arial"/>
          <w:sz w:val="22"/>
          <w:szCs w:val="22"/>
        </w:rPr>
        <w:t>G</w:t>
      </w:r>
      <w:r w:rsidRPr="001545D6">
        <w:rPr>
          <w:rFonts w:ascii="Arial" w:hAnsi="Arial" w:cs="Arial"/>
          <w:sz w:val="22"/>
          <w:szCs w:val="22"/>
        </w:rPr>
        <w:t>ross acquisition of non</w:t>
      </w:r>
      <w:r w:rsidR="002A3E74">
        <w:rPr>
          <w:rFonts w:ascii="Arial" w:hAnsi="Arial" w:cs="Arial"/>
          <w:sz w:val="22"/>
          <w:szCs w:val="22"/>
        </w:rPr>
        <w:t>-</w:t>
      </w:r>
      <w:r w:rsidRPr="001545D6">
        <w:rPr>
          <w:rFonts w:ascii="Arial" w:hAnsi="Arial" w:cs="Arial"/>
          <w:sz w:val="22"/>
          <w:szCs w:val="22"/>
        </w:rPr>
        <w:t xml:space="preserve">financial assets </w:t>
      </w:r>
      <w:r>
        <w:rPr>
          <w:rFonts w:ascii="Arial" w:hAnsi="Arial" w:cs="Arial"/>
          <w:sz w:val="22"/>
          <w:szCs w:val="22"/>
        </w:rPr>
        <w:t>is equal to a</w:t>
      </w:r>
      <w:r w:rsidRPr="001545D6">
        <w:rPr>
          <w:rFonts w:ascii="Arial" w:hAnsi="Arial" w:cs="Arial"/>
          <w:sz w:val="22"/>
          <w:szCs w:val="22"/>
        </w:rPr>
        <w:t>ll transactions that increase a unit’s holdings of assets</w:t>
      </w:r>
      <w:r>
        <w:rPr>
          <w:rFonts w:ascii="Arial" w:hAnsi="Arial" w:cs="Arial"/>
          <w:sz w:val="22"/>
          <w:szCs w:val="22"/>
        </w:rPr>
        <w:t xml:space="preserve"> (</w:t>
      </w:r>
      <w:r w:rsidRPr="001545D6">
        <w:rPr>
          <w:rFonts w:ascii="Arial" w:hAnsi="Arial" w:cs="Arial"/>
          <w:sz w:val="22"/>
          <w:szCs w:val="22"/>
        </w:rPr>
        <w:t>acquisitions</w:t>
      </w:r>
      <w:r>
        <w:rPr>
          <w:rFonts w:ascii="Arial" w:hAnsi="Arial" w:cs="Arial"/>
          <w:sz w:val="22"/>
          <w:szCs w:val="22"/>
        </w:rPr>
        <w:t>) minus a</w:t>
      </w:r>
      <w:r w:rsidRPr="001545D6">
        <w:rPr>
          <w:rFonts w:ascii="Arial" w:hAnsi="Arial" w:cs="Arial"/>
          <w:sz w:val="22"/>
          <w:szCs w:val="22"/>
        </w:rPr>
        <w:t xml:space="preserve">ll transactions, except consumption of fixed capital, that decrease a unit’s holdings of assets </w:t>
      </w:r>
      <w:r>
        <w:rPr>
          <w:rFonts w:ascii="Arial" w:hAnsi="Arial" w:cs="Arial"/>
          <w:sz w:val="22"/>
          <w:szCs w:val="22"/>
        </w:rPr>
        <w:t>(</w:t>
      </w:r>
      <w:r w:rsidRPr="001545D6">
        <w:rPr>
          <w:rFonts w:ascii="Arial" w:hAnsi="Arial" w:cs="Arial"/>
          <w:sz w:val="22"/>
          <w:szCs w:val="22"/>
        </w:rPr>
        <w:t>disposals</w:t>
      </w:r>
      <w:r>
        <w:rPr>
          <w:rFonts w:ascii="Arial" w:hAnsi="Arial" w:cs="Arial"/>
          <w:sz w:val="22"/>
          <w:szCs w:val="22"/>
        </w:rPr>
        <w:t>)</w:t>
      </w:r>
      <w:r w:rsidR="002076C1" w:rsidRPr="00B8429E">
        <w:rPr>
          <w:rFonts w:ascii="Arial" w:hAnsi="Arial" w:cs="Arial"/>
          <w:sz w:val="22"/>
          <w:szCs w:val="22"/>
        </w:rPr>
        <w:t>.</w:t>
      </w:r>
    </w:p>
    <w:p w14:paraId="30E8A26C" w14:textId="72ED25BB" w:rsidR="00F9720E" w:rsidRDefault="00743DBB" w:rsidP="00B8429E">
      <w:pPr>
        <w:spacing w:before="96" w:after="96" w:line="276" w:lineRule="auto"/>
        <w:jc w:val="both"/>
        <w:rPr>
          <w:rFonts w:ascii="Arial" w:hAnsi="Arial" w:cs="Arial"/>
          <w:sz w:val="22"/>
          <w:szCs w:val="22"/>
        </w:rPr>
      </w:pPr>
      <w:r>
        <w:rPr>
          <w:rFonts w:ascii="Arial" w:hAnsi="Arial" w:cs="Arial"/>
          <w:b/>
          <w:sz w:val="22"/>
          <w:szCs w:val="22"/>
        </w:rPr>
        <w:t>11.3</w:t>
      </w:r>
      <w:r w:rsidRPr="009D3378">
        <w:rPr>
          <w:rFonts w:ascii="Arial" w:hAnsi="Arial" w:cs="Arial"/>
          <w:b/>
          <w:sz w:val="22"/>
          <w:szCs w:val="22"/>
        </w:rPr>
        <w:t>.</w:t>
      </w:r>
      <w:r w:rsidR="001545D6">
        <w:rPr>
          <w:rFonts w:ascii="Arial" w:hAnsi="Arial" w:cs="Arial"/>
          <w:b/>
          <w:bCs/>
          <w:sz w:val="22"/>
          <w:szCs w:val="22"/>
        </w:rPr>
        <w:t>2</w:t>
      </w:r>
      <w:r w:rsidR="00CF55E3">
        <w:rPr>
          <w:rFonts w:ascii="Arial" w:hAnsi="Arial" w:cs="Arial"/>
          <w:b/>
          <w:bCs/>
          <w:sz w:val="22"/>
          <w:szCs w:val="22"/>
        </w:rPr>
        <w:t>0</w:t>
      </w:r>
      <w:r w:rsidR="001545D6">
        <w:rPr>
          <w:rFonts w:ascii="Arial" w:hAnsi="Arial" w:cs="Arial"/>
          <w:b/>
          <w:bCs/>
          <w:sz w:val="22"/>
          <w:szCs w:val="22"/>
        </w:rPr>
        <w:t xml:space="preserve"> </w:t>
      </w:r>
      <w:r w:rsidR="00B8429E" w:rsidRPr="00F9720E">
        <w:rPr>
          <w:rFonts w:ascii="Arial" w:hAnsi="Arial" w:cs="Arial"/>
          <w:b/>
          <w:smallCaps/>
          <w:sz w:val="22"/>
          <w:szCs w:val="22"/>
        </w:rPr>
        <w:t>Consumption of fixed capital</w:t>
      </w:r>
      <w:r w:rsidR="00B8429E" w:rsidRPr="00B8429E">
        <w:rPr>
          <w:rFonts w:ascii="Arial" w:hAnsi="Arial" w:cs="Arial"/>
          <w:sz w:val="22"/>
          <w:szCs w:val="22"/>
        </w:rPr>
        <w:t xml:space="preserve"> </w:t>
      </w:r>
    </w:p>
    <w:p w14:paraId="3A20F3B9" w14:textId="69DD76AA" w:rsidR="00B8429E" w:rsidRPr="00B8429E" w:rsidRDefault="00F9720E" w:rsidP="00B8429E">
      <w:pPr>
        <w:spacing w:before="96" w:after="96" w:line="276" w:lineRule="auto"/>
        <w:jc w:val="both"/>
        <w:rPr>
          <w:rFonts w:ascii="Arial" w:hAnsi="Arial" w:cs="Arial"/>
          <w:sz w:val="22"/>
          <w:szCs w:val="22"/>
        </w:rPr>
      </w:pPr>
      <w:r>
        <w:rPr>
          <w:rFonts w:ascii="Arial" w:hAnsi="Arial" w:cs="Arial"/>
          <w:sz w:val="22"/>
          <w:szCs w:val="22"/>
        </w:rPr>
        <w:t>C</w:t>
      </w:r>
      <w:r w:rsidRPr="00F9720E">
        <w:rPr>
          <w:rFonts w:ascii="Arial" w:hAnsi="Arial" w:cs="Arial"/>
          <w:sz w:val="22"/>
          <w:szCs w:val="22"/>
        </w:rPr>
        <w:t xml:space="preserve">onsumption of fixed capital </w:t>
      </w:r>
      <w:r w:rsidR="00B8429E" w:rsidRPr="00B8429E">
        <w:rPr>
          <w:rFonts w:ascii="Arial" w:hAnsi="Arial" w:cs="Arial"/>
          <w:sz w:val="22"/>
          <w:szCs w:val="22"/>
        </w:rPr>
        <w:t xml:space="preserve">is the decline in the value of the stock of fixed assets </w:t>
      </w:r>
      <w:r w:rsidRPr="00F9720E">
        <w:rPr>
          <w:rFonts w:ascii="Arial" w:hAnsi="Arial" w:cs="Arial"/>
          <w:sz w:val="22"/>
          <w:szCs w:val="22"/>
        </w:rPr>
        <w:t xml:space="preserve">owned and used by a general government unit </w:t>
      </w:r>
      <w:r w:rsidR="00B8429E" w:rsidRPr="00B8429E">
        <w:rPr>
          <w:rFonts w:ascii="Arial" w:hAnsi="Arial" w:cs="Arial"/>
          <w:sz w:val="22"/>
          <w:szCs w:val="22"/>
        </w:rPr>
        <w:t xml:space="preserve">during </w:t>
      </w:r>
      <w:r>
        <w:rPr>
          <w:rFonts w:ascii="Arial" w:hAnsi="Arial" w:cs="Arial"/>
          <w:sz w:val="22"/>
          <w:szCs w:val="22"/>
        </w:rPr>
        <w:t>an</w:t>
      </w:r>
      <w:r w:rsidR="00B8429E" w:rsidRPr="00B8429E">
        <w:rPr>
          <w:rFonts w:ascii="Arial" w:hAnsi="Arial" w:cs="Arial"/>
          <w:sz w:val="22"/>
          <w:szCs w:val="22"/>
        </w:rPr>
        <w:t xml:space="preserve"> accounting period as a result of physical deterioration, normal obsolescence, </w:t>
      </w:r>
      <w:r>
        <w:rPr>
          <w:rFonts w:ascii="Arial" w:hAnsi="Arial" w:cs="Arial"/>
          <w:sz w:val="22"/>
          <w:szCs w:val="22"/>
        </w:rPr>
        <w:t>or</w:t>
      </w:r>
      <w:r w:rsidR="00B8429E" w:rsidRPr="00B8429E">
        <w:rPr>
          <w:rFonts w:ascii="Arial" w:hAnsi="Arial" w:cs="Arial"/>
          <w:sz w:val="22"/>
          <w:szCs w:val="22"/>
        </w:rPr>
        <w:t xml:space="preserve"> normal accidental damage.</w:t>
      </w:r>
    </w:p>
    <w:p w14:paraId="132052C8" w14:textId="5219D71A" w:rsidR="00431ECB" w:rsidRPr="002076C1" w:rsidRDefault="00431ECB" w:rsidP="00431ECB">
      <w:pPr>
        <w:spacing w:before="96" w:after="96" w:line="276" w:lineRule="auto"/>
        <w:jc w:val="both"/>
        <w:rPr>
          <w:rFonts w:ascii="Arial" w:hAnsi="Arial" w:cs="Arial"/>
          <w:b/>
          <w:smallCaps/>
          <w:sz w:val="22"/>
          <w:szCs w:val="22"/>
        </w:rPr>
      </w:pPr>
      <w:r>
        <w:rPr>
          <w:rFonts w:ascii="Arial" w:hAnsi="Arial" w:cs="Arial"/>
          <w:b/>
          <w:sz w:val="22"/>
          <w:szCs w:val="22"/>
        </w:rPr>
        <w:t>11.3</w:t>
      </w:r>
      <w:r w:rsidRPr="009D3378">
        <w:rPr>
          <w:rFonts w:ascii="Arial" w:hAnsi="Arial" w:cs="Arial"/>
          <w:b/>
          <w:sz w:val="22"/>
          <w:szCs w:val="22"/>
        </w:rPr>
        <w:t>.</w:t>
      </w:r>
      <w:r>
        <w:rPr>
          <w:rFonts w:ascii="Arial" w:hAnsi="Arial" w:cs="Arial"/>
          <w:b/>
          <w:bCs/>
          <w:sz w:val="22"/>
          <w:szCs w:val="22"/>
        </w:rPr>
        <w:t xml:space="preserve">21 </w:t>
      </w:r>
      <w:r>
        <w:rPr>
          <w:rFonts w:ascii="Arial" w:hAnsi="Arial" w:cs="Arial"/>
          <w:b/>
          <w:smallCaps/>
          <w:sz w:val="22"/>
          <w:szCs w:val="22"/>
        </w:rPr>
        <w:t>Net a</w:t>
      </w:r>
      <w:r w:rsidRPr="002076C1">
        <w:rPr>
          <w:rFonts w:ascii="Arial" w:hAnsi="Arial" w:cs="Arial"/>
          <w:b/>
          <w:smallCaps/>
          <w:sz w:val="22"/>
          <w:szCs w:val="22"/>
        </w:rPr>
        <w:t>cquisition of non</w:t>
      </w:r>
      <w:r>
        <w:rPr>
          <w:rFonts w:ascii="Arial" w:hAnsi="Arial" w:cs="Arial"/>
          <w:b/>
          <w:smallCaps/>
          <w:sz w:val="22"/>
          <w:szCs w:val="22"/>
        </w:rPr>
        <w:t>-</w:t>
      </w:r>
      <w:r w:rsidRPr="002076C1">
        <w:rPr>
          <w:rFonts w:ascii="Arial" w:hAnsi="Arial" w:cs="Arial"/>
          <w:b/>
          <w:smallCaps/>
          <w:sz w:val="22"/>
          <w:szCs w:val="22"/>
        </w:rPr>
        <w:t xml:space="preserve">financial assets </w:t>
      </w:r>
    </w:p>
    <w:p w14:paraId="6475C25A" w14:textId="7B0D0485" w:rsidR="00431ECB" w:rsidRDefault="00431ECB" w:rsidP="00431ECB">
      <w:pPr>
        <w:spacing w:before="96" w:after="96" w:line="276" w:lineRule="auto"/>
        <w:jc w:val="both"/>
        <w:rPr>
          <w:rFonts w:ascii="Arial" w:hAnsi="Arial" w:cs="Arial"/>
          <w:sz w:val="22"/>
          <w:szCs w:val="22"/>
        </w:rPr>
      </w:pPr>
      <w:r>
        <w:rPr>
          <w:rFonts w:ascii="Arial" w:hAnsi="Arial" w:cs="Arial"/>
          <w:sz w:val="22"/>
          <w:szCs w:val="22"/>
        </w:rPr>
        <w:t>Net</w:t>
      </w:r>
      <w:r w:rsidRPr="00431ECB">
        <w:rPr>
          <w:rFonts w:ascii="Arial" w:hAnsi="Arial" w:cs="Arial"/>
          <w:sz w:val="22"/>
          <w:szCs w:val="22"/>
        </w:rPr>
        <w:t xml:space="preserve"> acquisition of non-financial assets shows the net result of all transactions that change government's holdings of non</w:t>
      </w:r>
      <w:r>
        <w:rPr>
          <w:rFonts w:ascii="Arial" w:hAnsi="Arial" w:cs="Arial"/>
          <w:sz w:val="22"/>
          <w:szCs w:val="22"/>
        </w:rPr>
        <w:t>-</w:t>
      </w:r>
      <w:r w:rsidRPr="00431ECB">
        <w:rPr>
          <w:rFonts w:ascii="Arial" w:hAnsi="Arial" w:cs="Arial"/>
          <w:sz w:val="22"/>
          <w:szCs w:val="22"/>
        </w:rPr>
        <w:t>financial assets, i.e., acquisitions minus disposals minus consumption of fixed capital</w:t>
      </w:r>
      <w:r>
        <w:rPr>
          <w:rFonts w:ascii="Arial" w:hAnsi="Arial" w:cs="Arial"/>
          <w:sz w:val="22"/>
          <w:szCs w:val="22"/>
        </w:rPr>
        <w:t>.</w:t>
      </w:r>
      <w:r w:rsidRPr="00431ECB">
        <w:rPr>
          <w:rFonts w:ascii="Arial" w:hAnsi="Arial" w:cs="Arial"/>
          <w:sz w:val="22"/>
          <w:szCs w:val="22"/>
        </w:rPr>
        <w:t xml:space="preserve"> </w:t>
      </w:r>
    </w:p>
    <w:p w14:paraId="155C58B1" w14:textId="67CAA701" w:rsidR="0012260C" w:rsidRDefault="00743DBB" w:rsidP="00431ECB">
      <w:pPr>
        <w:spacing w:before="96" w:after="96" w:line="276" w:lineRule="auto"/>
        <w:jc w:val="both"/>
        <w:rPr>
          <w:rFonts w:ascii="Arial" w:hAnsi="Arial" w:cs="Arial"/>
          <w:b/>
          <w:smallCaps/>
          <w:sz w:val="22"/>
          <w:szCs w:val="22"/>
        </w:rPr>
      </w:pPr>
      <w:r>
        <w:rPr>
          <w:rFonts w:ascii="Arial" w:hAnsi="Arial" w:cs="Arial"/>
          <w:b/>
          <w:sz w:val="22"/>
          <w:szCs w:val="22"/>
        </w:rPr>
        <w:t>11.3</w:t>
      </w:r>
      <w:r w:rsidRPr="009D3378">
        <w:rPr>
          <w:rFonts w:ascii="Arial" w:hAnsi="Arial" w:cs="Arial"/>
          <w:b/>
          <w:sz w:val="22"/>
          <w:szCs w:val="22"/>
        </w:rPr>
        <w:t>.</w:t>
      </w:r>
      <w:r w:rsidR="0012260C">
        <w:rPr>
          <w:rFonts w:ascii="Arial" w:hAnsi="Arial" w:cs="Arial"/>
          <w:b/>
          <w:bCs/>
          <w:sz w:val="22"/>
          <w:szCs w:val="22"/>
        </w:rPr>
        <w:t>2</w:t>
      </w:r>
      <w:r w:rsidR="00431ECB">
        <w:rPr>
          <w:rFonts w:ascii="Arial" w:hAnsi="Arial" w:cs="Arial"/>
          <w:b/>
          <w:bCs/>
          <w:sz w:val="22"/>
          <w:szCs w:val="22"/>
        </w:rPr>
        <w:t>2</w:t>
      </w:r>
      <w:r w:rsidR="0012260C">
        <w:rPr>
          <w:rFonts w:ascii="Arial" w:hAnsi="Arial" w:cs="Arial"/>
          <w:b/>
          <w:bCs/>
          <w:sz w:val="22"/>
          <w:szCs w:val="22"/>
        </w:rPr>
        <w:t xml:space="preserve"> </w:t>
      </w:r>
      <w:r w:rsidR="0012260C" w:rsidRPr="00666465">
        <w:rPr>
          <w:rFonts w:ascii="Arial" w:hAnsi="Arial" w:cs="Arial"/>
          <w:b/>
          <w:smallCaps/>
          <w:sz w:val="22"/>
          <w:szCs w:val="22"/>
        </w:rPr>
        <w:t>Gross operating balance</w:t>
      </w:r>
    </w:p>
    <w:p w14:paraId="12C346D6" w14:textId="77777777" w:rsidR="0012260C" w:rsidRPr="00B8429E" w:rsidRDefault="0012260C" w:rsidP="0012260C">
      <w:pPr>
        <w:spacing w:before="96" w:after="96" w:line="276" w:lineRule="auto"/>
        <w:jc w:val="both"/>
        <w:rPr>
          <w:rFonts w:ascii="Arial" w:hAnsi="Arial" w:cs="Arial"/>
          <w:sz w:val="22"/>
          <w:szCs w:val="22"/>
        </w:rPr>
      </w:pPr>
      <w:r w:rsidRPr="00666465">
        <w:rPr>
          <w:rFonts w:ascii="Arial" w:hAnsi="Arial" w:cs="Arial"/>
          <w:sz w:val="22"/>
          <w:szCs w:val="22"/>
        </w:rPr>
        <w:t>Gross operating balance</w:t>
      </w:r>
      <w:r w:rsidRPr="00B8429E">
        <w:rPr>
          <w:rFonts w:ascii="Arial" w:hAnsi="Arial" w:cs="Arial"/>
          <w:sz w:val="22"/>
          <w:szCs w:val="22"/>
        </w:rPr>
        <w:t xml:space="preserve"> </w:t>
      </w:r>
      <w:r w:rsidRPr="00325363">
        <w:rPr>
          <w:rFonts w:ascii="Arial" w:hAnsi="Arial" w:cs="Arial"/>
          <w:sz w:val="22"/>
          <w:szCs w:val="22"/>
        </w:rPr>
        <w:t>shows the total effect of transactions, excluding consumption of fixed capital, on government's net worth.</w:t>
      </w:r>
      <w:r>
        <w:rPr>
          <w:rFonts w:ascii="Arial" w:hAnsi="Arial" w:cs="Arial"/>
          <w:sz w:val="22"/>
          <w:szCs w:val="22"/>
        </w:rPr>
        <w:t xml:space="preserve"> It is calculated</w:t>
      </w:r>
      <w:r w:rsidRPr="00325363">
        <w:rPr>
          <w:rFonts w:ascii="Arial" w:hAnsi="Arial" w:cs="Arial"/>
          <w:sz w:val="22"/>
          <w:szCs w:val="22"/>
        </w:rPr>
        <w:t xml:space="preserve"> as total revenue minus total expense, excluding consumption of fixed capital.</w:t>
      </w:r>
    </w:p>
    <w:p w14:paraId="68812C9F" w14:textId="558BC471" w:rsidR="0012260C" w:rsidRDefault="00743DBB" w:rsidP="0012260C">
      <w:pPr>
        <w:spacing w:before="96" w:after="96" w:line="276" w:lineRule="auto"/>
        <w:jc w:val="both"/>
        <w:rPr>
          <w:rFonts w:ascii="Arial" w:hAnsi="Arial" w:cs="Arial"/>
          <w:b/>
          <w:smallCaps/>
          <w:sz w:val="22"/>
          <w:szCs w:val="22"/>
        </w:rPr>
      </w:pPr>
      <w:r>
        <w:rPr>
          <w:rFonts w:ascii="Arial" w:hAnsi="Arial" w:cs="Arial"/>
          <w:b/>
          <w:sz w:val="22"/>
          <w:szCs w:val="22"/>
        </w:rPr>
        <w:t>11.3</w:t>
      </w:r>
      <w:r w:rsidRPr="009D3378">
        <w:rPr>
          <w:rFonts w:ascii="Arial" w:hAnsi="Arial" w:cs="Arial"/>
          <w:b/>
          <w:sz w:val="22"/>
          <w:szCs w:val="22"/>
        </w:rPr>
        <w:t>.</w:t>
      </w:r>
      <w:r w:rsidR="0012260C">
        <w:rPr>
          <w:rFonts w:ascii="Arial" w:hAnsi="Arial" w:cs="Arial"/>
          <w:b/>
          <w:bCs/>
          <w:sz w:val="22"/>
          <w:szCs w:val="22"/>
        </w:rPr>
        <w:t>2</w:t>
      </w:r>
      <w:r w:rsidR="00431ECB">
        <w:rPr>
          <w:rFonts w:ascii="Arial" w:hAnsi="Arial" w:cs="Arial"/>
          <w:b/>
          <w:bCs/>
          <w:sz w:val="22"/>
          <w:szCs w:val="22"/>
        </w:rPr>
        <w:t>3</w:t>
      </w:r>
      <w:r w:rsidR="0012260C">
        <w:rPr>
          <w:rFonts w:ascii="Arial" w:hAnsi="Arial" w:cs="Arial"/>
          <w:b/>
          <w:bCs/>
          <w:sz w:val="22"/>
          <w:szCs w:val="22"/>
        </w:rPr>
        <w:t xml:space="preserve"> </w:t>
      </w:r>
      <w:r w:rsidR="0012260C">
        <w:rPr>
          <w:rFonts w:ascii="Arial" w:hAnsi="Arial" w:cs="Arial"/>
          <w:b/>
          <w:smallCaps/>
          <w:sz w:val="22"/>
          <w:szCs w:val="22"/>
        </w:rPr>
        <w:t>Net</w:t>
      </w:r>
      <w:r w:rsidR="0012260C" w:rsidRPr="00666465">
        <w:rPr>
          <w:rFonts w:ascii="Arial" w:hAnsi="Arial" w:cs="Arial"/>
          <w:b/>
          <w:smallCaps/>
          <w:sz w:val="22"/>
          <w:szCs w:val="22"/>
        </w:rPr>
        <w:t xml:space="preserve"> operating balance</w:t>
      </w:r>
    </w:p>
    <w:p w14:paraId="3E99C866" w14:textId="77777777" w:rsidR="0012260C" w:rsidRPr="00B8429E" w:rsidRDefault="0012260C" w:rsidP="0012260C">
      <w:pPr>
        <w:spacing w:before="96" w:after="96" w:line="276" w:lineRule="auto"/>
        <w:jc w:val="both"/>
        <w:rPr>
          <w:rFonts w:ascii="Arial" w:hAnsi="Arial" w:cs="Arial"/>
          <w:sz w:val="22"/>
          <w:szCs w:val="22"/>
        </w:rPr>
      </w:pPr>
      <w:r>
        <w:rPr>
          <w:rFonts w:ascii="Arial" w:hAnsi="Arial" w:cs="Arial"/>
          <w:sz w:val="22"/>
          <w:szCs w:val="22"/>
        </w:rPr>
        <w:t xml:space="preserve">Net </w:t>
      </w:r>
      <w:r w:rsidRPr="00666465">
        <w:rPr>
          <w:rFonts w:ascii="Arial" w:hAnsi="Arial" w:cs="Arial"/>
          <w:sz w:val="22"/>
          <w:szCs w:val="22"/>
        </w:rPr>
        <w:t>operating balance</w:t>
      </w:r>
      <w:r w:rsidRPr="00B8429E">
        <w:rPr>
          <w:rFonts w:ascii="Arial" w:hAnsi="Arial" w:cs="Arial"/>
          <w:sz w:val="22"/>
          <w:szCs w:val="22"/>
        </w:rPr>
        <w:t xml:space="preserve"> </w:t>
      </w:r>
      <w:r w:rsidRPr="00325363">
        <w:rPr>
          <w:rFonts w:ascii="Arial" w:hAnsi="Arial" w:cs="Arial"/>
          <w:sz w:val="22"/>
          <w:szCs w:val="22"/>
        </w:rPr>
        <w:t>shows the total effect of transactions on government's net worth.</w:t>
      </w:r>
      <w:r>
        <w:rPr>
          <w:rFonts w:ascii="Arial" w:hAnsi="Arial" w:cs="Arial"/>
          <w:sz w:val="22"/>
          <w:szCs w:val="22"/>
        </w:rPr>
        <w:t xml:space="preserve"> It is calculated</w:t>
      </w:r>
      <w:r w:rsidRPr="00325363">
        <w:rPr>
          <w:rFonts w:ascii="Arial" w:hAnsi="Arial" w:cs="Arial"/>
          <w:sz w:val="22"/>
          <w:szCs w:val="22"/>
        </w:rPr>
        <w:t xml:space="preserve"> as total revenue minus total expense.</w:t>
      </w:r>
    </w:p>
    <w:p w14:paraId="0DBA642D" w14:textId="79942C4E" w:rsidR="003603C2" w:rsidRPr="003603C2" w:rsidRDefault="00743DBB" w:rsidP="003603C2">
      <w:pPr>
        <w:spacing w:before="96" w:after="96" w:line="276" w:lineRule="auto"/>
        <w:jc w:val="both"/>
        <w:rPr>
          <w:rFonts w:ascii="Arial" w:hAnsi="Arial" w:cs="Arial"/>
          <w:b/>
          <w:smallCaps/>
          <w:sz w:val="22"/>
          <w:szCs w:val="22"/>
        </w:rPr>
      </w:pPr>
      <w:r>
        <w:rPr>
          <w:rFonts w:ascii="Arial" w:hAnsi="Arial" w:cs="Arial"/>
          <w:b/>
          <w:sz w:val="22"/>
          <w:szCs w:val="22"/>
        </w:rPr>
        <w:t>11.3</w:t>
      </w:r>
      <w:r w:rsidRPr="009D3378">
        <w:rPr>
          <w:rFonts w:ascii="Arial" w:hAnsi="Arial" w:cs="Arial"/>
          <w:b/>
          <w:sz w:val="22"/>
          <w:szCs w:val="22"/>
        </w:rPr>
        <w:t>.</w:t>
      </w:r>
      <w:r w:rsidR="003603C2" w:rsidRPr="003603C2">
        <w:rPr>
          <w:rFonts w:ascii="Arial" w:hAnsi="Arial" w:cs="Arial"/>
          <w:b/>
          <w:bCs/>
          <w:sz w:val="22"/>
          <w:szCs w:val="22"/>
        </w:rPr>
        <w:t>2</w:t>
      </w:r>
      <w:r w:rsidR="00431ECB">
        <w:rPr>
          <w:rFonts w:ascii="Arial" w:hAnsi="Arial" w:cs="Arial"/>
          <w:b/>
          <w:bCs/>
          <w:sz w:val="22"/>
          <w:szCs w:val="22"/>
        </w:rPr>
        <w:t>4</w:t>
      </w:r>
      <w:r w:rsidR="003603C2" w:rsidRPr="003603C2">
        <w:rPr>
          <w:rFonts w:ascii="Arial" w:hAnsi="Arial" w:cs="Arial"/>
          <w:b/>
          <w:bCs/>
          <w:sz w:val="22"/>
          <w:szCs w:val="22"/>
        </w:rPr>
        <w:t xml:space="preserve"> </w:t>
      </w:r>
      <w:r w:rsidR="003603C2" w:rsidRPr="003603C2">
        <w:rPr>
          <w:rFonts w:ascii="Arial" w:hAnsi="Arial" w:cs="Arial"/>
          <w:b/>
          <w:smallCaps/>
          <w:sz w:val="22"/>
          <w:szCs w:val="22"/>
        </w:rPr>
        <w:t>Expenditure</w:t>
      </w:r>
    </w:p>
    <w:p w14:paraId="42A1BD22" w14:textId="77777777" w:rsidR="003603C2" w:rsidRPr="00B8429E" w:rsidRDefault="003603C2" w:rsidP="003603C2">
      <w:pPr>
        <w:spacing w:before="96" w:after="96" w:line="276" w:lineRule="auto"/>
        <w:jc w:val="both"/>
        <w:rPr>
          <w:rFonts w:ascii="Arial" w:hAnsi="Arial" w:cs="Arial"/>
          <w:sz w:val="22"/>
          <w:szCs w:val="22"/>
        </w:rPr>
      </w:pPr>
      <w:r>
        <w:rPr>
          <w:rFonts w:ascii="Arial" w:hAnsi="Arial" w:cs="Arial"/>
          <w:sz w:val="22"/>
          <w:szCs w:val="22"/>
        </w:rPr>
        <w:t xml:space="preserve">Expenditure </w:t>
      </w:r>
      <w:r w:rsidRPr="003603C2">
        <w:rPr>
          <w:rFonts w:ascii="Arial" w:hAnsi="Arial" w:cs="Arial"/>
          <w:sz w:val="22"/>
          <w:szCs w:val="22"/>
        </w:rPr>
        <w:t>is defined as total expense plus the net acquisition of nonfinancial assets</w:t>
      </w:r>
      <w:r>
        <w:rPr>
          <w:rFonts w:ascii="Arial" w:hAnsi="Arial" w:cs="Arial"/>
          <w:sz w:val="22"/>
          <w:szCs w:val="22"/>
        </w:rPr>
        <w:t>.</w:t>
      </w:r>
    </w:p>
    <w:p w14:paraId="2CA9B577" w14:textId="1697C801" w:rsidR="0012260C" w:rsidRDefault="00743DBB" w:rsidP="0012260C">
      <w:pPr>
        <w:spacing w:before="96" w:after="96" w:line="276" w:lineRule="auto"/>
        <w:jc w:val="both"/>
        <w:rPr>
          <w:rFonts w:ascii="Arial" w:hAnsi="Arial" w:cs="Arial"/>
          <w:sz w:val="22"/>
          <w:szCs w:val="22"/>
        </w:rPr>
      </w:pPr>
      <w:r>
        <w:rPr>
          <w:rFonts w:ascii="Arial" w:hAnsi="Arial" w:cs="Arial"/>
          <w:b/>
          <w:sz w:val="22"/>
          <w:szCs w:val="22"/>
        </w:rPr>
        <w:lastRenderedPageBreak/>
        <w:t>11.3</w:t>
      </w:r>
      <w:r w:rsidRPr="009D3378">
        <w:rPr>
          <w:rFonts w:ascii="Arial" w:hAnsi="Arial" w:cs="Arial"/>
          <w:b/>
          <w:sz w:val="22"/>
          <w:szCs w:val="22"/>
        </w:rPr>
        <w:t>.</w:t>
      </w:r>
      <w:r w:rsidR="0012260C">
        <w:rPr>
          <w:rFonts w:ascii="Arial" w:hAnsi="Arial" w:cs="Arial"/>
          <w:b/>
          <w:bCs/>
          <w:sz w:val="22"/>
          <w:szCs w:val="22"/>
        </w:rPr>
        <w:t>2</w:t>
      </w:r>
      <w:r w:rsidR="00431ECB">
        <w:rPr>
          <w:rFonts w:ascii="Arial" w:hAnsi="Arial" w:cs="Arial"/>
          <w:b/>
          <w:bCs/>
          <w:sz w:val="22"/>
          <w:szCs w:val="22"/>
        </w:rPr>
        <w:t>5</w:t>
      </w:r>
      <w:r w:rsidR="0012260C">
        <w:rPr>
          <w:rFonts w:ascii="Arial" w:hAnsi="Arial" w:cs="Arial"/>
          <w:b/>
          <w:bCs/>
          <w:sz w:val="22"/>
          <w:szCs w:val="22"/>
        </w:rPr>
        <w:t xml:space="preserve"> </w:t>
      </w:r>
      <w:r w:rsidR="0012260C" w:rsidRPr="003911DF">
        <w:rPr>
          <w:rFonts w:ascii="Arial" w:hAnsi="Arial" w:cs="Arial"/>
          <w:b/>
          <w:smallCaps/>
          <w:sz w:val="22"/>
          <w:szCs w:val="22"/>
        </w:rPr>
        <w:t>Net lending/borrowing</w:t>
      </w:r>
      <w:r w:rsidR="0012260C" w:rsidRPr="00B8429E">
        <w:rPr>
          <w:rFonts w:ascii="Arial" w:hAnsi="Arial" w:cs="Arial"/>
          <w:sz w:val="22"/>
          <w:szCs w:val="22"/>
        </w:rPr>
        <w:t xml:space="preserve"> </w:t>
      </w:r>
    </w:p>
    <w:p w14:paraId="05A369DB" w14:textId="684869DF" w:rsidR="0012260C" w:rsidRPr="00B8429E" w:rsidRDefault="0012260C" w:rsidP="0012260C">
      <w:pPr>
        <w:spacing w:before="96" w:after="96" w:line="276" w:lineRule="auto"/>
        <w:jc w:val="both"/>
        <w:rPr>
          <w:rFonts w:ascii="Arial" w:hAnsi="Arial" w:cs="Arial"/>
          <w:sz w:val="22"/>
          <w:szCs w:val="22"/>
        </w:rPr>
      </w:pPr>
      <w:bookmarkStart w:id="9" w:name="_Hlk208693488"/>
      <w:r w:rsidRPr="003911DF">
        <w:rPr>
          <w:rFonts w:ascii="Arial" w:hAnsi="Arial" w:cs="Arial"/>
          <w:sz w:val="22"/>
          <w:szCs w:val="22"/>
        </w:rPr>
        <w:t>Net lending/borrowing</w:t>
      </w:r>
      <w:r w:rsidRPr="00B8429E">
        <w:rPr>
          <w:rFonts w:ascii="Arial" w:hAnsi="Arial" w:cs="Arial"/>
          <w:sz w:val="22"/>
          <w:szCs w:val="22"/>
        </w:rPr>
        <w:t xml:space="preserve"> </w:t>
      </w:r>
      <w:bookmarkEnd w:id="9"/>
      <w:r w:rsidRPr="003911DF">
        <w:rPr>
          <w:rFonts w:ascii="Arial" w:hAnsi="Arial" w:cs="Arial"/>
          <w:sz w:val="22"/>
          <w:szCs w:val="22"/>
        </w:rPr>
        <w:t>indica</w:t>
      </w:r>
      <w:r>
        <w:rPr>
          <w:rFonts w:ascii="Arial" w:hAnsi="Arial" w:cs="Arial"/>
          <w:sz w:val="22"/>
          <w:szCs w:val="22"/>
        </w:rPr>
        <w:t>tes</w:t>
      </w:r>
      <w:r w:rsidRPr="003911DF">
        <w:rPr>
          <w:rFonts w:ascii="Arial" w:hAnsi="Arial" w:cs="Arial"/>
          <w:sz w:val="22"/>
          <w:szCs w:val="22"/>
        </w:rPr>
        <w:t xml:space="preserve"> the extent to which government is either putting financial resources at the disposal of other sectors in the economy and nonresidents (net lending), or utilizing the financial resources generated by other sectors and nonresidents</w:t>
      </w:r>
      <w:r w:rsidR="003603C2">
        <w:rPr>
          <w:rFonts w:ascii="Arial" w:hAnsi="Arial" w:cs="Arial"/>
          <w:sz w:val="22"/>
          <w:szCs w:val="22"/>
        </w:rPr>
        <w:t xml:space="preserve"> </w:t>
      </w:r>
      <w:r w:rsidR="003603C2" w:rsidRPr="003603C2">
        <w:rPr>
          <w:rFonts w:ascii="Arial" w:hAnsi="Arial" w:cs="Arial"/>
          <w:sz w:val="22"/>
          <w:szCs w:val="22"/>
        </w:rPr>
        <w:t>(net borrowing)</w:t>
      </w:r>
      <w:r>
        <w:rPr>
          <w:rFonts w:ascii="Arial" w:hAnsi="Arial" w:cs="Arial"/>
          <w:sz w:val="22"/>
          <w:szCs w:val="22"/>
        </w:rPr>
        <w:t>. It is calculated as gross/</w:t>
      </w:r>
      <w:r w:rsidRPr="00B8429E">
        <w:rPr>
          <w:rFonts w:ascii="Arial" w:hAnsi="Arial" w:cs="Arial"/>
          <w:sz w:val="22"/>
          <w:szCs w:val="22"/>
        </w:rPr>
        <w:t xml:space="preserve">net operating balance less </w:t>
      </w:r>
      <w:r>
        <w:rPr>
          <w:rFonts w:ascii="Arial" w:hAnsi="Arial" w:cs="Arial"/>
          <w:sz w:val="22"/>
          <w:szCs w:val="22"/>
        </w:rPr>
        <w:t xml:space="preserve">gross/net </w:t>
      </w:r>
      <w:r w:rsidRPr="00B8429E">
        <w:rPr>
          <w:rFonts w:ascii="Arial" w:hAnsi="Arial" w:cs="Arial"/>
          <w:sz w:val="22"/>
          <w:szCs w:val="22"/>
        </w:rPr>
        <w:t>acquisition of nonfinancial assets.</w:t>
      </w:r>
    </w:p>
    <w:p w14:paraId="79302A9A" w14:textId="19AFE795" w:rsidR="002F3CD2" w:rsidRDefault="00743DBB" w:rsidP="002F3CD2">
      <w:pPr>
        <w:spacing w:before="96" w:after="96" w:line="276" w:lineRule="auto"/>
        <w:jc w:val="both"/>
        <w:rPr>
          <w:rFonts w:ascii="Arial" w:hAnsi="Arial" w:cs="Arial"/>
          <w:b/>
          <w:smallCaps/>
          <w:sz w:val="22"/>
          <w:szCs w:val="22"/>
        </w:rPr>
      </w:pPr>
      <w:r>
        <w:rPr>
          <w:rFonts w:ascii="Arial" w:hAnsi="Arial" w:cs="Arial"/>
          <w:b/>
          <w:sz w:val="22"/>
          <w:szCs w:val="22"/>
        </w:rPr>
        <w:t>11.3</w:t>
      </w:r>
      <w:r w:rsidRPr="009D3378">
        <w:rPr>
          <w:rFonts w:ascii="Arial" w:hAnsi="Arial" w:cs="Arial"/>
          <w:b/>
          <w:sz w:val="22"/>
          <w:szCs w:val="22"/>
        </w:rPr>
        <w:t>.</w:t>
      </w:r>
      <w:r w:rsidR="002F3CD2">
        <w:rPr>
          <w:rFonts w:ascii="Arial" w:hAnsi="Arial" w:cs="Arial"/>
          <w:b/>
          <w:bCs/>
          <w:sz w:val="22"/>
          <w:szCs w:val="22"/>
        </w:rPr>
        <w:t>2</w:t>
      </w:r>
      <w:r w:rsidR="00431ECB">
        <w:rPr>
          <w:rFonts w:ascii="Arial" w:hAnsi="Arial" w:cs="Arial"/>
          <w:b/>
          <w:bCs/>
          <w:sz w:val="22"/>
          <w:szCs w:val="22"/>
        </w:rPr>
        <w:t>6</w:t>
      </w:r>
      <w:r w:rsidR="002F3CD2">
        <w:rPr>
          <w:rFonts w:ascii="Arial" w:hAnsi="Arial" w:cs="Arial"/>
          <w:b/>
          <w:bCs/>
          <w:sz w:val="22"/>
          <w:szCs w:val="22"/>
        </w:rPr>
        <w:t xml:space="preserve"> </w:t>
      </w:r>
      <w:r w:rsidR="002F3CD2" w:rsidRPr="002F3CD2">
        <w:rPr>
          <w:rFonts w:ascii="Arial" w:hAnsi="Arial" w:cs="Arial"/>
          <w:b/>
          <w:smallCaps/>
          <w:sz w:val="22"/>
          <w:szCs w:val="22"/>
        </w:rPr>
        <w:t>Net acquisition of financial assets</w:t>
      </w:r>
    </w:p>
    <w:p w14:paraId="4FFB5796" w14:textId="77777777" w:rsidR="002F3CD2" w:rsidRDefault="00B8429E" w:rsidP="00B8429E">
      <w:pPr>
        <w:spacing w:before="96" w:after="96" w:line="276" w:lineRule="auto"/>
        <w:jc w:val="both"/>
        <w:rPr>
          <w:rFonts w:ascii="Arial" w:hAnsi="Arial" w:cs="Arial"/>
          <w:sz w:val="22"/>
          <w:szCs w:val="22"/>
        </w:rPr>
      </w:pPr>
      <w:r w:rsidRPr="002F3CD2">
        <w:rPr>
          <w:rFonts w:ascii="Arial" w:hAnsi="Arial" w:cs="Arial"/>
          <w:sz w:val="22"/>
          <w:szCs w:val="22"/>
        </w:rPr>
        <w:t>Net acquisition of financial assets</w:t>
      </w:r>
      <w:r w:rsidRPr="00B8429E">
        <w:rPr>
          <w:rFonts w:ascii="Arial" w:hAnsi="Arial" w:cs="Arial"/>
          <w:sz w:val="22"/>
          <w:szCs w:val="22"/>
        </w:rPr>
        <w:t xml:space="preserve"> </w:t>
      </w:r>
      <w:r w:rsidR="002F3CD2" w:rsidRPr="002F3CD2">
        <w:rPr>
          <w:rFonts w:ascii="Arial" w:hAnsi="Arial" w:cs="Arial"/>
          <w:sz w:val="22"/>
          <w:szCs w:val="22"/>
        </w:rPr>
        <w:t xml:space="preserve">shows the net result of all transactions that change government's holdings of financial assets, i.e., acquisitions minus disposals of financial assets. </w:t>
      </w:r>
    </w:p>
    <w:p w14:paraId="0E74C7F3" w14:textId="0AA060B8" w:rsidR="002F3CD2" w:rsidRDefault="00743DBB" w:rsidP="002F3CD2">
      <w:pPr>
        <w:spacing w:before="96" w:after="96" w:line="276" w:lineRule="auto"/>
        <w:jc w:val="both"/>
        <w:rPr>
          <w:rFonts w:ascii="Arial" w:hAnsi="Arial" w:cs="Arial"/>
          <w:b/>
          <w:smallCaps/>
          <w:sz w:val="22"/>
          <w:szCs w:val="22"/>
        </w:rPr>
      </w:pPr>
      <w:r>
        <w:rPr>
          <w:rFonts w:ascii="Arial" w:hAnsi="Arial" w:cs="Arial"/>
          <w:b/>
          <w:sz w:val="22"/>
          <w:szCs w:val="22"/>
        </w:rPr>
        <w:t>11.3</w:t>
      </w:r>
      <w:r w:rsidRPr="009D3378">
        <w:rPr>
          <w:rFonts w:ascii="Arial" w:hAnsi="Arial" w:cs="Arial"/>
          <w:b/>
          <w:sz w:val="22"/>
          <w:szCs w:val="22"/>
        </w:rPr>
        <w:t>.</w:t>
      </w:r>
      <w:r w:rsidR="002F3CD2">
        <w:rPr>
          <w:rFonts w:ascii="Arial" w:hAnsi="Arial" w:cs="Arial"/>
          <w:b/>
          <w:bCs/>
          <w:sz w:val="22"/>
          <w:szCs w:val="22"/>
        </w:rPr>
        <w:t>2</w:t>
      </w:r>
      <w:r w:rsidR="00431ECB">
        <w:rPr>
          <w:rFonts w:ascii="Arial" w:hAnsi="Arial" w:cs="Arial"/>
          <w:b/>
          <w:bCs/>
          <w:sz w:val="22"/>
          <w:szCs w:val="22"/>
        </w:rPr>
        <w:t>7</w:t>
      </w:r>
      <w:r w:rsidR="002F3CD2">
        <w:rPr>
          <w:rFonts w:ascii="Arial" w:hAnsi="Arial" w:cs="Arial"/>
          <w:b/>
          <w:bCs/>
          <w:sz w:val="22"/>
          <w:szCs w:val="22"/>
        </w:rPr>
        <w:t xml:space="preserve"> </w:t>
      </w:r>
      <w:r w:rsidR="002F3CD2" w:rsidRPr="002F3CD2">
        <w:rPr>
          <w:rFonts w:ascii="Arial" w:hAnsi="Arial" w:cs="Arial"/>
          <w:b/>
          <w:smallCaps/>
          <w:sz w:val="22"/>
          <w:szCs w:val="22"/>
        </w:rPr>
        <w:t>Net incurrence of liabilities</w:t>
      </w:r>
    </w:p>
    <w:p w14:paraId="22A51212" w14:textId="77777777" w:rsidR="007E169C" w:rsidRDefault="00B8429E" w:rsidP="007E169C">
      <w:pPr>
        <w:spacing w:before="96" w:after="96" w:line="276" w:lineRule="auto"/>
        <w:jc w:val="both"/>
        <w:rPr>
          <w:rFonts w:ascii="Arial" w:hAnsi="Arial" w:cs="Arial"/>
          <w:b/>
          <w:sz w:val="22"/>
          <w:szCs w:val="22"/>
        </w:rPr>
      </w:pPr>
      <w:r w:rsidRPr="002F3CD2">
        <w:rPr>
          <w:rFonts w:ascii="Arial" w:hAnsi="Arial" w:cs="Arial"/>
          <w:sz w:val="22"/>
          <w:szCs w:val="22"/>
        </w:rPr>
        <w:t>Net incurrence of liabilities</w:t>
      </w:r>
      <w:r w:rsidRPr="00B8429E">
        <w:rPr>
          <w:rFonts w:ascii="Arial" w:hAnsi="Arial" w:cs="Arial"/>
          <w:sz w:val="22"/>
          <w:szCs w:val="22"/>
        </w:rPr>
        <w:t xml:space="preserve"> </w:t>
      </w:r>
      <w:r w:rsidR="002F3CD2" w:rsidRPr="002F3CD2">
        <w:rPr>
          <w:rFonts w:ascii="Arial" w:hAnsi="Arial" w:cs="Arial"/>
          <w:sz w:val="22"/>
          <w:szCs w:val="22"/>
        </w:rPr>
        <w:t>shows the net result of all transactions that change government's stock of liabilities, i.e., incurrence minus repayments of / reductions in liabilities.</w:t>
      </w:r>
      <w:r w:rsidR="007E169C" w:rsidRPr="007E169C">
        <w:rPr>
          <w:rFonts w:ascii="Arial" w:hAnsi="Arial" w:cs="Arial"/>
          <w:b/>
          <w:sz w:val="22"/>
          <w:szCs w:val="22"/>
        </w:rPr>
        <w:t xml:space="preserve"> </w:t>
      </w:r>
    </w:p>
    <w:p w14:paraId="41D5F169" w14:textId="6142555C" w:rsidR="007E169C" w:rsidRDefault="007E169C" w:rsidP="007E169C">
      <w:pPr>
        <w:spacing w:before="96" w:after="96" w:line="276" w:lineRule="auto"/>
        <w:jc w:val="both"/>
        <w:rPr>
          <w:rFonts w:ascii="Arial" w:hAnsi="Arial" w:cs="Arial"/>
          <w:b/>
          <w:smallCaps/>
          <w:sz w:val="22"/>
          <w:szCs w:val="22"/>
        </w:rPr>
      </w:pPr>
      <w:r>
        <w:rPr>
          <w:rFonts w:ascii="Arial" w:hAnsi="Arial" w:cs="Arial"/>
          <w:b/>
          <w:sz w:val="22"/>
          <w:szCs w:val="22"/>
        </w:rPr>
        <w:t>11.3</w:t>
      </w:r>
      <w:r w:rsidRPr="009D3378">
        <w:rPr>
          <w:rFonts w:ascii="Arial" w:hAnsi="Arial" w:cs="Arial"/>
          <w:b/>
          <w:sz w:val="22"/>
          <w:szCs w:val="22"/>
        </w:rPr>
        <w:t>.</w:t>
      </w:r>
      <w:r>
        <w:rPr>
          <w:rFonts w:ascii="Arial" w:hAnsi="Arial" w:cs="Arial"/>
          <w:b/>
          <w:bCs/>
          <w:sz w:val="22"/>
          <w:szCs w:val="22"/>
        </w:rPr>
        <w:t xml:space="preserve">28 </w:t>
      </w:r>
      <w:r w:rsidRPr="002F3CD2">
        <w:rPr>
          <w:rFonts w:ascii="Arial" w:hAnsi="Arial" w:cs="Arial"/>
          <w:b/>
          <w:smallCaps/>
          <w:sz w:val="22"/>
          <w:szCs w:val="22"/>
        </w:rPr>
        <w:t xml:space="preserve">Net </w:t>
      </w:r>
      <w:r>
        <w:rPr>
          <w:rFonts w:ascii="Arial" w:hAnsi="Arial" w:cs="Arial"/>
          <w:b/>
          <w:smallCaps/>
          <w:sz w:val="22"/>
          <w:szCs w:val="22"/>
        </w:rPr>
        <w:t>financial</w:t>
      </w:r>
      <w:r w:rsidR="00A4294C">
        <w:rPr>
          <w:rFonts w:ascii="Arial" w:hAnsi="Arial" w:cs="Arial"/>
          <w:b/>
          <w:smallCaps/>
          <w:sz w:val="22"/>
          <w:szCs w:val="22"/>
        </w:rPr>
        <w:t xml:space="preserve"> </w:t>
      </w:r>
      <w:r>
        <w:rPr>
          <w:rFonts w:ascii="Arial" w:hAnsi="Arial" w:cs="Arial"/>
          <w:b/>
          <w:smallCaps/>
          <w:sz w:val="22"/>
          <w:szCs w:val="22"/>
        </w:rPr>
        <w:t>transactions</w:t>
      </w:r>
    </w:p>
    <w:p w14:paraId="11118B91" w14:textId="39D68F01" w:rsidR="00B8429E" w:rsidRDefault="007E169C" w:rsidP="00B8429E">
      <w:pPr>
        <w:spacing w:before="96" w:after="96" w:line="276" w:lineRule="auto"/>
        <w:jc w:val="both"/>
        <w:rPr>
          <w:rFonts w:ascii="Arial" w:hAnsi="Arial" w:cs="Arial"/>
          <w:sz w:val="22"/>
          <w:szCs w:val="22"/>
        </w:rPr>
      </w:pPr>
      <w:r>
        <w:rPr>
          <w:rFonts w:ascii="Arial" w:hAnsi="Arial" w:cs="Arial"/>
          <w:sz w:val="22"/>
          <w:szCs w:val="22"/>
        </w:rPr>
        <w:t>The position of n</w:t>
      </w:r>
      <w:r w:rsidRPr="002F3CD2">
        <w:rPr>
          <w:rFonts w:ascii="Arial" w:hAnsi="Arial" w:cs="Arial"/>
          <w:sz w:val="22"/>
          <w:szCs w:val="22"/>
        </w:rPr>
        <w:t xml:space="preserve">et </w:t>
      </w:r>
      <w:r>
        <w:rPr>
          <w:rFonts w:ascii="Arial" w:hAnsi="Arial" w:cs="Arial"/>
          <w:sz w:val="22"/>
          <w:szCs w:val="22"/>
        </w:rPr>
        <w:t>financial transactions</w:t>
      </w:r>
      <w:r w:rsidRPr="00B8429E">
        <w:rPr>
          <w:rFonts w:ascii="Arial" w:hAnsi="Arial" w:cs="Arial"/>
          <w:sz w:val="22"/>
          <w:szCs w:val="22"/>
        </w:rPr>
        <w:t xml:space="preserve"> </w:t>
      </w:r>
      <w:r w:rsidRPr="002F3CD2">
        <w:rPr>
          <w:rFonts w:ascii="Arial" w:hAnsi="Arial" w:cs="Arial"/>
          <w:sz w:val="22"/>
          <w:szCs w:val="22"/>
        </w:rPr>
        <w:t xml:space="preserve">shows the net </w:t>
      </w:r>
      <w:r>
        <w:rPr>
          <w:rFonts w:ascii="Arial" w:hAnsi="Arial" w:cs="Arial"/>
          <w:sz w:val="22"/>
          <w:szCs w:val="22"/>
        </w:rPr>
        <w:t>financing</w:t>
      </w:r>
      <w:r w:rsidRPr="002F3CD2">
        <w:rPr>
          <w:rFonts w:ascii="Arial" w:hAnsi="Arial" w:cs="Arial"/>
          <w:sz w:val="22"/>
          <w:szCs w:val="22"/>
        </w:rPr>
        <w:t xml:space="preserve">, i.e., </w:t>
      </w:r>
      <w:r>
        <w:rPr>
          <w:rFonts w:ascii="Arial" w:hAnsi="Arial" w:cs="Arial"/>
          <w:sz w:val="22"/>
          <w:szCs w:val="22"/>
        </w:rPr>
        <w:t>n</w:t>
      </w:r>
      <w:r w:rsidRPr="007E169C">
        <w:rPr>
          <w:rFonts w:ascii="Arial" w:hAnsi="Arial" w:cs="Arial"/>
          <w:sz w:val="22"/>
          <w:szCs w:val="22"/>
        </w:rPr>
        <w:t xml:space="preserve">et acquisition of financial assets </w:t>
      </w:r>
      <w:r w:rsidRPr="002F3CD2">
        <w:rPr>
          <w:rFonts w:ascii="Arial" w:hAnsi="Arial" w:cs="Arial"/>
          <w:sz w:val="22"/>
          <w:szCs w:val="22"/>
        </w:rPr>
        <w:t xml:space="preserve">minus </w:t>
      </w:r>
      <w:r>
        <w:rPr>
          <w:rFonts w:ascii="Arial" w:hAnsi="Arial" w:cs="Arial"/>
          <w:sz w:val="22"/>
          <w:szCs w:val="22"/>
        </w:rPr>
        <w:t>n</w:t>
      </w:r>
      <w:r w:rsidRPr="007E169C">
        <w:rPr>
          <w:rFonts w:ascii="Arial" w:hAnsi="Arial" w:cs="Arial"/>
          <w:sz w:val="22"/>
          <w:szCs w:val="22"/>
        </w:rPr>
        <w:t>et incurrence of liabilities</w:t>
      </w:r>
      <w:r w:rsidRPr="002F3CD2">
        <w:rPr>
          <w:rFonts w:ascii="Arial" w:hAnsi="Arial" w:cs="Arial"/>
          <w:sz w:val="22"/>
          <w:szCs w:val="22"/>
        </w:rPr>
        <w:t>.</w:t>
      </w:r>
      <w:r>
        <w:rPr>
          <w:rFonts w:ascii="Arial" w:hAnsi="Arial" w:cs="Arial"/>
          <w:sz w:val="22"/>
          <w:szCs w:val="22"/>
        </w:rPr>
        <w:t xml:space="preserve"> It is conceptually equal to the n</w:t>
      </w:r>
      <w:r w:rsidRPr="007E169C">
        <w:rPr>
          <w:rFonts w:ascii="Arial" w:hAnsi="Arial" w:cs="Arial"/>
          <w:sz w:val="22"/>
          <w:szCs w:val="22"/>
        </w:rPr>
        <w:t>et lending/borrowing</w:t>
      </w:r>
      <w:r>
        <w:rPr>
          <w:rFonts w:ascii="Arial" w:hAnsi="Arial" w:cs="Arial"/>
          <w:sz w:val="22"/>
          <w:szCs w:val="22"/>
        </w:rPr>
        <w:t>.</w:t>
      </w:r>
    </w:p>
    <w:p w14:paraId="5018CB00" w14:textId="4A47EC6F" w:rsidR="001C2BFB" w:rsidRPr="004719B6" w:rsidRDefault="001C2BFB" w:rsidP="001C2BFB">
      <w:pPr>
        <w:spacing w:beforeLines="40" w:before="96" w:afterLines="40" w:after="96"/>
        <w:jc w:val="both"/>
        <w:rPr>
          <w:rFonts w:ascii="Arial" w:hAnsi="Arial" w:cs="Arial"/>
          <w:sz w:val="22"/>
          <w:szCs w:val="22"/>
        </w:rPr>
      </w:pPr>
      <w:r>
        <w:rPr>
          <w:rFonts w:ascii="Arial" w:hAnsi="Arial" w:cs="Arial"/>
          <w:b/>
          <w:smallCaps/>
          <w:sz w:val="22"/>
          <w:szCs w:val="22"/>
        </w:rPr>
        <w:t>11</w:t>
      </w:r>
      <w:r w:rsidRPr="003A32A8">
        <w:rPr>
          <w:rFonts w:ascii="Arial" w:hAnsi="Arial" w:cs="Arial"/>
          <w:b/>
          <w:smallCaps/>
          <w:sz w:val="22"/>
          <w:szCs w:val="22"/>
        </w:rPr>
        <w:t>.</w:t>
      </w:r>
      <w:r>
        <w:rPr>
          <w:rFonts w:ascii="Arial" w:hAnsi="Arial" w:cs="Arial"/>
          <w:b/>
          <w:smallCaps/>
          <w:sz w:val="22"/>
          <w:szCs w:val="22"/>
        </w:rPr>
        <w:t>4</w:t>
      </w:r>
      <w:r w:rsidRPr="003A32A8">
        <w:rPr>
          <w:rFonts w:ascii="Arial" w:hAnsi="Arial" w:cs="Arial"/>
          <w:b/>
          <w:smallCaps/>
          <w:sz w:val="22"/>
          <w:szCs w:val="22"/>
        </w:rPr>
        <w:tab/>
        <w:t>Inquiries</w:t>
      </w:r>
    </w:p>
    <w:p w14:paraId="62309FE1" w14:textId="77777777" w:rsidR="001C2BFB" w:rsidRPr="003A32A8" w:rsidRDefault="001C2BFB" w:rsidP="001C2BFB">
      <w:pPr>
        <w:spacing w:beforeLines="40" w:before="96" w:afterLines="40" w:after="96"/>
        <w:jc w:val="both"/>
        <w:rPr>
          <w:rFonts w:ascii="Arial" w:hAnsi="Arial" w:cs="Arial"/>
          <w:sz w:val="22"/>
          <w:szCs w:val="22"/>
        </w:rPr>
      </w:pPr>
      <w:r w:rsidRPr="003A32A8">
        <w:rPr>
          <w:rFonts w:ascii="Arial" w:hAnsi="Arial" w:cs="Arial"/>
          <w:sz w:val="22"/>
          <w:szCs w:val="22"/>
        </w:rPr>
        <w:t>For further information</w:t>
      </w:r>
      <w:r>
        <w:rPr>
          <w:rFonts w:ascii="Arial" w:hAnsi="Arial" w:cs="Arial"/>
          <w:sz w:val="22"/>
          <w:szCs w:val="22"/>
        </w:rPr>
        <w:t xml:space="preserve"> on</w:t>
      </w:r>
      <w:r w:rsidRPr="003A32A8">
        <w:rPr>
          <w:rFonts w:ascii="Arial" w:hAnsi="Arial" w:cs="Arial"/>
          <w:sz w:val="22"/>
          <w:szCs w:val="22"/>
        </w:rPr>
        <w:t xml:space="preserve"> </w:t>
      </w:r>
      <w:r>
        <w:rPr>
          <w:rFonts w:ascii="Arial" w:hAnsi="Arial" w:cs="Arial"/>
          <w:sz w:val="22"/>
          <w:szCs w:val="22"/>
        </w:rPr>
        <w:t>public finance statistics,</w:t>
      </w:r>
      <w:r w:rsidRPr="003A32A8">
        <w:rPr>
          <w:rFonts w:ascii="Arial" w:hAnsi="Arial" w:cs="Arial"/>
          <w:sz w:val="22"/>
          <w:szCs w:val="22"/>
        </w:rPr>
        <w:t xml:space="preserve"> please contact:</w:t>
      </w:r>
    </w:p>
    <w:p w14:paraId="7E72759E" w14:textId="77777777" w:rsidR="001C2BFB" w:rsidRDefault="001C2BFB" w:rsidP="001C2BFB">
      <w:pPr>
        <w:ind w:firstLine="720"/>
        <w:rPr>
          <w:rFonts w:ascii="Arial" w:hAnsi="Arial" w:cs="Arial"/>
          <w:sz w:val="22"/>
          <w:szCs w:val="22"/>
        </w:rPr>
      </w:pPr>
      <w:r w:rsidRPr="00E20BB9">
        <w:rPr>
          <w:rFonts w:ascii="Arial" w:hAnsi="Arial" w:cs="Arial"/>
          <w:sz w:val="22"/>
          <w:szCs w:val="22"/>
        </w:rPr>
        <w:t>Mr. M. Jawahir</w:t>
      </w:r>
    </w:p>
    <w:p w14:paraId="08172A69" w14:textId="77777777" w:rsidR="001C2BFB" w:rsidRPr="003A32A8" w:rsidRDefault="001C2BFB" w:rsidP="001C2BFB">
      <w:pPr>
        <w:ind w:left="720"/>
        <w:rPr>
          <w:rFonts w:ascii="Arial" w:hAnsi="Arial" w:cs="Arial"/>
          <w:sz w:val="22"/>
          <w:szCs w:val="22"/>
        </w:rPr>
      </w:pPr>
      <w:r>
        <w:rPr>
          <w:rFonts w:ascii="Arial" w:hAnsi="Arial" w:cs="Arial"/>
          <w:sz w:val="22"/>
          <w:szCs w:val="22"/>
        </w:rPr>
        <w:t>Statistician/Senior Statistician</w:t>
      </w:r>
      <w:r w:rsidRPr="003A32A8">
        <w:rPr>
          <w:rFonts w:ascii="Arial" w:hAnsi="Arial" w:cs="Arial"/>
          <w:sz w:val="22"/>
          <w:szCs w:val="22"/>
        </w:rPr>
        <w:tab/>
      </w:r>
    </w:p>
    <w:p w14:paraId="7BC2A2EE" w14:textId="77777777" w:rsidR="001C2BFB" w:rsidRDefault="001C2BFB" w:rsidP="001C2BFB">
      <w:pPr>
        <w:ind w:left="720"/>
        <w:rPr>
          <w:rStyle w:val="Hyperlink"/>
          <w:rFonts w:ascii="Arial" w:hAnsi="Arial" w:cs="Arial"/>
          <w:sz w:val="22"/>
          <w:szCs w:val="22"/>
        </w:rPr>
      </w:pPr>
      <w:r w:rsidRPr="003A32A8">
        <w:rPr>
          <w:rFonts w:ascii="Arial" w:hAnsi="Arial" w:cs="Arial"/>
          <w:sz w:val="22"/>
          <w:szCs w:val="22"/>
        </w:rPr>
        <w:t>E-mail:</w:t>
      </w:r>
      <w:r>
        <w:rPr>
          <w:rFonts w:ascii="Arial" w:hAnsi="Arial" w:cs="Arial"/>
          <w:sz w:val="22"/>
          <w:szCs w:val="22"/>
        </w:rPr>
        <w:t xml:space="preserve"> </w:t>
      </w:r>
      <w:hyperlink r:id="rId21" w:history="1">
        <w:r w:rsidRPr="00B43803">
          <w:rPr>
            <w:rStyle w:val="Hyperlink"/>
            <w:rFonts w:ascii="Arial" w:hAnsi="Arial" w:cs="Arial"/>
            <w:sz w:val="22"/>
            <w:szCs w:val="22"/>
          </w:rPr>
          <w:t>mjawahir@govmu.org</w:t>
        </w:r>
      </w:hyperlink>
    </w:p>
    <w:p w14:paraId="74F18BC7" w14:textId="77777777" w:rsidR="001C2BFB" w:rsidRDefault="001C2BFB" w:rsidP="001C2BFB">
      <w:pPr>
        <w:ind w:left="720"/>
        <w:rPr>
          <w:rFonts w:ascii="Arial" w:hAnsi="Arial" w:cs="Arial"/>
          <w:sz w:val="22"/>
          <w:szCs w:val="22"/>
        </w:rPr>
      </w:pPr>
    </w:p>
    <w:p w14:paraId="718C534A" w14:textId="09D3F330" w:rsidR="001C2BFB" w:rsidRPr="003A32A8" w:rsidRDefault="001C2BFB" w:rsidP="001C2BFB">
      <w:pPr>
        <w:ind w:left="720"/>
        <w:rPr>
          <w:rFonts w:ascii="Arial" w:hAnsi="Arial" w:cs="Arial"/>
          <w:sz w:val="22"/>
          <w:szCs w:val="22"/>
        </w:rPr>
      </w:pPr>
      <w:r>
        <w:rPr>
          <w:rFonts w:ascii="Arial" w:hAnsi="Arial" w:cs="Arial"/>
          <w:sz w:val="22"/>
          <w:szCs w:val="22"/>
        </w:rPr>
        <w:t xml:space="preserve">Public Finance </w:t>
      </w:r>
      <w:r w:rsidRPr="003A32A8">
        <w:rPr>
          <w:rFonts w:ascii="Arial" w:hAnsi="Arial" w:cs="Arial"/>
          <w:sz w:val="22"/>
          <w:szCs w:val="22"/>
        </w:rPr>
        <w:t>Unit</w:t>
      </w:r>
    </w:p>
    <w:p w14:paraId="2F6443C8" w14:textId="77777777" w:rsidR="001C2BFB" w:rsidRDefault="001C2BFB" w:rsidP="001C2BFB">
      <w:pPr>
        <w:ind w:left="720"/>
        <w:rPr>
          <w:rFonts w:ascii="Arial" w:hAnsi="Arial" w:cs="Arial"/>
          <w:sz w:val="22"/>
          <w:szCs w:val="22"/>
        </w:rPr>
      </w:pPr>
      <w:r w:rsidRPr="00E20BB9">
        <w:rPr>
          <w:rFonts w:ascii="Arial" w:hAnsi="Arial" w:cs="Arial"/>
          <w:sz w:val="22"/>
          <w:szCs w:val="22"/>
        </w:rPr>
        <w:t xml:space="preserve">Statistics Mauritius </w:t>
      </w:r>
    </w:p>
    <w:p w14:paraId="348919E9" w14:textId="77777777" w:rsidR="001C2BFB" w:rsidRPr="003A32A8" w:rsidRDefault="001C2BFB" w:rsidP="001C2BFB">
      <w:pPr>
        <w:ind w:left="720"/>
        <w:rPr>
          <w:rFonts w:ascii="Arial" w:hAnsi="Arial" w:cs="Arial"/>
          <w:sz w:val="22"/>
          <w:szCs w:val="22"/>
        </w:rPr>
      </w:pPr>
      <w:r w:rsidRPr="00E20BB9">
        <w:rPr>
          <w:rFonts w:ascii="Arial" w:hAnsi="Arial" w:cs="Arial"/>
          <w:sz w:val="22"/>
          <w:szCs w:val="22"/>
        </w:rPr>
        <w:t xml:space="preserve">L.I.C. Centre, Port Louis </w:t>
      </w:r>
      <w:r w:rsidRPr="003A32A8">
        <w:rPr>
          <w:rFonts w:ascii="Arial" w:hAnsi="Arial" w:cs="Arial"/>
          <w:sz w:val="22"/>
          <w:szCs w:val="22"/>
        </w:rPr>
        <w:t xml:space="preserve"> </w:t>
      </w:r>
    </w:p>
    <w:p w14:paraId="0AB3D9B6" w14:textId="77777777" w:rsidR="001C2BFB" w:rsidRDefault="001C2BFB" w:rsidP="001C2BFB">
      <w:pPr>
        <w:ind w:left="720"/>
        <w:rPr>
          <w:rFonts w:ascii="Arial" w:hAnsi="Arial" w:cs="Arial"/>
          <w:sz w:val="22"/>
          <w:szCs w:val="22"/>
        </w:rPr>
      </w:pPr>
      <w:r w:rsidRPr="00E20BB9">
        <w:rPr>
          <w:rFonts w:ascii="Arial" w:hAnsi="Arial" w:cs="Arial"/>
          <w:sz w:val="22"/>
          <w:szCs w:val="22"/>
        </w:rPr>
        <w:t>Tel: (230) 208 1800 (Ext. 32</w:t>
      </w:r>
      <w:r>
        <w:rPr>
          <w:rFonts w:ascii="Arial" w:hAnsi="Arial" w:cs="Arial"/>
          <w:sz w:val="22"/>
          <w:szCs w:val="22"/>
        </w:rPr>
        <w:t>1</w:t>
      </w:r>
      <w:r w:rsidRPr="00E20BB9">
        <w:rPr>
          <w:rFonts w:ascii="Arial" w:hAnsi="Arial" w:cs="Arial"/>
          <w:sz w:val="22"/>
          <w:szCs w:val="22"/>
        </w:rPr>
        <w:t>)</w:t>
      </w:r>
    </w:p>
    <w:p w14:paraId="30B3DB55" w14:textId="77777777" w:rsidR="001C2BFB" w:rsidRDefault="001C2BFB" w:rsidP="001C2BFB">
      <w:pPr>
        <w:ind w:left="720"/>
        <w:rPr>
          <w:rFonts w:ascii="Arial" w:hAnsi="Arial" w:cs="Arial"/>
          <w:sz w:val="22"/>
          <w:szCs w:val="22"/>
        </w:rPr>
      </w:pPr>
      <w:r w:rsidRPr="00E20BB9">
        <w:rPr>
          <w:rFonts w:ascii="Arial" w:hAnsi="Arial" w:cs="Arial"/>
          <w:sz w:val="22"/>
          <w:szCs w:val="22"/>
        </w:rPr>
        <w:t>Fax: (230) 211 4150</w:t>
      </w:r>
    </w:p>
    <w:p w14:paraId="7EF218E7" w14:textId="77777777" w:rsidR="001C2BFB" w:rsidRPr="004719B6" w:rsidRDefault="001C2BFB" w:rsidP="001C2BFB">
      <w:pPr>
        <w:ind w:firstLine="720"/>
        <w:rPr>
          <w:rFonts w:ascii="Arial" w:hAnsi="Arial" w:cs="Arial"/>
          <w:sz w:val="22"/>
          <w:szCs w:val="22"/>
          <w:u w:val="single"/>
        </w:rPr>
      </w:pPr>
      <w:r w:rsidRPr="003A32A8">
        <w:rPr>
          <w:rFonts w:ascii="Arial" w:hAnsi="Arial" w:cs="Arial"/>
          <w:sz w:val="22"/>
          <w:szCs w:val="22"/>
        </w:rPr>
        <w:t>E-mail:</w:t>
      </w:r>
      <w:r>
        <w:rPr>
          <w:rFonts w:ascii="Arial" w:hAnsi="Arial" w:cs="Arial"/>
          <w:sz w:val="22"/>
          <w:szCs w:val="22"/>
        </w:rPr>
        <w:t xml:space="preserve"> </w:t>
      </w:r>
      <w:hyperlink r:id="rId22" w:history="1">
        <w:r w:rsidRPr="00B43803">
          <w:rPr>
            <w:rStyle w:val="Hyperlink"/>
            <w:rFonts w:ascii="Arial" w:hAnsi="Arial" w:cs="Arial"/>
            <w:sz w:val="22"/>
            <w:szCs w:val="22"/>
          </w:rPr>
          <w:t>sm-pubfin@govmu.org</w:t>
        </w:r>
      </w:hyperlink>
    </w:p>
    <w:p w14:paraId="28B24BA2" w14:textId="77777777" w:rsidR="001C2BFB" w:rsidRDefault="001C2BFB" w:rsidP="001C2BFB">
      <w:pPr>
        <w:spacing w:beforeLines="40" w:before="96" w:afterLines="40" w:after="96"/>
        <w:jc w:val="both"/>
        <w:rPr>
          <w:rFonts w:ascii="Arial" w:hAnsi="Arial" w:cs="Arial"/>
          <w:b/>
          <w:sz w:val="22"/>
          <w:szCs w:val="22"/>
        </w:rPr>
      </w:pPr>
    </w:p>
    <w:p w14:paraId="5B0C471D" w14:textId="77777777" w:rsidR="001C2BFB" w:rsidRPr="003A32A8" w:rsidRDefault="001C2BFB" w:rsidP="001C2BFB">
      <w:pPr>
        <w:spacing w:beforeLines="40" w:before="96" w:afterLines="40" w:after="96"/>
        <w:jc w:val="both"/>
        <w:rPr>
          <w:rFonts w:ascii="Arial" w:hAnsi="Arial" w:cs="Arial"/>
          <w:b/>
          <w:sz w:val="22"/>
          <w:szCs w:val="22"/>
        </w:rPr>
      </w:pPr>
      <w:r w:rsidRPr="003A32A8">
        <w:rPr>
          <w:rFonts w:ascii="Arial" w:hAnsi="Arial" w:cs="Arial"/>
          <w:b/>
          <w:sz w:val="22"/>
          <w:szCs w:val="22"/>
        </w:rPr>
        <w:t>Statistics Mauritius</w:t>
      </w:r>
    </w:p>
    <w:p w14:paraId="01110565" w14:textId="77777777" w:rsidR="001C2BFB" w:rsidRPr="00CB3CF7" w:rsidRDefault="001C2BFB" w:rsidP="001C2BFB">
      <w:pPr>
        <w:spacing w:beforeLines="40" w:before="96" w:afterLines="40" w:after="96"/>
        <w:jc w:val="both"/>
        <w:rPr>
          <w:rFonts w:ascii="Arial" w:hAnsi="Arial" w:cs="Arial"/>
          <w:b/>
          <w:bCs/>
          <w:sz w:val="22"/>
          <w:szCs w:val="22"/>
        </w:rPr>
      </w:pPr>
      <w:r w:rsidRPr="00CB3CF7">
        <w:rPr>
          <w:rFonts w:ascii="Arial" w:hAnsi="Arial" w:cs="Arial"/>
          <w:b/>
          <w:bCs/>
          <w:sz w:val="22"/>
          <w:szCs w:val="22"/>
        </w:rPr>
        <w:t>Ministry of Finance</w:t>
      </w:r>
    </w:p>
    <w:p w14:paraId="0508AFB7" w14:textId="77777777" w:rsidR="001C2BFB" w:rsidRPr="00CB3CF7" w:rsidRDefault="001C2BFB" w:rsidP="001C2BFB">
      <w:pPr>
        <w:pStyle w:val="Heading3"/>
        <w:spacing w:beforeLines="40" w:before="96" w:afterLines="40" w:after="96" w:line="240" w:lineRule="auto"/>
        <w:rPr>
          <w:rFonts w:ascii="Arial" w:hAnsi="Arial" w:cs="Arial"/>
          <w:b/>
          <w:bCs/>
          <w:sz w:val="22"/>
          <w:szCs w:val="22"/>
        </w:rPr>
      </w:pPr>
      <w:r w:rsidRPr="00CB3CF7">
        <w:rPr>
          <w:rFonts w:ascii="Arial" w:hAnsi="Arial" w:cs="Arial"/>
          <w:b/>
          <w:bCs/>
          <w:sz w:val="22"/>
          <w:szCs w:val="22"/>
        </w:rPr>
        <w:t>Port Louis</w:t>
      </w:r>
    </w:p>
    <w:p w14:paraId="39499F8D" w14:textId="77777777" w:rsidR="001C2BFB" w:rsidRDefault="001C2BFB" w:rsidP="001C2BFB">
      <w:pPr>
        <w:spacing w:beforeLines="40" w:before="96" w:afterLines="40" w:after="96"/>
        <w:jc w:val="both"/>
        <w:rPr>
          <w:rFonts w:ascii="Arial" w:hAnsi="Arial" w:cs="Arial"/>
          <w:b/>
          <w:bCs/>
          <w:sz w:val="22"/>
          <w:szCs w:val="22"/>
        </w:rPr>
      </w:pPr>
      <w:r w:rsidRPr="00CB3CF7">
        <w:rPr>
          <w:rFonts w:ascii="Arial" w:hAnsi="Arial" w:cs="Arial"/>
          <w:b/>
          <w:bCs/>
          <w:sz w:val="22"/>
          <w:szCs w:val="22"/>
        </w:rPr>
        <w:t>September 2025</w:t>
      </w:r>
    </w:p>
    <w:p w14:paraId="35E93EBE" w14:textId="77777777" w:rsidR="001C2BFB" w:rsidRDefault="001C2BFB" w:rsidP="00B8429E">
      <w:pPr>
        <w:spacing w:before="96" w:after="96" w:line="276" w:lineRule="auto"/>
        <w:jc w:val="both"/>
        <w:rPr>
          <w:rFonts w:ascii="Arial" w:hAnsi="Arial" w:cs="Arial"/>
          <w:sz w:val="22"/>
          <w:szCs w:val="22"/>
        </w:rPr>
      </w:pPr>
    </w:p>
    <w:sectPr w:rsidR="001C2BFB" w:rsidSect="00EC1275">
      <w:headerReference w:type="default" r:id="rId23"/>
      <w:type w:val="continuous"/>
      <w:pgSz w:w="11907" w:h="16840" w:code="9"/>
      <w:pgMar w:top="1080" w:right="1080" w:bottom="1080" w:left="1080" w:header="720" w:footer="706"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4426" w14:textId="77777777" w:rsidR="00D43101" w:rsidRDefault="00D43101">
      <w:pPr>
        <w:spacing w:before="96" w:after="96"/>
      </w:pPr>
      <w:r>
        <w:separator/>
      </w:r>
    </w:p>
  </w:endnote>
  <w:endnote w:type="continuationSeparator" w:id="0">
    <w:p w14:paraId="511473BB" w14:textId="77777777" w:rsidR="00D43101" w:rsidRDefault="00D43101">
      <w:pPr>
        <w:spacing w:before="96" w:after="9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93F4" w14:textId="77777777" w:rsidR="00D43101" w:rsidRDefault="00D43101">
      <w:pPr>
        <w:spacing w:before="96" w:after="96"/>
      </w:pPr>
      <w:r>
        <w:separator/>
      </w:r>
    </w:p>
  </w:footnote>
  <w:footnote w:type="continuationSeparator" w:id="0">
    <w:p w14:paraId="729B462F" w14:textId="77777777" w:rsidR="00D43101" w:rsidRDefault="00D43101">
      <w:pPr>
        <w:spacing w:before="96" w:after="9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807512"/>
      <w:docPartObj>
        <w:docPartGallery w:val="Page Numbers (Top of Page)"/>
        <w:docPartUnique/>
      </w:docPartObj>
    </w:sdtPr>
    <w:sdtEndPr>
      <w:rPr>
        <w:noProof/>
        <w:sz w:val="24"/>
        <w:szCs w:val="24"/>
      </w:rPr>
    </w:sdtEndPr>
    <w:sdtContent>
      <w:p w14:paraId="0EEA0189" w14:textId="77777777" w:rsidR="001C4115" w:rsidRPr="00687583" w:rsidRDefault="001C4115">
        <w:pPr>
          <w:pStyle w:val="Header"/>
          <w:spacing w:before="96" w:after="96"/>
          <w:jc w:val="center"/>
          <w:rPr>
            <w:sz w:val="24"/>
            <w:szCs w:val="24"/>
          </w:rPr>
        </w:pPr>
        <w:r w:rsidRPr="00687583">
          <w:rPr>
            <w:sz w:val="24"/>
            <w:szCs w:val="24"/>
          </w:rPr>
          <w:fldChar w:fldCharType="begin"/>
        </w:r>
        <w:r w:rsidRPr="00687583">
          <w:rPr>
            <w:sz w:val="24"/>
            <w:szCs w:val="24"/>
          </w:rPr>
          <w:instrText xml:space="preserve"> PAGE   \* MERGEFORMAT </w:instrText>
        </w:r>
        <w:r w:rsidRPr="00687583">
          <w:rPr>
            <w:sz w:val="24"/>
            <w:szCs w:val="24"/>
          </w:rPr>
          <w:fldChar w:fldCharType="separate"/>
        </w:r>
        <w:r w:rsidR="00ED6227">
          <w:rPr>
            <w:noProof/>
            <w:sz w:val="24"/>
            <w:szCs w:val="24"/>
          </w:rPr>
          <w:t>- 11 -</w:t>
        </w:r>
        <w:r w:rsidRPr="00687583">
          <w:rPr>
            <w:noProof/>
            <w:sz w:val="24"/>
            <w:szCs w:val="24"/>
          </w:rPr>
          <w:fldChar w:fldCharType="end"/>
        </w:r>
      </w:p>
    </w:sdtContent>
  </w:sdt>
  <w:p w14:paraId="42499ED7" w14:textId="77777777" w:rsidR="00034AA5" w:rsidRDefault="00034AA5" w:rsidP="001C4115">
    <w:pPr>
      <w:pStyle w:val="Header"/>
      <w:spacing w:before="96" w:after="9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E4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AB7F0B"/>
    <w:multiLevelType w:val="hybridMultilevel"/>
    <w:tmpl w:val="40A4641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86690"/>
    <w:multiLevelType w:val="hybridMultilevel"/>
    <w:tmpl w:val="F8BCD1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32951"/>
    <w:multiLevelType w:val="hybridMultilevel"/>
    <w:tmpl w:val="6596BA6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140E8"/>
    <w:multiLevelType w:val="hybridMultilevel"/>
    <w:tmpl w:val="B1FA4A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F254F9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31B5EA3"/>
    <w:multiLevelType w:val="singleLevel"/>
    <w:tmpl w:val="FBC8DA68"/>
    <w:lvl w:ilvl="0">
      <w:start w:val="1"/>
      <w:numFmt w:val="decimal"/>
      <w:lvlText w:val="%1."/>
      <w:lvlJc w:val="left"/>
      <w:pPr>
        <w:tabs>
          <w:tab w:val="num" w:pos="360"/>
        </w:tabs>
        <w:ind w:left="360" w:hanging="360"/>
      </w:pPr>
      <w:rPr>
        <w:rFonts w:hint="default"/>
        <w:b/>
        <w:bCs/>
      </w:rPr>
    </w:lvl>
  </w:abstractNum>
  <w:abstractNum w:abstractNumId="7" w15:restartNumberingAfterBreak="0">
    <w:nsid w:val="36977CEA"/>
    <w:multiLevelType w:val="hybridMultilevel"/>
    <w:tmpl w:val="E93407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E010ED"/>
    <w:multiLevelType w:val="singleLevel"/>
    <w:tmpl w:val="6B74DF84"/>
    <w:lvl w:ilvl="0">
      <w:start w:val="1"/>
      <w:numFmt w:val="lowerRoman"/>
      <w:lvlText w:val="(%1)"/>
      <w:lvlJc w:val="left"/>
      <w:pPr>
        <w:tabs>
          <w:tab w:val="num" w:pos="1800"/>
        </w:tabs>
        <w:ind w:left="1800" w:hanging="360"/>
      </w:pPr>
      <w:rPr>
        <w:rFonts w:ascii="Times New Roman" w:eastAsia="Times New Roman" w:hAnsi="Times New Roman" w:cs="Times New Roman"/>
      </w:rPr>
    </w:lvl>
  </w:abstractNum>
  <w:abstractNum w:abstractNumId="9" w15:restartNumberingAfterBreak="0">
    <w:nsid w:val="58C250D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C364F9E"/>
    <w:multiLevelType w:val="hybridMultilevel"/>
    <w:tmpl w:val="351837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6761B0"/>
    <w:multiLevelType w:val="hybridMultilevel"/>
    <w:tmpl w:val="F202FB82"/>
    <w:lvl w:ilvl="0" w:tplc="04090019">
      <w:start w:val="1"/>
      <w:numFmt w:val="lowerLetter"/>
      <w:lvlText w:val="%1."/>
      <w:lvlJc w:val="left"/>
      <w:pPr>
        <w:ind w:left="720" w:hanging="360"/>
      </w:pPr>
    </w:lvl>
    <w:lvl w:ilvl="1" w:tplc="8AEAA6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193954">
    <w:abstractNumId w:val="8"/>
  </w:num>
  <w:num w:numId="2" w16cid:durableId="1739673099">
    <w:abstractNumId w:val="5"/>
  </w:num>
  <w:num w:numId="3" w16cid:durableId="480970735">
    <w:abstractNumId w:val="1"/>
  </w:num>
  <w:num w:numId="4" w16cid:durableId="1308128932">
    <w:abstractNumId w:val="10"/>
  </w:num>
  <w:num w:numId="5" w16cid:durableId="1199274492">
    <w:abstractNumId w:val="3"/>
  </w:num>
  <w:num w:numId="6" w16cid:durableId="1985425610">
    <w:abstractNumId w:val="7"/>
  </w:num>
  <w:num w:numId="7" w16cid:durableId="115221003">
    <w:abstractNumId w:val="0"/>
  </w:num>
  <w:num w:numId="8" w16cid:durableId="1737317332">
    <w:abstractNumId w:val="9"/>
  </w:num>
  <w:num w:numId="9" w16cid:durableId="1511794879">
    <w:abstractNumId w:val="2"/>
  </w:num>
  <w:num w:numId="10" w16cid:durableId="177237407">
    <w:abstractNumId w:val="6"/>
    <w:lvlOverride w:ilvl="0">
      <w:startOverride w:val="1"/>
    </w:lvlOverride>
  </w:num>
  <w:num w:numId="11" w16cid:durableId="486627788">
    <w:abstractNumId w:val="11"/>
  </w:num>
  <w:num w:numId="12" w16cid:durableId="117449588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354"/>
    <w:rsid w:val="00001CE5"/>
    <w:rsid w:val="0000223E"/>
    <w:rsid w:val="00002496"/>
    <w:rsid w:val="00003F33"/>
    <w:rsid w:val="00005092"/>
    <w:rsid w:val="00006F3D"/>
    <w:rsid w:val="00006F86"/>
    <w:rsid w:val="00011240"/>
    <w:rsid w:val="0001248E"/>
    <w:rsid w:val="0001296C"/>
    <w:rsid w:val="000135A2"/>
    <w:rsid w:val="0001435A"/>
    <w:rsid w:val="00014DE0"/>
    <w:rsid w:val="000150A0"/>
    <w:rsid w:val="0001578B"/>
    <w:rsid w:val="000162FB"/>
    <w:rsid w:val="00017DE1"/>
    <w:rsid w:val="00020786"/>
    <w:rsid w:val="00020EE1"/>
    <w:rsid w:val="00021CC0"/>
    <w:rsid w:val="00021E46"/>
    <w:rsid w:val="00022C00"/>
    <w:rsid w:val="00023FC1"/>
    <w:rsid w:val="00024BE2"/>
    <w:rsid w:val="0002514A"/>
    <w:rsid w:val="000259A1"/>
    <w:rsid w:val="000259C8"/>
    <w:rsid w:val="00025EC4"/>
    <w:rsid w:val="000308FB"/>
    <w:rsid w:val="00031FFF"/>
    <w:rsid w:val="0003471A"/>
    <w:rsid w:val="00034AA5"/>
    <w:rsid w:val="00035544"/>
    <w:rsid w:val="00035976"/>
    <w:rsid w:val="00035CE0"/>
    <w:rsid w:val="000362E9"/>
    <w:rsid w:val="0003686E"/>
    <w:rsid w:val="00036E7F"/>
    <w:rsid w:val="00037E63"/>
    <w:rsid w:val="000406BC"/>
    <w:rsid w:val="000415E8"/>
    <w:rsid w:val="00042172"/>
    <w:rsid w:val="00042726"/>
    <w:rsid w:val="00042B00"/>
    <w:rsid w:val="000430D6"/>
    <w:rsid w:val="000436D5"/>
    <w:rsid w:val="00047CA9"/>
    <w:rsid w:val="00050C97"/>
    <w:rsid w:val="000527B9"/>
    <w:rsid w:val="0005530A"/>
    <w:rsid w:val="0005600A"/>
    <w:rsid w:val="0005611A"/>
    <w:rsid w:val="00056995"/>
    <w:rsid w:val="00057F0A"/>
    <w:rsid w:val="000607AC"/>
    <w:rsid w:val="00061D8F"/>
    <w:rsid w:val="0006548D"/>
    <w:rsid w:val="00066B26"/>
    <w:rsid w:val="00067EA7"/>
    <w:rsid w:val="00070017"/>
    <w:rsid w:val="0007021F"/>
    <w:rsid w:val="00070497"/>
    <w:rsid w:val="00070DB1"/>
    <w:rsid w:val="00073088"/>
    <w:rsid w:val="0007382A"/>
    <w:rsid w:val="00075CC9"/>
    <w:rsid w:val="00080111"/>
    <w:rsid w:val="00080782"/>
    <w:rsid w:val="00080A5E"/>
    <w:rsid w:val="00081C91"/>
    <w:rsid w:val="00082049"/>
    <w:rsid w:val="00082F66"/>
    <w:rsid w:val="00086547"/>
    <w:rsid w:val="00086BC4"/>
    <w:rsid w:val="00086E6C"/>
    <w:rsid w:val="0008760E"/>
    <w:rsid w:val="00092114"/>
    <w:rsid w:val="00093389"/>
    <w:rsid w:val="00093492"/>
    <w:rsid w:val="0009388A"/>
    <w:rsid w:val="00094F64"/>
    <w:rsid w:val="000959A9"/>
    <w:rsid w:val="000963BB"/>
    <w:rsid w:val="00096D02"/>
    <w:rsid w:val="000A12CF"/>
    <w:rsid w:val="000A1762"/>
    <w:rsid w:val="000A290B"/>
    <w:rsid w:val="000A4488"/>
    <w:rsid w:val="000A4A26"/>
    <w:rsid w:val="000A5A77"/>
    <w:rsid w:val="000A6F57"/>
    <w:rsid w:val="000A734E"/>
    <w:rsid w:val="000A7B49"/>
    <w:rsid w:val="000B018A"/>
    <w:rsid w:val="000B0F85"/>
    <w:rsid w:val="000B1D59"/>
    <w:rsid w:val="000B2375"/>
    <w:rsid w:val="000B4999"/>
    <w:rsid w:val="000B4CE2"/>
    <w:rsid w:val="000B533D"/>
    <w:rsid w:val="000B5799"/>
    <w:rsid w:val="000B65F0"/>
    <w:rsid w:val="000B74DB"/>
    <w:rsid w:val="000C045C"/>
    <w:rsid w:val="000C0890"/>
    <w:rsid w:val="000C226F"/>
    <w:rsid w:val="000C2309"/>
    <w:rsid w:val="000C2EB7"/>
    <w:rsid w:val="000C36F9"/>
    <w:rsid w:val="000C4701"/>
    <w:rsid w:val="000C5E2C"/>
    <w:rsid w:val="000C6778"/>
    <w:rsid w:val="000C6ED8"/>
    <w:rsid w:val="000C7AFC"/>
    <w:rsid w:val="000D08FE"/>
    <w:rsid w:val="000D1347"/>
    <w:rsid w:val="000D1568"/>
    <w:rsid w:val="000D16F7"/>
    <w:rsid w:val="000D447D"/>
    <w:rsid w:val="000D4AC6"/>
    <w:rsid w:val="000D655D"/>
    <w:rsid w:val="000E1811"/>
    <w:rsid w:val="000E1E83"/>
    <w:rsid w:val="000E295E"/>
    <w:rsid w:val="000E30E7"/>
    <w:rsid w:val="000E4160"/>
    <w:rsid w:val="000E471B"/>
    <w:rsid w:val="000E4CBE"/>
    <w:rsid w:val="000E4D7F"/>
    <w:rsid w:val="000E5276"/>
    <w:rsid w:val="000E52CC"/>
    <w:rsid w:val="000E607C"/>
    <w:rsid w:val="000E7973"/>
    <w:rsid w:val="000F0577"/>
    <w:rsid w:val="000F3E01"/>
    <w:rsid w:val="000F51E3"/>
    <w:rsid w:val="00100069"/>
    <w:rsid w:val="00105364"/>
    <w:rsid w:val="00105435"/>
    <w:rsid w:val="001058F0"/>
    <w:rsid w:val="00105C70"/>
    <w:rsid w:val="0010609A"/>
    <w:rsid w:val="00110072"/>
    <w:rsid w:val="001104B9"/>
    <w:rsid w:val="001109FF"/>
    <w:rsid w:val="0011256D"/>
    <w:rsid w:val="00114ACB"/>
    <w:rsid w:val="00114D18"/>
    <w:rsid w:val="001154A5"/>
    <w:rsid w:val="0011583B"/>
    <w:rsid w:val="001171B2"/>
    <w:rsid w:val="00117270"/>
    <w:rsid w:val="00117D94"/>
    <w:rsid w:val="00120360"/>
    <w:rsid w:val="00120E13"/>
    <w:rsid w:val="001212FE"/>
    <w:rsid w:val="0012260C"/>
    <w:rsid w:val="00122674"/>
    <w:rsid w:val="001234A0"/>
    <w:rsid w:val="00123B73"/>
    <w:rsid w:val="0012480E"/>
    <w:rsid w:val="0012509A"/>
    <w:rsid w:val="001260D3"/>
    <w:rsid w:val="00126116"/>
    <w:rsid w:val="00130015"/>
    <w:rsid w:val="001303D1"/>
    <w:rsid w:val="00130691"/>
    <w:rsid w:val="00131B04"/>
    <w:rsid w:val="0013282E"/>
    <w:rsid w:val="00132A9B"/>
    <w:rsid w:val="001331CA"/>
    <w:rsid w:val="00133969"/>
    <w:rsid w:val="00133B36"/>
    <w:rsid w:val="00140100"/>
    <w:rsid w:val="00140C42"/>
    <w:rsid w:val="00143A98"/>
    <w:rsid w:val="00145CF0"/>
    <w:rsid w:val="00145F87"/>
    <w:rsid w:val="00150BEA"/>
    <w:rsid w:val="00152B2E"/>
    <w:rsid w:val="00152C62"/>
    <w:rsid w:val="00153A56"/>
    <w:rsid w:val="00153E05"/>
    <w:rsid w:val="00154189"/>
    <w:rsid w:val="00154426"/>
    <w:rsid w:val="001545D6"/>
    <w:rsid w:val="0015465A"/>
    <w:rsid w:val="00154BDD"/>
    <w:rsid w:val="001553D8"/>
    <w:rsid w:val="001568BF"/>
    <w:rsid w:val="00156B39"/>
    <w:rsid w:val="00156C22"/>
    <w:rsid w:val="00156E38"/>
    <w:rsid w:val="001571E3"/>
    <w:rsid w:val="0016067F"/>
    <w:rsid w:val="001630CA"/>
    <w:rsid w:val="0016339B"/>
    <w:rsid w:val="00163C29"/>
    <w:rsid w:val="00164E02"/>
    <w:rsid w:val="001659E2"/>
    <w:rsid w:val="0016739F"/>
    <w:rsid w:val="0017026C"/>
    <w:rsid w:val="00170760"/>
    <w:rsid w:val="001721A3"/>
    <w:rsid w:val="001732B3"/>
    <w:rsid w:val="001732D6"/>
    <w:rsid w:val="001743AA"/>
    <w:rsid w:val="0017679C"/>
    <w:rsid w:val="00176AD3"/>
    <w:rsid w:val="00176DEA"/>
    <w:rsid w:val="001805A4"/>
    <w:rsid w:val="00181B07"/>
    <w:rsid w:val="00181EF6"/>
    <w:rsid w:val="0018222C"/>
    <w:rsid w:val="00182336"/>
    <w:rsid w:val="00184DDF"/>
    <w:rsid w:val="00185B1F"/>
    <w:rsid w:val="00186D00"/>
    <w:rsid w:val="00187320"/>
    <w:rsid w:val="0018789D"/>
    <w:rsid w:val="001879CA"/>
    <w:rsid w:val="001916AC"/>
    <w:rsid w:val="00192BBD"/>
    <w:rsid w:val="00193D6E"/>
    <w:rsid w:val="00195585"/>
    <w:rsid w:val="0019642C"/>
    <w:rsid w:val="0019708C"/>
    <w:rsid w:val="001971CF"/>
    <w:rsid w:val="001977AA"/>
    <w:rsid w:val="001A0379"/>
    <w:rsid w:val="001A03F4"/>
    <w:rsid w:val="001A14E0"/>
    <w:rsid w:val="001A1587"/>
    <w:rsid w:val="001A2116"/>
    <w:rsid w:val="001A225B"/>
    <w:rsid w:val="001A34D6"/>
    <w:rsid w:val="001A34FB"/>
    <w:rsid w:val="001A3FE6"/>
    <w:rsid w:val="001A4C70"/>
    <w:rsid w:val="001A593B"/>
    <w:rsid w:val="001A7649"/>
    <w:rsid w:val="001B052B"/>
    <w:rsid w:val="001B06D3"/>
    <w:rsid w:val="001B1321"/>
    <w:rsid w:val="001B1343"/>
    <w:rsid w:val="001B1E35"/>
    <w:rsid w:val="001B2809"/>
    <w:rsid w:val="001B2BF3"/>
    <w:rsid w:val="001B4507"/>
    <w:rsid w:val="001B53E3"/>
    <w:rsid w:val="001B5A4F"/>
    <w:rsid w:val="001B65CE"/>
    <w:rsid w:val="001B669D"/>
    <w:rsid w:val="001B66AA"/>
    <w:rsid w:val="001C0905"/>
    <w:rsid w:val="001C20C6"/>
    <w:rsid w:val="001C2962"/>
    <w:rsid w:val="001C2BFB"/>
    <w:rsid w:val="001C34F9"/>
    <w:rsid w:val="001C3590"/>
    <w:rsid w:val="001C3EE2"/>
    <w:rsid w:val="001C4115"/>
    <w:rsid w:val="001C5043"/>
    <w:rsid w:val="001C55F6"/>
    <w:rsid w:val="001C6FA0"/>
    <w:rsid w:val="001D08D9"/>
    <w:rsid w:val="001D38FB"/>
    <w:rsid w:val="001D3BE0"/>
    <w:rsid w:val="001D567C"/>
    <w:rsid w:val="001D68BC"/>
    <w:rsid w:val="001D7467"/>
    <w:rsid w:val="001E09C2"/>
    <w:rsid w:val="001E0D77"/>
    <w:rsid w:val="001E215B"/>
    <w:rsid w:val="001E21F4"/>
    <w:rsid w:val="001E24C5"/>
    <w:rsid w:val="001E3829"/>
    <w:rsid w:val="001E412A"/>
    <w:rsid w:val="001E5B26"/>
    <w:rsid w:val="001E5C19"/>
    <w:rsid w:val="001E773F"/>
    <w:rsid w:val="001F0773"/>
    <w:rsid w:val="001F39A9"/>
    <w:rsid w:val="001F3F0E"/>
    <w:rsid w:val="001F46EE"/>
    <w:rsid w:val="001F4D4E"/>
    <w:rsid w:val="001F4E90"/>
    <w:rsid w:val="001F4FE8"/>
    <w:rsid w:val="001F52E7"/>
    <w:rsid w:val="001F5BFB"/>
    <w:rsid w:val="001F778C"/>
    <w:rsid w:val="00201151"/>
    <w:rsid w:val="00201841"/>
    <w:rsid w:val="00202F5B"/>
    <w:rsid w:val="00204015"/>
    <w:rsid w:val="0020485B"/>
    <w:rsid w:val="0020698B"/>
    <w:rsid w:val="002076C1"/>
    <w:rsid w:val="00207C48"/>
    <w:rsid w:val="0021015D"/>
    <w:rsid w:val="0021096D"/>
    <w:rsid w:val="00211A16"/>
    <w:rsid w:val="00212D17"/>
    <w:rsid w:val="00214080"/>
    <w:rsid w:val="00214A87"/>
    <w:rsid w:val="00215EA2"/>
    <w:rsid w:val="00216D2D"/>
    <w:rsid w:val="00216F7F"/>
    <w:rsid w:val="002172EC"/>
    <w:rsid w:val="00217B89"/>
    <w:rsid w:val="002203DD"/>
    <w:rsid w:val="00220E06"/>
    <w:rsid w:val="0022149C"/>
    <w:rsid w:val="00221995"/>
    <w:rsid w:val="00222778"/>
    <w:rsid w:val="00223C5F"/>
    <w:rsid w:val="002247C7"/>
    <w:rsid w:val="00224948"/>
    <w:rsid w:val="00224CAE"/>
    <w:rsid w:val="002256F0"/>
    <w:rsid w:val="00226934"/>
    <w:rsid w:val="002307B5"/>
    <w:rsid w:val="00231642"/>
    <w:rsid w:val="00232DC7"/>
    <w:rsid w:val="00233E54"/>
    <w:rsid w:val="00235318"/>
    <w:rsid w:val="00235413"/>
    <w:rsid w:val="00235CCE"/>
    <w:rsid w:val="00236CA8"/>
    <w:rsid w:val="002378FC"/>
    <w:rsid w:val="00237B00"/>
    <w:rsid w:val="00240342"/>
    <w:rsid w:val="00241866"/>
    <w:rsid w:val="00241D84"/>
    <w:rsid w:val="002422E8"/>
    <w:rsid w:val="00243AD5"/>
    <w:rsid w:val="00245756"/>
    <w:rsid w:val="00245E17"/>
    <w:rsid w:val="00246B60"/>
    <w:rsid w:val="0024735E"/>
    <w:rsid w:val="00247F2F"/>
    <w:rsid w:val="00250CE2"/>
    <w:rsid w:val="00251D38"/>
    <w:rsid w:val="00252A01"/>
    <w:rsid w:val="00253CAD"/>
    <w:rsid w:val="002541BA"/>
    <w:rsid w:val="00255E68"/>
    <w:rsid w:val="002560C9"/>
    <w:rsid w:val="00256CC2"/>
    <w:rsid w:val="00256CCA"/>
    <w:rsid w:val="00256D26"/>
    <w:rsid w:val="00257DD2"/>
    <w:rsid w:val="00264257"/>
    <w:rsid w:val="00264E7D"/>
    <w:rsid w:val="00264FA5"/>
    <w:rsid w:val="002653BC"/>
    <w:rsid w:val="00265D78"/>
    <w:rsid w:val="00265FEF"/>
    <w:rsid w:val="0026609A"/>
    <w:rsid w:val="002673F4"/>
    <w:rsid w:val="00267452"/>
    <w:rsid w:val="00271214"/>
    <w:rsid w:val="00271626"/>
    <w:rsid w:val="00271815"/>
    <w:rsid w:val="00272A9B"/>
    <w:rsid w:val="0027452C"/>
    <w:rsid w:val="0027469E"/>
    <w:rsid w:val="00276F46"/>
    <w:rsid w:val="002801E6"/>
    <w:rsid w:val="0028043A"/>
    <w:rsid w:val="00280591"/>
    <w:rsid w:val="00281BEF"/>
    <w:rsid w:val="00282344"/>
    <w:rsid w:val="00282BF0"/>
    <w:rsid w:val="002836ED"/>
    <w:rsid w:val="00284B0D"/>
    <w:rsid w:val="00284B8E"/>
    <w:rsid w:val="002853C7"/>
    <w:rsid w:val="00286E16"/>
    <w:rsid w:val="002878F9"/>
    <w:rsid w:val="002910A2"/>
    <w:rsid w:val="002917B5"/>
    <w:rsid w:val="00292FB2"/>
    <w:rsid w:val="002931DB"/>
    <w:rsid w:val="002935C3"/>
    <w:rsid w:val="0029361F"/>
    <w:rsid w:val="00294216"/>
    <w:rsid w:val="00294807"/>
    <w:rsid w:val="00294E50"/>
    <w:rsid w:val="00296043"/>
    <w:rsid w:val="00297092"/>
    <w:rsid w:val="0029797B"/>
    <w:rsid w:val="002A0466"/>
    <w:rsid w:val="002A099C"/>
    <w:rsid w:val="002A357D"/>
    <w:rsid w:val="002A3E74"/>
    <w:rsid w:val="002A47E1"/>
    <w:rsid w:val="002A5201"/>
    <w:rsid w:val="002A5A58"/>
    <w:rsid w:val="002A606F"/>
    <w:rsid w:val="002A6EBC"/>
    <w:rsid w:val="002B021A"/>
    <w:rsid w:val="002B0406"/>
    <w:rsid w:val="002B1755"/>
    <w:rsid w:val="002B202B"/>
    <w:rsid w:val="002B26F3"/>
    <w:rsid w:val="002B2805"/>
    <w:rsid w:val="002B286A"/>
    <w:rsid w:val="002B2B79"/>
    <w:rsid w:val="002B3475"/>
    <w:rsid w:val="002B38FE"/>
    <w:rsid w:val="002B4569"/>
    <w:rsid w:val="002B4CCF"/>
    <w:rsid w:val="002B60F6"/>
    <w:rsid w:val="002B6F88"/>
    <w:rsid w:val="002B7063"/>
    <w:rsid w:val="002B7714"/>
    <w:rsid w:val="002C0B4C"/>
    <w:rsid w:val="002C2C64"/>
    <w:rsid w:val="002C326B"/>
    <w:rsid w:val="002C5CE8"/>
    <w:rsid w:val="002C6713"/>
    <w:rsid w:val="002C6B9C"/>
    <w:rsid w:val="002C6D9E"/>
    <w:rsid w:val="002D1D26"/>
    <w:rsid w:val="002D1D5E"/>
    <w:rsid w:val="002D228F"/>
    <w:rsid w:val="002D296D"/>
    <w:rsid w:val="002D2F24"/>
    <w:rsid w:val="002D3435"/>
    <w:rsid w:val="002D4403"/>
    <w:rsid w:val="002D46EF"/>
    <w:rsid w:val="002D4D75"/>
    <w:rsid w:val="002D7141"/>
    <w:rsid w:val="002E229E"/>
    <w:rsid w:val="002E26B7"/>
    <w:rsid w:val="002E2FA0"/>
    <w:rsid w:val="002E3867"/>
    <w:rsid w:val="002E3FB6"/>
    <w:rsid w:val="002E5D80"/>
    <w:rsid w:val="002F3A1D"/>
    <w:rsid w:val="002F3CD2"/>
    <w:rsid w:val="002F62F5"/>
    <w:rsid w:val="002F651B"/>
    <w:rsid w:val="002F662E"/>
    <w:rsid w:val="002F6639"/>
    <w:rsid w:val="002F73FC"/>
    <w:rsid w:val="002F74FA"/>
    <w:rsid w:val="002F7758"/>
    <w:rsid w:val="002F7DA1"/>
    <w:rsid w:val="0030068F"/>
    <w:rsid w:val="00300785"/>
    <w:rsid w:val="00300DBE"/>
    <w:rsid w:val="003016B1"/>
    <w:rsid w:val="0030242C"/>
    <w:rsid w:val="00304F8D"/>
    <w:rsid w:val="003050BB"/>
    <w:rsid w:val="0030594C"/>
    <w:rsid w:val="00306E89"/>
    <w:rsid w:val="00307C48"/>
    <w:rsid w:val="00310A74"/>
    <w:rsid w:val="003117E9"/>
    <w:rsid w:val="00312145"/>
    <w:rsid w:val="003133DB"/>
    <w:rsid w:val="0031370C"/>
    <w:rsid w:val="0031642B"/>
    <w:rsid w:val="00316FD7"/>
    <w:rsid w:val="00317BBF"/>
    <w:rsid w:val="00320EC1"/>
    <w:rsid w:val="00321577"/>
    <w:rsid w:val="003215EB"/>
    <w:rsid w:val="00321681"/>
    <w:rsid w:val="003217F6"/>
    <w:rsid w:val="003232C8"/>
    <w:rsid w:val="00323714"/>
    <w:rsid w:val="00324F93"/>
    <w:rsid w:val="003250DB"/>
    <w:rsid w:val="00325363"/>
    <w:rsid w:val="00325619"/>
    <w:rsid w:val="00326CFC"/>
    <w:rsid w:val="00327716"/>
    <w:rsid w:val="003307A6"/>
    <w:rsid w:val="00330A64"/>
    <w:rsid w:val="00330C15"/>
    <w:rsid w:val="003316A6"/>
    <w:rsid w:val="00331BF7"/>
    <w:rsid w:val="0033314B"/>
    <w:rsid w:val="0033437F"/>
    <w:rsid w:val="0033498C"/>
    <w:rsid w:val="003350A4"/>
    <w:rsid w:val="00335648"/>
    <w:rsid w:val="0033723F"/>
    <w:rsid w:val="003438E6"/>
    <w:rsid w:val="00347284"/>
    <w:rsid w:val="00347B7A"/>
    <w:rsid w:val="00350121"/>
    <w:rsid w:val="00350161"/>
    <w:rsid w:val="00350293"/>
    <w:rsid w:val="00351539"/>
    <w:rsid w:val="00352AC5"/>
    <w:rsid w:val="00352F5D"/>
    <w:rsid w:val="00353082"/>
    <w:rsid w:val="00353A8C"/>
    <w:rsid w:val="00353BB1"/>
    <w:rsid w:val="00353BFA"/>
    <w:rsid w:val="003544A2"/>
    <w:rsid w:val="00355667"/>
    <w:rsid w:val="003559E6"/>
    <w:rsid w:val="003561BC"/>
    <w:rsid w:val="003603C2"/>
    <w:rsid w:val="00360847"/>
    <w:rsid w:val="003618C0"/>
    <w:rsid w:val="00362132"/>
    <w:rsid w:val="00362806"/>
    <w:rsid w:val="00362BD1"/>
    <w:rsid w:val="00363208"/>
    <w:rsid w:val="00363AF8"/>
    <w:rsid w:val="00364B3A"/>
    <w:rsid w:val="00364F83"/>
    <w:rsid w:val="00367468"/>
    <w:rsid w:val="00367870"/>
    <w:rsid w:val="003712DD"/>
    <w:rsid w:val="00371639"/>
    <w:rsid w:val="00373876"/>
    <w:rsid w:val="00373A98"/>
    <w:rsid w:val="00373CB5"/>
    <w:rsid w:val="0037434E"/>
    <w:rsid w:val="003746F5"/>
    <w:rsid w:val="00380B84"/>
    <w:rsid w:val="003821F3"/>
    <w:rsid w:val="003849EB"/>
    <w:rsid w:val="00385093"/>
    <w:rsid w:val="00387037"/>
    <w:rsid w:val="00387285"/>
    <w:rsid w:val="00387C8D"/>
    <w:rsid w:val="00390DC4"/>
    <w:rsid w:val="003911DF"/>
    <w:rsid w:val="003913B4"/>
    <w:rsid w:val="00391904"/>
    <w:rsid w:val="00391F71"/>
    <w:rsid w:val="00392FEF"/>
    <w:rsid w:val="00393F98"/>
    <w:rsid w:val="00395925"/>
    <w:rsid w:val="00395BBD"/>
    <w:rsid w:val="00396780"/>
    <w:rsid w:val="00396D6C"/>
    <w:rsid w:val="003978B1"/>
    <w:rsid w:val="00397CA9"/>
    <w:rsid w:val="00397FD9"/>
    <w:rsid w:val="003A024E"/>
    <w:rsid w:val="003A22A1"/>
    <w:rsid w:val="003A32A8"/>
    <w:rsid w:val="003A45B3"/>
    <w:rsid w:val="003A4E6C"/>
    <w:rsid w:val="003A5843"/>
    <w:rsid w:val="003A5D04"/>
    <w:rsid w:val="003A78F9"/>
    <w:rsid w:val="003A7E59"/>
    <w:rsid w:val="003B01EA"/>
    <w:rsid w:val="003B1227"/>
    <w:rsid w:val="003B507D"/>
    <w:rsid w:val="003B73F3"/>
    <w:rsid w:val="003C0009"/>
    <w:rsid w:val="003C227E"/>
    <w:rsid w:val="003C2C0E"/>
    <w:rsid w:val="003C30CF"/>
    <w:rsid w:val="003C3456"/>
    <w:rsid w:val="003C5EF1"/>
    <w:rsid w:val="003D0487"/>
    <w:rsid w:val="003D0FA4"/>
    <w:rsid w:val="003D1338"/>
    <w:rsid w:val="003D1BB3"/>
    <w:rsid w:val="003D3108"/>
    <w:rsid w:val="003D3FDA"/>
    <w:rsid w:val="003D59E1"/>
    <w:rsid w:val="003D5A30"/>
    <w:rsid w:val="003D6E9C"/>
    <w:rsid w:val="003E02D7"/>
    <w:rsid w:val="003E0731"/>
    <w:rsid w:val="003E0956"/>
    <w:rsid w:val="003E0C77"/>
    <w:rsid w:val="003E1D20"/>
    <w:rsid w:val="003E252D"/>
    <w:rsid w:val="003E36F7"/>
    <w:rsid w:val="003E37FA"/>
    <w:rsid w:val="003E4BF5"/>
    <w:rsid w:val="003E5774"/>
    <w:rsid w:val="003E5E21"/>
    <w:rsid w:val="003E5EAD"/>
    <w:rsid w:val="003E5F66"/>
    <w:rsid w:val="003E711B"/>
    <w:rsid w:val="003F1444"/>
    <w:rsid w:val="003F14F8"/>
    <w:rsid w:val="003F1FEA"/>
    <w:rsid w:val="003F6D54"/>
    <w:rsid w:val="003F786E"/>
    <w:rsid w:val="003F7CE9"/>
    <w:rsid w:val="004004C4"/>
    <w:rsid w:val="0040067A"/>
    <w:rsid w:val="00403C10"/>
    <w:rsid w:val="004059E5"/>
    <w:rsid w:val="00406225"/>
    <w:rsid w:val="00406ECA"/>
    <w:rsid w:val="00407295"/>
    <w:rsid w:val="004079C9"/>
    <w:rsid w:val="0041235F"/>
    <w:rsid w:val="0041275D"/>
    <w:rsid w:val="00412D53"/>
    <w:rsid w:val="004139A6"/>
    <w:rsid w:val="00415E52"/>
    <w:rsid w:val="00415F9C"/>
    <w:rsid w:val="00420B8D"/>
    <w:rsid w:val="00420F29"/>
    <w:rsid w:val="00425095"/>
    <w:rsid w:val="0042582F"/>
    <w:rsid w:val="00425947"/>
    <w:rsid w:val="00430071"/>
    <w:rsid w:val="00431ECB"/>
    <w:rsid w:val="00432D8B"/>
    <w:rsid w:val="004336CB"/>
    <w:rsid w:val="00433902"/>
    <w:rsid w:val="00434507"/>
    <w:rsid w:val="00435B37"/>
    <w:rsid w:val="00435EF0"/>
    <w:rsid w:val="004376D5"/>
    <w:rsid w:val="00437A96"/>
    <w:rsid w:val="00440C80"/>
    <w:rsid w:val="00442035"/>
    <w:rsid w:val="00442D20"/>
    <w:rsid w:val="00443488"/>
    <w:rsid w:val="00446583"/>
    <w:rsid w:val="00447EF8"/>
    <w:rsid w:val="00451007"/>
    <w:rsid w:val="00451B13"/>
    <w:rsid w:val="00452206"/>
    <w:rsid w:val="00452DB9"/>
    <w:rsid w:val="00452E8A"/>
    <w:rsid w:val="00452F25"/>
    <w:rsid w:val="0045391E"/>
    <w:rsid w:val="00455749"/>
    <w:rsid w:val="004560B5"/>
    <w:rsid w:val="004569DF"/>
    <w:rsid w:val="00456B8B"/>
    <w:rsid w:val="00456F55"/>
    <w:rsid w:val="004570A8"/>
    <w:rsid w:val="004573C0"/>
    <w:rsid w:val="00457CAE"/>
    <w:rsid w:val="00460BD7"/>
    <w:rsid w:val="00462ADE"/>
    <w:rsid w:val="00462BB6"/>
    <w:rsid w:val="00463098"/>
    <w:rsid w:val="00463151"/>
    <w:rsid w:val="00463163"/>
    <w:rsid w:val="00464B26"/>
    <w:rsid w:val="00465194"/>
    <w:rsid w:val="004655FE"/>
    <w:rsid w:val="0047024A"/>
    <w:rsid w:val="004702B1"/>
    <w:rsid w:val="0047148C"/>
    <w:rsid w:val="00471844"/>
    <w:rsid w:val="004719B6"/>
    <w:rsid w:val="004722EE"/>
    <w:rsid w:val="00472FAD"/>
    <w:rsid w:val="00473A9D"/>
    <w:rsid w:val="004740D8"/>
    <w:rsid w:val="00474EA7"/>
    <w:rsid w:val="0047655C"/>
    <w:rsid w:val="00476C20"/>
    <w:rsid w:val="0048047B"/>
    <w:rsid w:val="00481457"/>
    <w:rsid w:val="00481C66"/>
    <w:rsid w:val="00481F69"/>
    <w:rsid w:val="004823C2"/>
    <w:rsid w:val="00482A8A"/>
    <w:rsid w:val="00483204"/>
    <w:rsid w:val="004832D6"/>
    <w:rsid w:val="004844A9"/>
    <w:rsid w:val="00484984"/>
    <w:rsid w:val="0048580C"/>
    <w:rsid w:val="004861F5"/>
    <w:rsid w:val="00486F66"/>
    <w:rsid w:val="00487239"/>
    <w:rsid w:val="0048779A"/>
    <w:rsid w:val="00491352"/>
    <w:rsid w:val="00491C6D"/>
    <w:rsid w:val="00492D6B"/>
    <w:rsid w:val="00492F38"/>
    <w:rsid w:val="00493173"/>
    <w:rsid w:val="0049635D"/>
    <w:rsid w:val="004A12BF"/>
    <w:rsid w:val="004A1D19"/>
    <w:rsid w:val="004A2A1E"/>
    <w:rsid w:val="004A2C0F"/>
    <w:rsid w:val="004A2EB2"/>
    <w:rsid w:val="004A405B"/>
    <w:rsid w:val="004A409F"/>
    <w:rsid w:val="004A4466"/>
    <w:rsid w:val="004A45D4"/>
    <w:rsid w:val="004A6C1F"/>
    <w:rsid w:val="004A6C65"/>
    <w:rsid w:val="004B08D2"/>
    <w:rsid w:val="004B180E"/>
    <w:rsid w:val="004B18DD"/>
    <w:rsid w:val="004B43F6"/>
    <w:rsid w:val="004B4938"/>
    <w:rsid w:val="004B565F"/>
    <w:rsid w:val="004C00F1"/>
    <w:rsid w:val="004C110E"/>
    <w:rsid w:val="004C2468"/>
    <w:rsid w:val="004C2787"/>
    <w:rsid w:val="004C29F5"/>
    <w:rsid w:val="004C3094"/>
    <w:rsid w:val="004C4037"/>
    <w:rsid w:val="004C417F"/>
    <w:rsid w:val="004D0E76"/>
    <w:rsid w:val="004D1FD7"/>
    <w:rsid w:val="004D546F"/>
    <w:rsid w:val="004E15F2"/>
    <w:rsid w:val="004E31E2"/>
    <w:rsid w:val="004E3476"/>
    <w:rsid w:val="004E55BE"/>
    <w:rsid w:val="004E55CC"/>
    <w:rsid w:val="004E56A4"/>
    <w:rsid w:val="004E745B"/>
    <w:rsid w:val="004F0158"/>
    <w:rsid w:val="004F07C6"/>
    <w:rsid w:val="004F0EF8"/>
    <w:rsid w:val="004F115B"/>
    <w:rsid w:val="004F154E"/>
    <w:rsid w:val="004F3354"/>
    <w:rsid w:val="004F4016"/>
    <w:rsid w:val="004F4AAB"/>
    <w:rsid w:val="004F57D5"/>
    <w:rsid w:val="004F7EC2"/>
    <w:rsid w:val="00501409"/>
    <w:rsid w:val="005015FC"/>
    <w:rsid w:val="00501BB0"/>
    <w:rsid w:val="005027A4"/>
    <w:rsid w:val="00502A8A"/>
    <w:rsid w:val="005031D7"/>
    <w:rsid w:val="005035D0"/>
    <w:rsid w:val="00503E29"/>
    <w:rsid w:val="00504D26"/>
    <w:rsid w:val="00505447"/>
    <w:rsid w:val="005067EF"/>
    <w:rsid w:val="00507030"/>
    <w:rsid w:val="00510FD5"/>
    <w:rsid w:val="00511624"/>
    <w:rsid w:val="005117CB"/>
    <w:rsid w:val="00511ACE"/>
    <w:rsid w:val="00512B26"/>
    <w:rsid w:val="00512DB1"/>
    <w:rsid w:val="005155B3"/>
    <w:rsid w:val="00516D6C"/>
    <w:rsid w:val="00517F45"/>
    <w:rsid w:val="005206B5"/>
    <w:rsid w:val="00522A86"/>
    <w:rsid w:val="0052393C"/>
    <w:rsid w:val="00527141"/>
    <w:rsid w:val="005300FA"/>
    <w:rsid w:val="00530E73"/>
    <w:rsid w:val="00532097"/>
    <w:rsid w:val="0053222A"/>
    <w:rsid w:val="00532DD9"/>
    <w:rsid w:val="00533A6D"/>
    <w:rsid w:val="0053465A"/>
    <w:rsid w:val="00534B13"/>
    <w:rsid w:val="00534DB4"/>
    <w:rsid w:val="00536E61"/>
    <w:rsid w:val="00537573"/>
    <w:rsid w:val="005379F2"/>
    <w:rsid w:val="00537A20"/>
    <w:rsid w:val="0054060F"/>
    <w:rsid w:val="00540905"/>
    <w:rsid w:val="00541D4B"/>
    <w:rsid w:val="005424FB"/>
    <w:rsid w:val="00542780"/>
    <w:rsid w:val="005440F8"/>
    <w:rsid w:val="00544A06"/>
    <w:rsid w:val="0054518C"/>
    <w:rsid w:val="00545634"/>
    <w:rsid w:val="005469FF"/>
    <w:rsid w:val="00546BF6"/>
    <w:rsid w:val="00546C88"/>
    <w:rsid w:val="00547532"/>
    <w:rsid w:val="00550D8B"/>
    <w:rsid w:val="005511F6"/>
    <w:rsid w:val="005516A5"/>
    <w:rsid w:val="00552854"/>
    <w:rsid w:val="00553F19"/>
    <w:rsid w:val="00554318"/>
    <w:rsid w:val="00554573"/>
    <w:rsid w:val="00554D71"/>
    <w:rsid w:val="00555F8C"/>
    <w:rsid w:val="0055662B"/>
    <w:rsid w:val="0055684E"/>
    <w:rsid w:val="00556DF1"/>
    <w:rsid w:val="005572C4"/>
    <w:rsid w:val="00561B1B"/>
    <w:rsid w:val="00566852"/>
    <w:rsid w:val="00566BA5"/>
    <w:rsid w:val="005670CF"/>
    <w:rsid w:val="0056722F"/>
    <w:rsid w:val="00567471"/>
    <w:rsid w:val="00571E83"/>
    <w:rsid w:val="00572144"/>
    <w:rsid w:val="0057292C"/>
    <w:rsid w:val="00573A81"/>
    <w:rsid w:val="005746F5"/>
    <w:rsid w:val="00574A48"/>
    <w:rsid w:val="005771F5"/>
    <w:rsid w:val="0057739A"/>
    <w:rsid w:val="00581EF1"/>
    <w:rsid w:val="00582E87"/>
    <w:rsid w:val="00583544"/>
    <w:rsid w:val="00583E7C"/>
    <w:rsid w:val="0058446A"/>
    <w:rsid w:val="005871E1"/>
    <w:rsid w:val="005878D8"/>
    <w:rsid w:val="0059046F"/>
    <w:rsid w:val="00593257"/>
    <w:rsid w:val="00593697"/>
    <w:rsid w:val="005964FC"/>
    <w:rsid w:val="00596A0D"/>
    <w:rsid w:val="00596BA4"/>
    <w:rsid w:val="00596D2D"/>
    <w:rsid w:val="00596F01"/>
    <w:rsid w:val="005970E6"/>
    <w:rsid w:val="005A0294"/>
    <w:rsid w:val="005A1069"/>
    <w:rsid w:val="005A18A3"/>
    <w:rsid w:val="005A22DF"/>
    <w:rsid w:val="005A2406"/>
    <w:rsid w:val="005A267F"/>
    <w:rsid w:val="005A2701"/>
    <w:rsid w:val="005A27EC"/>
    <w:rsid w:val="005A2BF0"/>
    <w:rsid w:val="005A3857"/>
    <w:rsid w:val="005A56B9"/>
    <w:rsid w:val="005A6305"/>
    <w:rsid w:val="005A6C16"/>
    <w:rsid w:val="005A7235"/>
    <w:rsid w:val="005B16E1"/>
    <w:rsid w:val="005B1D3A"/>
    <w:rsid w:val="005B4AE1"/>
    <w:rsid w:val="005B5D12"/>
    <w:rsid w:val="005B660E"/>
    <w:rsid w:val="005B7D10"/>
    <w:rsid w:val="005C1B56"/>
    <w:rsid w:val="005C23ED"/>
    <w:rsid w:val="005C25EA"/>
    <w:rsid w:val="005C5C30"/>
    <w:rsid w:val="005D12C9"/>
    <w:rsid w:val="005D30B2"/>
    <w:rsid w:val="005D41F7"/>
    <w:rsid w:val="005D469F"/>
    <w:rsid w:val="005D471F"/>
    <w:rsid w:val="005D488B"/>
    <w:rsid w:val="005D5515"/>
    <w:rsid w:val="005D5847"/>
    <w:rsid w:val="005D68C6"/>
    <w:rsid w:val="005D6F8D"/>
    <w:rsid w:val="005D6FC6"/>
    <w:rsid w:val="005E12AC"/>
    <w:rsid w:val="005E1521"/>
    <w:rsid w:val="005E2707"/>
    <w:rsid w:val="005E3098"/>
    <w:rsid w:val="005E371F"/>
    <w:rsid w:val="005E5711"/>
    <w:rsid w:val="005E599A"/>
    <w:rsid w:val="005E625A"/>
    <w:rsid w:val="005F0FE2"/>
    <w:rsid w:val="005F1D9D"/>
    <w:rsid w:val="005F36B6"/>
    <w:rsid w:val="005F395A"/>
    <w:rsid w:val="005F3BCD"/>
    <w:rsid w:val="005F3C8A"/>
    <w:rsid w:val="005F4DDC"/>
    <w:rsid w:val="005F557A"/>
    <w:rsid w:val="005F5D92"/>
    <w:rsid w:val="005F6249"/>
    <w:rsid w:val="005F7D70"/>
    <w:rsid w:val="00600371"/>
    <w:rsid w:val="0060041B"/>
    <w:rsid w:val="00601D06"/>
    <w:rsid w:val="00601DF9"/>
    <w:rsid w:val="0060359B"/>
    <w:rsid w:val="006049A6"/>
    <w:rsid w:val="006070C3"/>
    <w:rsid w:val="00607359"/>
    <w:rsid w:val="006132FE"/>
    <w:rsid w:val="00615517"/>
    <w:rsid w:val="00615787"/>
    <w:rsid w:val="00615F9F"/>
    <w:rsid w:val="00616052"/>
    <w:rsid w:val="006166F5"/>
    <w:rsid w:val="00620926"/>
    <w:rsid w:val="00620CFD"/>
    <w:rsid w:val="006215D0"/>
    <w:rsid w:val="00621602"/>
    <w:rsid w:val="0062384F"/>
    <w:rsid w:val="00624073"/>
    <w:rsid w:val="00624827"/>
    <w:rsid w:val="00624A78"/>
    <w:rsid w:val="006262CA"/>
    <w:rsid w:val="00631AF0"/>
    <w:rsid w:val="006321AF"/>
    <w:rsid w:val="00634635"/>
    <w:rsid w:val="006350F8"/>
    <w:rsid w:val="006354A5"/>
    <w:rsid w:val="006355BE"/>
    <w:rsid w:val="006361BD"/>
    <w:rsid w:val="00636F75"/>
    <w:rsid w:val="00641048"/>
    <w:rsid w:val="006412C3"/>
    <w:rsid w:val="00641D5D"/>
    <w:rsid w:val="00641E76"/>
    <w:rsid w:val="00643894"/>
    <w:rsid w:val="006446CF"/>
    <w:rsid w:val="006447B4"/>
    <w:rsid w:val="00646447"/>
    <w:rsid w:val="00647C86"/>
    <w:rsid w:val="006504ED"/>
    <w:rsid w:val="00650729"/>
    <w:rsid w:val="0065104F"/>
    <w:rsid w:val="006521E4"/>
    <w:rsid w:val="00652292"/>
    <w:rsid w:val="006535A1"/>
    <w:rsid w:val="00653B9F"/>
    <w:rsid w:val="00654B4C"/>
    <w:rsid w:val="00654BCC"/>
    <w:rsid w:val="00656461"/>
    <w:rsid w:val="00656869"/>
    <w:rsid w:val="00660161"/>
    <w:rsid w:val="006613E1"/>
    <w:rsid w:val="00662F83"/>
    <w:rsid w:val="00663A9E"/>
    <w:rsid w:val="00666465"/>
    <w:rsid w:val="00667246"/>
    <w:rsid w:val="00670119"/>
    <w:rsid w:val="00670200"/>
    <w:rsid w:val="0067134E"/>
    <w:rsid w:val="00671B33"/>
    <w:rsid w:val="00675D6A"/>
    <w:rsid w:val="00681548"/>
    <w:rsid w:val="00681F8A"/>
    <w:rsid w:val="00682F17"/>
    <w:rsid w:val="00683321"/>
    <w:rsid w:val="006833DC"/>
    <w:rsid w:val="006841CE"/>
    <w:rsid w:val="006854B8"/>
    <w:rsid w:val="0068572C"/>
    <w:rsid w:val="00686E96"/>
    <w:rsid w:val="006873DD"/>
    <w:rsid w:val="00687583"/>
    <w:rsid w:val="00687EF1"/>
    <w:rsid w:val="00690A9F"/>
    <w:rsid w:val="00690C66"/>
    <w:rsid w:val="0069118A"/>
    <w:rsid w:val="00691190"/>
    <w:rsid w:val="006911AA"/>
    <w:rsid w:val="0069151F"/>
    <w:rsid w:val="006927B5"/>
    <w:rsid w:val="006928D8"/>
    <w:rsid w:val="00693BEF"/>
    <w:rsid w:val="0069408F"/>
    <w:rsid w:val="006941DD"/>
    <w:rsid w:val="006942A9"/>
    <w:rsid w:val="006967A7"/>
    <w:rsid w:val="00696E7C"/>
    <w:rsid w:val="00697B9B"/>
    <w:rsid w:val="006A0F60"/>
    <w:rsid w:val="006A1AE7"/>
    <w:rsid w:val="006A1F1E"/>
    <w:rsid w:val="006A2022"/>
    <w:rsid w:val="006A2CA8"/>
    <w:rsid w:val="006A2D84"/>
    <w:rsid w:val="006A2D90"/>
    <w:rsid w:val="006A333F"/>
    <w:rsid w:val="006A366B"/>
    <w:rsid w:val="006A368F"/>
    <w:rsid w:val="006A3AEA"/>
    <w:rsid w:val="006A4A09"/>
    <w:rsid w:val="006A5945"/>
    <w:rsid w:val="006A62DB"/>
    <w:rsid w:val="006A7331"/>
    <w:rsid w:val="006A79F4"/>
    <w:rsid w:val="006B1F70"/>
    <w:rsid w:val="006B3085"/>
    <w:rsid w:val="006B34EE"/>
    <w:rsid w:val="006B3653"/>
    <w:rsid w:val="006B3840"/>
    <w:rsid w:val="006B528A"/>
    <w:rsid w:val="006B5415"/>
    <w:rsid w:val="006C0088"/>
    <w:rsid w:val="006C010C"/>
    <w:rsid w:val="006C030D"/>
    <w:rsid w:val="006C1B38"/>
    <w:rsid w:val="006C2A60"/>
    <w:rsid w:val="006C45F5"/>
    <w:rsid w:val="006C606A"/>
    <w:rsid w:val="006C6ACE"/>
    <w:rsid w:val="006C6D0A"/>
    <w:rsid w:val="006C6F58"/>
    <w:rsid w:val="006C7779"/>
    <w:rsid w:val="006D3F8C"/>
    <w:rsid w:val="006D5494"/>
    <w:rsid w:val="006D54B7"/>
    <w:rsid w:val="006D618B"/>
    <w:rsid w:val="006D636B"/>
    <w:rsid w:val="006D6D97"/>
    <w:rsid w:val="006D77B6"/>
    <w:rsid w:val="006E09AA"/>
    <w:rsid w:val="006E1EC5"/>
    <w:rsid w:val="006E257C"/>
    <w:rsid w:val="006E321C"/>
    <w:rsid w:val="006E418E"/>
    <w:rsid w:val="006E546C"/>
    <w:rsid w:val="006E5DF5"/>
    <w:rsid w:val="006E7187"/>
    <w:rsid w:val="006F0F87"/>
    <w:rsid w:val="006F1B92"/>
    <w:rsid w:val="006F220C"/>
    <w:rsid w:val="006F272C"/>
    <w:rsid w:val="006F2F64"/>
    <w:rsid w:val="006F33D6"/>
    <w:rsid w:val="006F5EF6"/>
    <w:rsid w:val="006F6985"/>
    <w:rsid w:val="006F7B4D"/>
    <w:rsid w:val="006F7E86"/>
    <w:rsid w:val="0070018A"/>
    <w:rsid w:val="00700198"/>
    <w:rsid w:val="00700511"/>
    <w:rsid w:val="00702002"/>
    <w:rsid w:val="00706A84"/>
    <w:rsid w:val="007076B1"/>
    <w:rsid w:val="0071005B"/>
    <w:rsid w:val="00710508"/>
    <w:rsid w:val="00710BC3"/>
    <w:rsid w:val="007114B1"/>
    <w:rsid w:val="00711A1A"/>
    <w:rsid w:val="00711C3A"/>
    <w:rsid w:val="0071363C"/>
    <w:rsid w:val="007137E7"/>
    <w:rsid w:val="00713871"/>
    <w:rsid w:val="00713EFF"/>
    <w:rsid w:val="007160E4"/>
    <w:rsid w:val="007165FA"/>
    <w:rsid w:val="00716688"/>
    <w:rsid w:val="00716D2C"/>
    <w:rsid w:val="00720262"/>
    <w:rsid w:val="007203CF"/>
    <w:rsid w:val="00720573"/>
    <w:rsid w:val="007209D9"/>
    <w:rsid w:val="00721223"/>
    <w:rsid w:val="00721703"/>
    <w:rsid w:val="00722961"/>
    <w:rsid w:val="00722AA4"/>
    <w:rsid w:val="00724B78"/>
    <w:rsid w:val="00725963"/>
    <w:rsid w:val="0072664D"/>
    <w:rsid w:val="00726967"/>
    <w:rsid w:val="00726D8D"/>
    <w:rsid w:val="007301F9"/>
    <w:rsid w:val="007304F6"/>
    <w:rsid w:val="00732E81"/>
    <w:rsid w:val="00734371"/>
    <w:rsid w:val="007357D6"/>
    <w:rsid w:val="007372BC"/>
    <w:rsid w:val="00740801"/>
    <w:rsid w:val="007408E3"/>
    <w:rsid w:val="00741698"/>
    <w:rsid w:val="00741C84"/>
    <w:rsid w:val="007420D9"/>
    <w:rsid w:val="007429D4"/>
    <w:rsid w:val="00743DBB"/>
    <w:rsid w:val="007460F1"/>
    <w:rsid w:val="00750C57"/>
    <w:rsid w:val="00751992"/>
    <w:rsid w:val="00752699"/>
    <w:rsid w:val="0075341E"/>
    <w:rsid w:val="00753812"/>
    <w:rsid w:val="007557BE"/>
    <w:rsid w:val="00755E91"/>
    <w:rsid w:val="007567FE"/>
    <w:rsid w:val="00757B91"/>
    <w:rsid w:val="00760452"/>
    <w:rsid w:val="00760FE4"/>
    <w:rsid w:val="007611C4"/>
    <w:rsid w:val="00761A8D"/>
    <w:rsid w:val="00761FC4"/>
    <w:rsid w:val="00763072"/>
    <w:rsid w:val="00763556"/>
    <w:rsid w:val="00764F26"/>
    <w:rsid w:val="007656DC"/>
    <w:rsid w:val="00765D7D"/>
    <w:rsid w:val="00766D91"/>
    <w:rsid w:val="00767678"/>
    <w:rsid w:val="00767733"/>
    <w:rsid w:val="00774C85"/>
    <w:rsid w:val="007755CC"/>
    <w:rsid w:val="00776A8F"/>
    <w:rsid w:val="00777333"/>
    <w:rsid w:val="007779F0"/>
    <w:rsid w:val="00780067"/>
    <w:rsid w:val="0078160A"/>
    <w:rsid w:val="007828B4"/>
    <w:rsid w:val="007839BD"/>
    <w:rsid w:val="00786B75"/>
    <w:rsid w:val="00786FEF"/>
    <w:rsid w:val="007920DE"/>
    <w:rsid w:val="007944C3"/>
    <w:rsid w:val="00795379"/>
    <w:rsid w:val="00795D43"/>
    <w:rsid w:val="007970DF"/>
    <w:rsid w:val="00797F47"/>
    <w:rsid w:val="007A0150"/>
    <w:rsid w:val="007A02D3"/>
    <w:rsid w:val="007A0A53"/>
    <w:rsid w:val="007A1313"/>
    <w:rsid w:val="007A15A1"/>
    <w:rsid w:val="007A1D10"/>
    <w:rsid w:val="007A242F"/>
    <w:rsid w:val="007A595C"/>
    <w:rsid w:val="007A74D9"/>
    <w:rsid w:val="007B0D99"/>
    <w:rsid w:val="007B1366"/>
    <w:rsid w:val="007B1485"/>
    <w:rsid w:val="007B178B"/>
    <w:rsid w:val="007B2BDF"/>
    <w:rsid w:val="007B3AA0"/>
    <w:rsid w:val="007B54D7"/>
    <w:rsid w:val="007B55B6"/>
    <w:rsid w:val="007C08CA"/>
    <w:rsid w:val="007C0F0E"/>
    <w:rsid w:val="007C2671"/>
    <w:rsid w:val="007C3615"/>
    <w:rsid w:val="007C3EC7"/>
    <w:rsid w:val="007C4C6A"/>
    <w:rsid w:val="007C5DC4"/>
    <w:rsid w:val="007C6C17"/>
    <w:rsid w:val="007C749F"/>
    <w:rsid w:val="007C769A"/>
    <w:rsid w:val="007D0410"/>
    <w:rsid w:val="007D13E8"/>
    <w:rsid w:val="007D2192"/>
    <w:rsid w:val="007D44F1"/>
    <w:rsid w:val="007D4B31"/>
    <w:rsid w:val="007D612A"/>
    <w:rsid w:val="007D616C"/>
    <w:rsid w:val="007E169C"/>
    <w:rsid w:val="007E1980"/>
    <w:rsid w:val="007E245F"/>
    <w:rsid w:val="007E2D47"/>
    <w:rsid w:val="007E396C"/>
    <w:rsid w:val="007E6FA8"/>
    <w:rsid w:val="007E794C"/>
    <w:rsid w:val="007E7A7C"/>
    <w:rsid w:val="007F16B4"/>
    <w:rsid w:val="007F16EF"/>
    <w:rsid w:val="007F1A39"/>
    <w:rsid w:val="007F220E"/>
    <w:rsid w:val="007F4218"/>
    <w:rsid w:val="007F6283"/>
    <w:rsid w:val="007F6362"/>
    <w:rsid w:val="007F6EBB"/>
    <w:rsid w:val="0080019C"/>
    <w:rsid w:val="0080334C"/>
    <w:rsid w:val="0080346D"/>
    <w:rsid w:val="00803660"/>
    <w:rsid w:val="00805AA5"/>
    <w:rsid w:val="0080609D"/>
    <w:rsid w:val="00807089"/>
    <w:rsid w:val="00807D16"/>
    <w:rsid w:val="008103AB"/>
    <w:rsid w:val="00810DB6"/>
    <w:rsid w:val="008123DA"/>
    <w:rsid w:val="00812B08"/>
    <w:rsid w:val="00814112"/>
    <w:rsid w:val="008143ED"/>
    <w:rsid w:val="008175CD"/>
    <w:rsid w:val="00817CFD"/>
    <w:rsid w:val="00820C75"/>
    <w:rsid w:val="00820CC8"/>
    <w:rsid w:val="00822A5C"/>
    <w:rsid w:val="00822B10"/>
    <w:rsid w:val="00822BEE"/>
    <w:rsid w:val="00824545"/>
    <w:rsid w:val="008261D9"/>
    <w:rsid w:val="00826341"/>
    <w:rsid w:val="00826D56"/>
    <w:rsid w:val="00827F1E"/>
    <w:rsid w:val="00831BF0"/>
    <w:rsid w:val="008337CD"/>
    <w:rsid w:val="00833E71"/>
    <w:rsid w:val="008345C5"/>
    <w:rsid w:val="0083616D"/>
    <w:rsid w:val="00836398"/>
    <w:rsid w:val="00836BC7"/>
    <w:rsid w:val="00840489"/>
    <w:rsid w:val="00843E40"/>
    <w:rsid w:val="008448FA"/>
    <w:rsid w:val="00844BB3"/>
    <w:rsid w:val="00845CA7"/>
    <w:rsid w:val="0084605E"/>
    <w:rsid w:val="00846CED"/>
    <w:rsid w:val="008505AE"/>
    <w:rsid w:val="0085114D"/>
    <w:rsid w:val="00852081"/>
    <w:rsid w:val="00852A3A"/>
    <w:rsid w:val="00852F95"/>
    <w:rsid w:val="00853C58"/>
    <w:rsid w:val="0085652F"/>
    <w:rsid w:val="00856857"/>
    <w:rsid w:val="00856C97"/>
    <w:rsid w:val="00856EAB"/>
    <w:rsid w:val="00860809"/>
    <w:rsid w:val="0086176B"/>
    <w:rsid w:val="00862661"/>
    <w:rsid w:val="00862A09"/>
    <w:rsid w:val="00862E3A"/>
    <w:rsid w:val="00863A30"/>
    <w:rsid w:val="00863AB0"/>
    <w:rsid w:val="00863C02"/>
    <w:rsid w:val="00863FA2"/>
    <w:rsid w:val="00864191"/>
    <w:rsid w:val="008668B8"/>
    <w:rsid w:val="0086695C"/>
    <w:rsid w:val="00866EC3"/>
    <w:rsid w:val="0087036E"/>
    <w:rsid w:val="00871D3F"/>
    <w:rsid w:val="00871E14"/>
    <w:rsid w:val="0087320E"/>
    <w:rsid w:val="008743C5"/>
    <w:rsid w:val="00874F26"/>
    <w:rsid w:val="00875758"/>
    <w:rsid w:val="00875AAD"/>
    <w:rsid w:val="00877C8A"/>
    <w:rsid w:val="008818D2"/>
    <w:rsid w:val="00882B0C"/>
    <w:rsid w:val="0088342E"/>
    <w:rsid w:val="0088361C"/>
    <w:rsid w:val="008841A7"/>
    <w:rsid w:val="00884BDE"/>
    <w:rsid w:val="00884BE9"/>
    <w:rsid w:val="00886665"/>
    <w:rsid w:val="00887D3A"/>
    <w:rsid w:val="00887DDE"/>
    <w:rsid w:val="00887E28"/>
    <w:rsid w:val="008904E6"/>
    <w:rsid w:val="008906DA"/>
    <w:rsid w:val="00892BD6"/>
    <w:rsid w:val="008937AF"/>
    <w:rsid w:val="00893B29"/>
    <w:rsid w:val="00894690"/>
    <w:rsid w:val="00895B96"/>
    <w:rsid w:val="00895EF6"/>
    <w:rsid w:val="008962D9"/>
    <w:rsid w:val="00897B8C"/>
    <w:rsid w:val="008A19C1"/>
    <w:rsid w:val="008A2489"/>
    <w:rsid w:val="008A45E3"/>
    <w:rsid w:val="008A4DA0"/>
    <w:rsid w:val="008A5862"/>
    <w:rsid w:val="008A588B"/>
    <w:rsid w:val="008A7C74"/>
    <w:rsid w:val="008B01B1"/>
    <w:rsid w:val="008B051A"/>
    <w:rsid w:val="008B0981"/>
    <w:rsid w:val="008B19BB"/>
    <w:rsid w:val="008B1AB4"/>
    <w:rsid w:val="008B35B2"/>
    <w:rsid w:val="008B4676"/>
    <w:rsid w:val="008B5145"/>
    <w:rsid w:val="008B5237"/>
    <w:rsid w:val="008B57E1"/>
    <w:rsid w:val="008B71E4"/>
    <w:rsid w:val="008C02B7"/>
    <w:rsid w:val="008C0A82"/>
    <w:rsid w:val="008C2961"/>
    <w:rsid w:val="008C30C5"/>
    <w:rsid w:val="008C31B3"/>
    <w:rsid w:val="008C3499"/>
    <w:rsid w:val="008C3A16"/>
    <w:rsid w:val="008C5067"/>
    <w:rsid w:val="008C5514"/>
    <w:rsid w:val="008C6030"/>
    <w:rsid w:val="008C62AF"/>
    <w:rsid w:val="008C6B44"/>
    <w:rsid w:val="008C7301"/>
    <w:rsid w:val="008C7463"/>
    <w:rsid w:val="008D1343"/>
    <w:rsid w:val="008D2FF1"/>
    <w:rsid w:val="008D3120"/>
    <w:rsid w:val="008D314B"/>
    <w:rsid w:val="008D3B81"/>
    <w:rsid w:val="008D474A"/>
    <w:rsid w:val="008D5717"/>
    <w:rsid w:val="008D6117"/>
    <w:rsid w:val="008D6933"/>
    <w:rsid w:val="008D6B0F"/>
    <w:rsid w:val="008D7B25"/>
    <w:rsid w:val="008E0BCA"/>
    <w:rsid w:val="008E121B"/>
    <w:rsid w:val="008E135F"/>
    <w:rsid w:val="008E2E87"/>
    <w:rsid w:val="008E32BC"/>
    <w:rsid w:val="008E38BD"/>
    <w:rsid w:val="008E3B97"/>
    <w:rsid w:val="008E3CC8"/>
    <w:rsid w:val="008E5A14"/>
    <w:rsid w:val="008E6DE1"/>
    <w:rsid w:val="008F1863"/>
    <w:rsid w:val="008F1C66"/>
    <w:rsid w:val="008F1E9E"/>
    <w:rsid w:val="008F1EE7"/>
    <w:rsid w:val="008F20FC"/>
    <w:rsid w:val="008F2480"/>
    <w:rsid w:val="008F2A73"/>
    <w:rsid w:val="008F3801"/>
    <w:rsid w:val="008F4419"/>
    <w:rsid w:val="008F64B9"/>
    <w:rsid w:val="0090089E"/>
    <w:rsid w:val="00901F06"/>
    <w:rsid w:val="00901F47"/>
    <w:rsid w:val="00904210"/>
    <w:rsid w:val="00904C78"/>
    <w:rsid w:val="00906022"/>
    <w:rsid w:val="00907F8E"/>
    <w:rsid w:val="00910E34"/>
    <w:rsid w:val="00912A79"/>
    <w:rsid w:val="0091376F"/>
    <w:rsid w:val="009152FA"/>
    <w:rsid w:val="00915E26"/>
    <w:rsid w:val="00916306"/>
    <w:rsid w:val="009164DF"/>
    <w:rsid w:val="00920D33"/>
    <w:rsid w:val="0092186B"/>
    <w:rsid w:val="00921E2B"/>
    <w:rsid w:val="009223D1"/>
    <w:rsid w:val="00922D69"/>
    <w:rsid w:val="00924437"/>
    <w:rsid w:val="00924536"/>
    <w:rsid w:val="009245B5"/>
    <w:rsid w:val="00924DAE"/>
    <w:rsid w:val="00925732"/>
    <w:rsid w:val="00925EB2"/>
    <w:rsid w:val="0092739A"/>
    <w:rsid w:val="009313C8"/>
    <w:rsid w:val="00931481"/>
    <w:rsid w:val="00931FFA"/>
    <w:rsid w:val="0093297C"/>
    <w:rsid w:val="009331AB"/>
    <w:rsid w:val="00933569"/>
    <w:rsid w:val="009349AC"/>
    <w:rsid w:val="009354D3"/>
    <w:rsid w:val="0094095D"/>
    <w:rsid w:val="009414F5"/>
    <w:rsid w:val="00942FFD"/>
    <w:rsid w:val="009430C1"/>
    <w:rsid w:val="00943535"/>
    <w:rsid w:val="00943FA4"/>
    <w:rsid w:val="009448D9"/>
    <w:rsid w:val="009450DB"/>
    <w:rsid w:val="009454DF"/>
    <w:rsid w:val="00947145"/>
    <w:rsid w:val="0094739E"/>
    <w:rsid w:val="00947834"/>
    <w:rsid w:val="00950228"/>
    <w:rsid w:val="009542E0"/>
    <w:rsid w:val="009556A8"/>
    <w:rsid w:val="0095735F"/>
    <w:rsid w:val="0096032A"/>
    <w:rsid w:val="00960893"/>
    <w:rsid w:val="009613E1"/>
    <w:rsid w:val="00962433"/>
    <w:rsid w:val="00963756"/>
    <w:rsid w:val="009667AB"/>
    <w:rsid w:val="009705F4"/>
    <w:rsid w:val="009720A4"/>
    <w:rsid w:val="00972CE7"/>
    <w:rsid w:val="00973C1F"/>
    <w:rsid w:val="00974CB9"/>
    <w:rsid w:val="009757AE"/>
    <w:rsid w:val="009759ED"/>
    <w:rsid w:val="00976180"/>
    <w:rsid w:val="0097766F"/>
    <w:rsid w:val="009779D7"/>
    <w:rsid w:val="00980892"/>
    <w:rsid w:val="009870FD"/>
    <w:rsid w:val="0099079F"/>
    <w:rsid w:val="00990B02"/>
    <w:rsid w:val="00991BF3"/>
    <w:rsid w:val="00992B21"/>
    <w:rsid w:val="0099315C"/>
    <w:rsid w:val="00993396"/>
    <w:rsid w:val="00993BED"/>
    <w:rsid w:val="00994571"/>
    <w:rsid w:val="00994970"/>
    <w:rsid w:val="00995DC8"/>
    <w:rsid w:val="00996021"/>
    <w:rsid w:val="00996DD6"/>
    <w:rsid w:val="009A25B4"/>
    <w:rsid w:val="009A2819"/>
    <w:rsid w:val="009A3347"/>
    <w:rsid w:val="009A4910"/>
    <w:rsid w:val="009A4EFC"/>
    <w:rsid w:val="009A5875"/>
    <w:rsid w:val="009A5ADB"/>
    <w:rsid w:val="009A6393"/>
    <w:rsid w:val="009B13F1"/>
    <w:rsid w:val="009B1B16"/>
    <w:rsid w:val="009B2DB0"/>
    <w:rsid w:val="009B32CF"/>
    <w:rsid w:val="009B476A"/>
    <w:rsid w:val="009B4B92"/>
    <w:rsid w:val="009B65D4"/>
    <w:rsid w:val="009B68B8"/>
    <w:rsid w:val="009B7068"/>
    <w:rsid w:val="009B7FEA"/>
    <w:rsid w:val="009C14D2"/>
    <w:rsid w:val="009C498E"/>
    <w:rsid w:val="009C4FF6"/>
    <w:rsid w:val="009C55B3"/>
    <w:rsid w:val="009C5B44"/>
    <w:rsid w:val="009C69E4"/>
    <w:rsid w:val="009C6D0D"/>
    <w:rsid w:val="009C7AB3"/>
    <w:rsid w:val="009D00E0"/>
    <w:rsid w:val="009D0629"/>
    <w:rsid w:val="009D099B"/>
    <w:rsid w:val="009D0D20"/>
    <w:rsid w:val="009D1B7A"/>
    <w:rsid w:val="009D2C1D"/>
    <w:rsid w:val="009D3378"/>
    <w:rsid w:val="009D45F5"/>
    <w:rsid w:val="009D5C7D"/>
    <w:rsid w:val="009E1969"/>
    <w:rsid w:val="009E22DA"/>
    <w:rsid w:val="009E24CF"/>
    <w:rsid w:val="009E291B"/>
    <w:rsid w:val="009E434E"/>
    <w:rsid w:val="009E4529"/>
    <w:rsid w:val="009E58BE"/>
    <w:rsid w:val="009E70D7"/>
    <w:rsid w:val="009E7DFB"/>
    <w:rsid w:val="009F0334"/>
    <w:rsid w:val="009F3034"/>
    <w:rsid w:val="009F34F9"/>
    <w:rsid w:val="009F5145"/>
    <w:rsid w:val="009F5F8B"/>
    <w:rsid w:val="009F77AB"/>
    <w:rsid w:val="009F7A2B"/>
    <w:rsid w:val="00A0117A"/>
    <w:rsid w:val="00A013CC"/>
    <w:rsid w:val="00A01409"/>
    <w:rsid w:val="00A016B0"/>
    <w:rsid w:val="00A01DB8"/>
    <w:rsid w:val="00A03E74"/>
    <w:rsid w:val="00A04BD6"/>
    <w:rsid w:val="00A0526E"/>
    <w:rsid w:val="00A05C0E"/>
    <w:rsid w:val="00A05E94"/>
    <w:rsid w:val="00A10238"/>
    <w:rsid w:val="00A115C7"/>
    <w:rsid w:val="00A117C6"/>
    <w:rsid w:val="00A1222C"/>
    <w:rsid w:val="00A12322"/>
    <w:rsid w:val="00A13402"/>
    <w:rsid w:val="00A13B7A"/>
    <w:rsid w:val="00A13F45"/>
    <w:rsid w:val="00A146E0"/>
    <w:rsid w:val="00A16E34"/>
    <w:rsid w:val="00A1736F"/>
    <w:rsid w:val="00A200CE"/>
    <w:rsid w:val="00A20926"/>
    <w:rsid w:val="00A229DE"/>
    <w:rsid w:val="00A23613"/>
    <w:rsid w:val="00A26E20"/>
    <w:rsid w:val="00A27243"/>
    <w:rsid w:val="00A304E4"/>
    <w:rsid w:val="00A3088E"/>
    <w:rsid w:val="00A33C08"/>
    <w:rsid w:val="00A35932"/>
    <w:rsid w:val="00A359FE"/>
    <w:rsid w:val="00A35EC4"/>
    <w:rsid w:val="00A4000A"/>
    <w:rsid w:val="00A405C0"/>
    <w:rsid w:val="00A41B5D"/>
    <w:rsid w:val="00A41EEE"/>
    <w:rsid w:val="00A4249A"/>
    <w:rsid w:val="00A4294C"/>
    <w:rsid w:val="00A4334C"/>
    <w:rsid w:val="00A43C14"/>
    <w:rsid w:val="00A4458B"/>
    <w:rsid w:val="00A465A6"/>
    <w:rsid w:val="00A50071"/>
    <w:rsid w:val="00A51A22"/>
    <w:rsid w:val="00A533C1"/>
    <w:rsid w:val="00A53CEA"/>
    <w:rsid w:val="00A5577A"/>
    <w:rsid w:val="00A55D6B"/>
    <w:rsid w:val="00A5612E"/>
    <w:rsid w:val="00A5655D"/>
    <w:rsid w:val="00A57CFA"/>
    <w:rsid w:val="00A60706"/>
    <w:rsid w:val="00A61687"/>
    <w:rsid w:val="00A61886"/>
    <w:rsid w:val="00A62BD6"/>
    <w:rsid w:val="00A63734"/>
    <w:rsid w:val="00A641B1"/>
    <w:rsid w:val="00A66272"/>
    <w:rsid w:val="00A67C92"/>
    <w:rsid w:val="00A700A5"/>
    <w:rsid w:val="00A70BD6"/>
    <w:rsid w:val="00A72D23"/>
    <w:rsid w:val="00A739DB"/>
    <w:rsid w:val="00A75B09"/>
    <w:rsid w:val="00A75D2D"/>
    <w:rsid w:val="00A8028B"/>
    <w:rsid w:val="00A80920"/>
    <w:rsid w:val="00A8110D"/>
    <w:rsid w:val="00A81809"/>
    <w:rsid w:val="00A81872"/>
    <w:rsid w:val="00A819C8"/>
    <w:rsid w:val="00A81DC3"/>
    <w:rsid w:val="00A820B6"/>
    <w:rsid w:val="00A826D3"/>
    <w:rsid w:val="00A82831"/>
    <w:rsid w:val="00A830C4"/>
    <w:rsid w:val="00A839D7"/>
    <w:rsid w:val="00A84CED"/>
    <w:rsid w:val="00A85469"/>
    <w:rsid w:val="00A85511"/>
    <w:rsid w:val="00A85B32"/>
    <w:rsid w:val="00A85FC1"/>
    <w:rsid w:val="00A93BAC"/>
    <w:rsid w:val="00A9412D"/>
    <w:rsid w:val="00A94959"/>
    <w:rsid w:val="00A95957"/>
    <w:rsid w:val="00AA04C2"/>
    <w:rsid w:val="00AA053E"/>
    <w:rsid w:val="00AA0885"/>
    <w:rsid w:val="00AA0C43"/>
    <w:rsid w:val="00AA1BB0"/>
    <w:rsid w:val="00AA1DE5"/>
    <w:rsid w:val="00AA26B7"/>
    <w:rsid w:val="00AA29C5"/>
    <w:rsid w:val="00AA2FCD"/>
    <w:rsid w:val="00AA4AC5"/>
    <w:rsid w:val="00AA4BF3"/>
    <w:rsid w:val="00AA4D3A"/>
    <w:rsid w:val="00AA53D8"/>
    <w:rsid w:val="00AA743F"/>
    <w:rsid w:val="00AA74F4"/>
    <w:rsid w:val="00AA771C"/>
    <w:rsid w:val="00AB0130"/>
    <w:rsid w:val="00AB0139"/>
    <w:rsid w:val="00AB03F9"/>
    <w:rsid w:val="00AB05A4"/>
    <w:rsid w:val="00AB253E"/>
    <w:rsid w:val="00AB299E"/>
    <w:rsid w:val="00AB3CCB"/>
    <w:rsid w:val="00AB40CC"/>
    <w:rsid w:val="00AB5732"/>
    <w:rsid w:val="00AB5B8B"/>
    <w:rsid w:val="00AB6810"/>
    <w:rsid w:val="00AB6D40"/>
    <w:rsid w:val="00AB6FCF"/>
    <w:rsid w:val="00AB7C07"/>
    <w:rsid w:val="00AC0945"/>
    <w:rsid w:val="00AC1CA9"/>
    <w:rsid w:val="00AC2790"/>
    <w:rsid w:val="00AC3C01"/>
    <w:rsid w:val="00AC55AE"/>
    <w:rsid w:val="00AC58B8"/>
    <w:rsid w:val="00AC597C"/>
    <w:rsid w:val="00AD086A"/>
    <w:rsid w:val="00AD37E0"/>
    <w:rsid w:val="00AD4CC4"/>
    <w:rsid w:val="00AD4EE5"/>
    <w:rsid w:val="00AD5141"/>
    <w:rsid w:val="00AD56ED"/>
    <w:rsid w:val="00AD5787"/>
    <w:rsid w:val="00AD5980"/>
    <w:rsid w:val="00AD5AAB"/>
    <w:rsid w:val="00AD5CB4"/>
    <w:rsid w:val="00AE09F1"/>
    <w:rsid w:val="00AE2743"/>
    <w:rsid w:val="00AE2DBC"/>
    <w:rsid w:val="00AE3A34"/>
    <w:rsid w:val="00AE4B0C"/>
    <w:rsid w:val="00AE5282"/>
    <w:rsid w:val="00AE5746"/>
    <w:rsid w:val="00AE6007"/>
    <w:rsid w:val="00AE60DE"/>
    <w:rsid w:val="00AE6C7A"/>
    <w:rsid w:val="00AE6DA7"/>
    <w:rsid w:val="00AF04D4"/>
    <w:rsid w:val="00AF08A4"/>
    <w:rsid w:val="00AF140D"/>
    <w:rsid w:val="00AF1561"/>
    <w:rsid w:val="00AF173B"/>
    <w:rsid w:val="00AF1FD0"/>
    <w:rsid w:val="00AF477B"/>
    <w:rsid w:val="00AF5B43"/>
    <w:rsid w:val="00AF7552"/>
    <w:rsid w:val="00B009ED"/>
    <w:rsid w:val="00B00E94"/>
    <w:rsid w:val="00B01959"/>
    <w:rsid w:val="00B03879"/>
    <w:rsid w:val="00B044BA"/>
    <w:rsid w:val="00B0754C"/>
    <w:rsid w:val="00B07B03"/>
    <w:rsid w:val="00B10D71"/>
    <w:rsid w:val="00B10FA9"/>
    <w:rsid w:val="00B11C77"/>
    <w:rsid w:val="00B140C5"/>
    <w:rsid w:val="00B14A13"/>
    <w:rsid w:val="00B15845"/>
    <w:rsid w:val="00B163AA"/>
    <w:rsid w:val="00B20ABB"/>
    <w:rsid w:val="00B2274C"/>
    <w:rsid w:val="00B233A5"/>
    <w:rsid w:val="00B244EE"/>
    <w:rsid w:val="00B24822"/>
    <w:rsid w:val="00B300E9"/>
    <w:rsid w:val="00B31361"/>
    <w:rsid w:val="00B33C73"/>
    <w:rsid w:val="00B34C48"/>
    <w:rsid w:val="00B3701E"/>
    <w:rsid w:val="00B37410"/>
    <w:rsid w:val="00B3744E"/>
    <w:rsid w:val="00B37BBF"/>
    <w:rsid w:val="00B40975"/>
    <w:rsid w:val="00B414A5"/>
    <w:rsid w:val="00B42777"/>
    <w:rsid w:val="00B46D9B"/>
    <w:rsid w:val="00B46E59"/>
    <w:rsid w:val="00B46E72"/>
    <w:rsid w:val="00B47640"/>
    <w:rsid w:val="00B50195"/>
    <w:rsid w:val="00B50E61"/>
    <w:rsid w:val="00B52450"/>
    <w:rsid w:val="00B52519"/>
    <w:rsid w:val="00B52D96"/>
    <w:rsid w:val="00B53AA4"/>
    <w:rsid w:val="00B54B27"/>
    <w:rsid w:val="00B5678B"/>
    <w:rsid w:val="00B56F93"/>
    <w:rsid w:val="00B57E47"/>
    <w:rsid w:val="00B60449"/>
    <w:rsid w:val="00B6066A"/>
    <w:rsid w:val="00B61303"/>
    <w:rsid w:val="00B620AE"/>
    <w:rsid w:val="00B62BC7"/>
    <w:rsid w:val="00B63373"/>
    <w:rsid w:val="00B64749"/>
    <w:rsid w:val="00B66D93"/>
    <w:rsid w:val="00B67102"/>
    <w:rsid w:val="00B67509"/>
    <w:rsid w:val="00B679A8"/>
    <w:rsid w:val="00B67A1D"/>
    <w:rsid w:val="00B70572"/>
    <w:rsid w:val="00B71394"/>
    <w:rsid w:val="00B73176"/>
    <w:rsid w:val="00B73425"/>
    <w:rsid w:val="00B73521"/>
    <w:rsid w:val="00B73577"/>
    <w:rsid w:val="00B73593"/>
    <w:rsid w:val="00B748FF"/>
    <w:rsid w:val="00B75AE9"/>
    <w:rsid w:val="00B77037"/>
    <w:rsid w:val="00B82FB5"/>
    <w:rsid w:val="00B83753"/>
    <w:rsid w:val="00B8429E"/>
    <w:rsid w:val="00B847E8"/>
    <w:rsid w:val="00B84D57"/>
    <w:rsid w:val="00B869AC"/>
    <w:rsid w:val="00B869CE"/>
    <w:rsid w:val="00B87951"/>
    <w:rsid w:val="00B9000A"/>
    <w:rsid w:val="00B9157B"/>
    <w:rsid w:val="00B91C24"/>
    <w:rsid w:val="00B930F7"/>
    <w:rsid w:val="00B93492"/>
    <w:rsid w:val="00B9452C"/>
    <w:rsid w:val="00B950DE"/>
    <w:rsid w:val="00B9534F"/>
    <w:rsid w:val="00B96580"/>
    <w:rsid w:val="00B96903"/>
    <w:rsid w:val="00B96EA5"/>
    <w:rsid w:val="00BA0B8E"/>
    <w:rsid w:val="00BA1337"/>
    <w:rsid w:val="00BA2167"/>
    <w:rsid w:val="00BA3480"/>
    <w:rsid w:val="00BA3C38"/>
    <w:rsid w:val="00BA57C5"/>
    <w:rsid w:val="00BA664E"/>
    <w:rsid w:val="00BA69EC"/>
    <w:rsid w:val="00BA6EF9"/>
    <w:rsid w:val="00BA76CC"/>
    <w:rsid w:val="00BA7E01"/>
    <w:rsid w:val="00BB03A7"/>
    <w:rsid w:val="00BB06DA"/>
    <w:rsid w:val="00BB121F"/>
    <w:rsid w:val="00BB17AA"/>
    <w:rsid w:val="00BB187D"/>
    <w:rsid w:val="00BB1C6A"/>
    <w:rsid w:val="00BB1D9F"/>
    <w:rsid w:val="00BB2349"/>
    <w:rsid w:val="00BB2BAF"/>
    <w:rsid w:val="00BB2DC0"/>
    <w:rsid w:val="00BB2ED8"/>
    <w:rsid w:val="00BB35E5"/>
    <w:rsid w:val="00BB4AE1"/>
    <w:rsid w:val="00BB4FC0"/>
    <w:rsid w:val="00BB571C"/>
    <w:rsid w:val="00BC0776"/>
    <w:rsid w:val="00BC0E0E"/>
    <w:rsid w:val="00BC17B9"/>
    <w:rsid w:val="00BC34D9"/>
    <w:rsid w:val="00BC42A2"/>
    <w:rsid w:val="00BC6A7D"/>
    <w:rsid w:val="00BC706D"/>
    <w:rsid w:val="00BC7244"/>
    <w:rsid w:val="00BC7696"/>
    <w:rsid w:val="00BC77B5"/>
    <w:rsid w:val="00BD01A6"/>
    <w:rsid w:val="00BD0DA0"/>
    <w:rsid w:val="00BD1F1D"/>
    <w:rsid w:val="00BD2F8E"/>
    <w:rsid w:val="00BD2FB5"/>
    <w:rsid w:val="00BD32C8"/>
    <w:rsid w:val="00BD701B"/>
    <w:rsid w:val="00BD7BD6"/>
    <w:rsid w:val="00BE042E"/>
    <w:rsid w:val="00BE049E"/>
    <w:rsid w:val="00BE061B"/>
    <w:rsid w:val="00BE1B29"/>
    <w:rsid w:val="00BE4609"/>
    <w:rsid w:val="00BE58E9"/>
    <w:rsid w:val="00BE7E72"/>
    <w:rsid w:val="00BF052C"/>
    <w:rsid w:val="00BF1E6F"/>
    <w:rsid w:val="00BF2F0D"/>
    <w:rsid w:val="00BF346A"/>
    <w:rsid w:val="00BF3583"/>
    <w:rsid w:val="00BF5329"/>
    <w:rsid w:val="00BF5E7E"/>
    <w:rsid w:val="00BF631B"/>
    <w:rsid w:val="00BF697F"/>
    <w:rsid w:val="00BF72FE"/>
    <w:rsid w:val="00BF7F54"/>
    <w:rsid w:val="00C01AB4"/>
    <w:rsid w:val="00C02286"/>
    <w:rsid w:val="00C03323"/>
    <w:rsid w:val="00C03591"/>
    <w:rsid w:val="00C04ED7"/>
    <w:rsid w:val="00C04FD1"/>
    <w:rsid w:val="00C05EDE"/>
    <w:rsid w:val="00C06148"/>
    <w:rsid w:val="00C07E90"/>
    <w:rsid w:val="00C108F9"/>
    <w:rsid w:val="00C10BF9"/>
    <w:rsid w:val="00C110A6"/>
    <w:rsid w:val="00C14D57"/>
    <w:rsid w:val="00C15F37"/>
    <w:rsid w:val="00C16A98"/>
    <w:rsid w:val="00C17517"/>
    <w:rsid w:val="00C178D8"/>
    <w:rsid w:val="00C207FC"/>
    <w:rsid w:val="00C20882"/>
    <w:rsid w:val="00C22244"/>
    <w:rsid w:val="00C229A9"/>
    <w:rsid w:val="00C23BCD"/>
    <w:rsid w:val="00C24342"/>
    <w:rsid w:val="00C24537"/>
    <w:rsid w:val="00C266A3"/>
    <w:rsid w:val="00C26E35"/>
    <w:rsid w:val="00C27040"/>
    <w:rsid w:val="00C277EE"/>
    <w:rsid w:val="00C308AC"/>
    <w:rsid w:val="00C30FD1"/>
    <w:rsid w:val="00C3209D"/>
    <w:rsid w:val="00C3251E"/>
    <w:rsid w:val="00C341D8"/>
    <w:rsid w:val="00C34D2A"/>
    <w:rsid w:val="00C35616"/>
    <w:rsid w:val="00C356E2"/>
    <w:rsid w:val="00C373EE"/>
    <w:rsid w:val="00C37F59"/>
    <w:rsid w:val="00C402A7"/>
    <w:rsid w:val="00C40CC1"/>
    <w:rsid w:val="00C40D78"/>
    <w:rsid w:val="00C4246A"/>
    <w:rsid w:val="00C43467"/>
    <w:rsid w:val="00C455F7"/>
    <w:rsid w:val="00C45E23"/>
    <w:rsid w:val="00C46BDD"/>
    <w:rsid w:val="00C5021A"/>
    <w:rsid w:val="00C52971"/>
    <w:rsid w:val="00C52AEC"/>
    <w:rsid w:val="00C52F2C"/>
    <w:rsid w:val="00C54F57"/>
    <w:rsid w:val="00C5616C"/>
    <w:rsid w:val="00C600C2"/>
    <w:rsid w:val="00C61824"/>
    <w:rsid w:val="00C62CAF"/>
    <w:rsid w:val="00C63FB6"/>
    <w:rsid w:val="00C65252"/>
    <w:rsid w:val="00C653AA"/>
    <w:rsid w:val="00C656B9"/>
    <w:rsid w:val="00C6593A"/>
    <w:rsid w:val="00C66A5C"/>
    <w:rsid w:val="00C71B63"/>
    <w:rsid w:val="00C73D06"/>
    <w:rsid w:val="00C7426E"/>
    <w:rsid w:val="00C747D0"/>
    <w:rsid w:val="00C74AD5"/>
    <w:rsid w:val="00C757EF"/>
    <w:rsid w:val="00C75977"/>
    <w:rsid w:val="00C7605D"/>
    <w:rsid w:val="00C80CC5"/>
    <w:rsid w:val="00C81818"/>
    <w:rsid w:val="00C82E71"/>
    <w:rsid w:val="00C82E90"/>
    <w:rsid w:val="00C83DBC"/>
    <w:rsid w:val="00C83FE0"/>
    <w:rsid w:val="00C8516D"/>
    <w:rsid w:val="00C85902"/>
    <w:rsid w:val="00C86034"/>
    <w:rsid w:val="00C863F9"/>
    <w:rsid w:val="00C87530"/>
    <w:rsid w:val="00C92BD9"/>
    <w:rsid w:val="00C94598"/>
    <w:rsid w:val="00C958CC"/>
    <w:rsid w:val="00C972B2"/>
    <w:rsid w:val="00CA292F"/>
    <w:rsid w:val="00CA6B9A"/>
    <w:rsid w:val="00CB0599"/>
    <w:rsid w:val="00CB38F1"/>
    <w:rsid w:val="00CB3CF7"/>
    <w:rsid w:val="00CB4E86"/>
    <w:rsid w:val="00CB56E0"/>
    <w:rsid w:val="00CB7C10"/>
    <w:rsid w:val="00CC0A2B"/>
    <w:rsid w:val="00CC2171"/>
    <w:rsid w:val="00CC2DB8"/>
    <w:rsid w:val="00CC382A"/>
    <w:rsid w:val="00CC507D"/>
    <w:rsid w:val="00CC565F"/>
    <w:rsid w:val="00CC6470"/>
    <w:rsid w:val="00CC7264"/>
    <w:rsid w:val="00CC7B1F"/>
    <w:rsid w:val="00CD0533"/>
    <w:rsid w:val="00CD0BF1"/>
    <w:rsid w:val="00CD1637"/>
    <w:rsid w:val="00CD176F"/>
    <w:rsid w:val="00CD229B"/>
    <w:rsid w:val="00CD2CED"/>
    <w:rsid w:val="00CD3990"/>
    <w:rsid w:val="00CD5891"/>
    <w:rsid w:val="00CD6A7C"/>
    <w:rsid w:val="00CE0D99"/>
    <w:rsid w:val="00CE2880"/>
    <w:rsid w:val="00CE37CF"/>
    <w:rsid w:val="00CE4AA2"/>
    <w:rsid w:val="00CE4ED4"/>
    <w:rsid w:val="00CE588C"/>
    <w:rsid w:val="00CE638E"/>
    <w:rsid w:val="00CE6A68"/>
    <w:rsid w:val="00CE7B80"/>
    <w:rsid w:val="00CE7E42"/>
    <w:rsid w:val="00CF062F"/>
    <w:rsid w:val="00CF075A"/>
    <w:rsid w:val="00CF2031"/>
    <w:rsid w:val="00CF31BB"/>
    <w:rsid w:val="00CF3AEB"/>
    <w:rsid w:val="00CF3D6B"/>
    <w:rsid w:val="00CF3D87"/>
    <w:rsid w:val="00CF4478"/>
    <w:rsid w:val="00CF4749"/>
    <w:rsid w:val="00CF500C"/>
    <w:rsid w:val="00CF55E3"/>
    <w:rsid w:val="00CF5818"/>
    <w:rsid w:val="00CF6540"/>
    <w:rsid w:val="00CF797B"/>
    <w:rsid w:val="00D01539"/>
    <w:rsid w:val="00D017BF"/>
    <w:rsid w:val="00D025A9"/>
    <w:rsid w:val="00D0343E"/>
    <w:rsid w:val="00D036DE"/>
    <w:rsid w:val="00D03F63"/>
    <w:rsid w:val="00D04200"/>
    <w:rsid w:val="00D044EC"/>
    <w:rsid w:val="00D05305"/>
    <w:rsid w:val="00D06023"/>
    <w:rsid w:val="00D070E7"/>
    <w:rsid w:val="00D07D1B"/>
    <w:rsid w:val="00D10033"/>
    <w:rsid w:val="00D10F74"/>
    <w:rsid w:val="00D10FB8"/>
    <w:rsid w:val="00D12A4A"/>
    <w:rsid w:val="00D14225"/>
    <w:rsid w:val="00D14A17"/>
    <w:rsid w:val="00D15A5E"/>
    <w:rsid w:val="00D168E7"/>
    <w:rsid w:val="00D1713F"/>
    <w:rsid w:val="00D225F7"/>
    <w:rsid w:val="00D26166"/>
    <w:rsid w:val="00D306EB"/>
    <w:rsid w:val="00D31247"/>
    <w:rsid w:val="00D31DA1"/>
    <w:rsid w:val="00D32BBF"/>
    <w:rsid w:val="00D33A68"/>
    <w:rsid w:val="00D34208"/>
    <w:rsid w:val="00D35CC2"/>
    <w:rsid w:val="00D37B18"/>
    <w:rsid w:val="00D40515"/>
    <w:rsid w:val="00D41775"/>
    <w:rsid w:val="00D43101"/>
    <w:rsid w:val="00D45026"/>
    <w:rsid w:val="00D46899"/>
    <w:rsid w:val="00D46AEC"/>
    <w:rsid w:val="00D46F20"/>
    <w:rsid w:val="00D47997"/>
    <w:rsid w:val="00D509AD"/>
    <w:rsid w:val="00D514F5"/>
    <w:rsid w:val="00D524D5"/>
    <w:rsid w:val="00D52525"/>
    <w:rsid w:val="00D54F32"/>
    <w:rsid w:val="00D55049"/>
    <w:rsid w:val="00D55621"/>
    <w:rsid w:val="00D55E99"/>
    <w:rsid w:val="00D572BF"/>
    <w:rsid w:val="00D57D22"/>
    <w:rsid w:val="00D6026C"/>
    <w:rsid w:val="00D6080E"/>
    <w:rsid w:val="00D60B54"/>
    <w:rsid w:val="00D648F7"/>
    <w:rsid w:val="00D66979"/>
    <w:rsid w:val="00D70D34"/>
    <w:rsid w:val="00D71689"/>
    <w:rsid w:val="00D7341C"/>
    <w:rsid w:val="00D73736"/>
    <w:rsid w:val="00D73E96"/>
    <w:rsid w:val="00D73FF2"/>
    <w:rsid w:val="00D74A65"/>
    <w:rsid w:val="00D752C7"/>
    <w:rsid w:val="00D7583C"/>
    <w:rsid w:val="00D76B6B"/>
    <w:rsid w:val="00D8061A"/>
    <w:rsid w:val="00D80ADF"/>
    <w:rsid w:val="00D80BCB"/>
    <w:rsid w:val="00D80C69"/>
    <w:rsid w:val="00D8227C"/>
    <w:rsid w:val="00D83E22"/>
    <w:rsid w:val="00D84449"/>
    <w:rsid w:val="00D847E9"/>
    <w:rsid w:val="00D84B8D"/>
    <w:rsid w:val="00D84CE4"/>
    <w:rsid w:val="00D85AFB"/>
    <w:rsid w:val="00D85D8F"/>
    <w:rsid w:val="00D860EA"/>
    <w:rsid w:val="00D87829"/>
    <w:rsid w:val="00D906EB"/>
    <w:rsid w:val="00D90826"/>
    <w:rsid w:val="00D96977"/>
    <w:rsid w:val="00D97652"/>
    <w:rsid w:val="00D97D79"/>
    <w:rsid w:val="00DA0B56"/>
    <w:rsid w:val="00DA2A31"/>
    <w:rsid w:val="00DA4C23"/>
    <w:rsid w:val="00DA5333"/>
    <w:rsid w:val="00DA603D"/>
    <w:rsid w:val="00DA706F"/>
    <w:rsid w:val="00DA7A03"/>
    <w:rsid w:val="00DB0B3A"/>
    <w:rsid w:val="00DB3675"/>
    <w:rsid w:val="00DB4587"/>
    <w:rsid w:val="00DB466C"/>
    <w:rsid w:val="00DB6097"/>
    <w:rsid w:val="00DB79AD"/>
    <w:rsid w:val="00DC3793"/>
    <w:rsid w:val="00DC3DED"/>
    <w:rsid w:val="00DC3FDE"/>
    <w:rsid w:val="00DC421B"/>
    <w:rsid w:val="00DC44E5"/>
    <w:rsid w:val="00DC486F"/>
    <w:rsid w:val="00DC4F12"/>
    <w:rsid w:val="00DC5317"/>
    <w:rsid w:val="00DC5962"/>
    <w:rsid w:val="00DC6106"/>
    <w:rsid w:val="00DC6991"/>
    <w:rsid w:val="00DC7D0E"/>
    <w:rsid w:val="00DD4B7A"/>
    <w:rsid w:val="00DD6AE3"/>
    <w:rsid w:val="00DD763E"/>
    <w:rsid w:val="00DE1341"/>
    <w:rsid w:val="00DE300F"/>
    <w:rsid w:val="00DE40C9"/>
    <w:rsid w:val="00DE4969"/>
    <w:rsid w:val="00DE4A7D"/>
    <w:rsid w:val="00DE50FD"/>
    <w:rsid w:val="00DE5561"/>
    <w:rsid w:val="00DE5ABB"/>
    <w:rsid w:val="00DE64F7"/>
    <w:rsid w:val="00DF1638"/>
    <w:rsid w:val="00DF2914"/>
    <w:rsid w:val="00DF30CA"/>
    <w:rsid w:val="00DF4010"/>
    <w:rsid w:val="00DF4E96"/>
    <w:rsid w:val="00DF6BF9"/>
    <w:rsid w:val="00E02596"/>
    <w:rsid w:val="00E025A3"/>
    <w:rsid w:val="00E03936"/>
    <w:rsid w:val="00E04E8A"/>
    <w:rsid w:val="00E06347"/>
    <w:rsid w:val="00E1026E"/>
    <w:rsid w:val="00E103B1"/>
    <w:rsid w:val="00E10B22"/>
    <w:rsid w:val="00E1207B"/>
    <w:rsid w:val="00E130CE"/>
    <w:rsid w:val="00E13A73"/>
    <w:rsid w:val="00E14238"/>
    <w:rsid w:val="00E1469F"/>
    <w:rsid w:val="00E15894"/>
    <w:rsid w:val="00E16B04"/>
    <w:rsid w:val="00E20BB9"/>
    <w:rsid w:val="00E22C6C"/>
    <w:rsid w:val="00E24B0F"/>
    <w:rsid w:val="00E253C8"/>
    <w:rsid w:val="00E263D4"/>
    <w:rsid w:val="00E27153"/>
    <w:rsid w:val="00E30079"/>
    <w:rsid w:val="00E31FDC"/>
    <w:rsid w:val="00E3285C"/>
    <w:rsid w:val="00E328A0"/>
    <w:rsid w:val="00E32F79"/>
    <w:rsid w:val="00E332B5"/>
    <w:rsid w:val="00E3677B"/>
    <w:rsid w:val="00E4149D"/>
    <w:rsid w:val="00E438BE"/>
    <w:rsid w:val="00E443B9"/>
    <w:rsid w:val="00E44FCA"/>
    <w:rsid w:val="00E45011"/>
    <w:rsid w:val="00E45B07"/>
    <w:rsid w:val="00E52633"/>
    <w:rsid w:val="00E54193"/>
    <w:rsid w:val="00E5468D"/>
    <w:rsid w:val="00E57F78"/>
    <w:rsid w:val="00E62519"/>
    <w:rsid w:val="00E6322B"/>
    <w:rsid w:val="00E65499"/>
    <w:rsid w:val="00E66802"/>
    <w:rsid w:val="00E670F6"/>
    <w:rsid w:val="00E674F0"/>
    <w:rsid w:val="00E71524"/>
    <w:rsid w:val="00E73E52"/>
    <w:rsid w:val="00E769B8"/>
    <w:rsid w:val="00E76A9A"/>
    <w:rsid w:val="00E8180F"/>
    <w:rsid w:val="00E81EC7"/>
    <w:rsid w:val="00E81F28"/>
    <w:rsid w:val="00E829C0"/>
    <w:rsid w:val="00E82D9B"/>
    <w:rsid w:val="00E8456F"/>
    <w:rsid w:val="00E85EC9"/>
    <w:rsid w:val="00E87701"/>
    <w:rsid w:val="00E87C1B"/>
    <w:rsid w:val="00E90B64"/>
    <w:rsid w:val="00E921A4"/>
    <w:rsid w:val="00E924CD"/>
    <w:rsid w:val="00E97F12"/>
    <w:rsid w:val="00EA00ED"/>
    <w:rsid w:val="00EA142F"/>
    <w:rsid w:val="00EA1934"/>
    <w:rsid w:val="00EA1F7D"/>
    <w:rsid w:val="00EA2BB5"/>
    <w:rsid w:val="00EA2BC9"/>
    <w:rsid w:val="00EA34DC"/>
    <w:rsid w:val="00EA433F"/>
    <w:rsid w:val="00EA48BC"/>
    <w:rsid w:val="00EA5ED3"/>
    <w:rsid w:val="00EA7672"/>
    <w:rsid w:val="00EA787B"/>
    <w:rsid w:val="00EA7CAE"/>
    <w:rsid w:val="00EB3A1F"/>
    <w:rsid w:val="00EB3CDA"/>
    <w:rsid w:val="00EB5302"/>
    <w:rsid w:val="00EC02A4"/>
    <w:rsid w:val="00EC1275"/>
    <w:rsid w:val="00EC1A9F"/>
    <w:rsid w:val="00EC2BC8"/>
    <w:rsid w:val="00EC4DB6"/>
    <w:rsid w:val="00EC6D2D"/>
    <w:rsid w:val="00EC7E87"/>
    <w:rsid w:val="00EC7F5C"/>
    <w:rsid w:val="00ED1F40"/>
    <w:rsid w:val="00ED2B18"/>
    <w:rsid w:val="00ED2B97"/>
    <w:rsid w:val="00ED51A5"/>
    <w:rsid w:val="00ED52A4"/>
    <w:rsid w:val="00ED6227"/>
    <w:rsid w:val="00ED66E6"/>
    <w:rsid w:val="00EE0754"/>
    <w:rsid w:val="00EE0954"/>
    <w:rsid w:val="00EE0C4F"/>
    <w:rsid w:val="00EE1F63"/>
    <w:rsid w:val="00EE47E0"/>
    <w:rsid w:val="00EE4E5F"/>
    <w:rsid w:val="00EE7824"/>
    <w:rsid w:val="00EE7AE8"/>
    <w:rsid w:val="00EE7C64"/>
    <w:rsid w:val="00EE7D86"/>
    <w:rsid w:val="00EE7F37"/>
    <w:rsid w:val="00EF5DC5"/>
    <w:rsid w:val="00EF732A"/>
    <w:rsid w:val="00EF747C"/>
    <w:rsid w:val="00EF7D3C"/>
    <w:rsid w:val="00F03908"/>
    <w:rsid w:val="00F04282"/>
    <w:rsid w:val="00F043FA"/>
    <w:rsid w:val="00F0506D"/>
    <w:rsid w:val="00F053C4"/>
    <w:rsid w:val="00F054D2"/>
    <w:rsid w:val="00F0588C"/>
    <w:rsid w:val="00F060BE"/>
    <w:rsid w:val="00F07420"/>
    <w:rsid w:val="00F10B3C"/>
    <w:rsid w:val="00F117D5"/>
    <w:rsid w:val="00F121AB"/>
    <w:rsid w:val="00F122B4"/>
    <w:rsid w:val="00F1263F"/>
    <w:rsid w:val="00F129C2"/>
    <w:rsid w:val="00F12B98"/>
    <w:rsid w:val="00F12F36"/>
    <w:rsid w:val="00F13EE3"/>
    <w:rsid w:val="00F15361"/>
    <w:rsid w:val="00F1585B"/>
    <w:rsid w:val="00F15D28"/>
    <w:rsid w:val="00F16A21"/>
    <w:rsid w:val="00F17122"/>
    <w:rsid w:val="00F173E4"/>
    <w:rsid w:val="00F1786B"/>
    <w:rsid w:val="00F20325"/>
    <w:rsid w:val="00F20779"/>
    <w:rsid w:val="00F213F7"/>
    <w:rsid w:val="00F218BA"/>
    <w:rsid w:val="00F21ABB"/>
    <w:rsid w:val="00F21BAC"/>
    <w:rsid w:val="00F22F9B"/>
    <w:rsid w:val="00F2307A"/>
    <w:rsid w:val="00F230B5"/>
    <w:rsid w:val="00F23537"/>
    <w:rsid w:val="00F26258"/>
    <w:rsid w:val="00F273A9"/>
    <w:rsid w:val="00F27EB3"/>
    <w:rsid w:val="00F30699"/>
    <w:rsid w:val="00F30E00"/>
    <w:rsid w:val="00F30E83"/>
    <w:rsid w:val="00F30FD3"/>
    <w:rsid w:val="00F32E9B"/>
    <w:rsid w:val="00F3385D"/>
    <w:rsid w:val="00F34ADF"/>
    <w:rsid w:val="00F35991"/>
    <w:rsid w:val="00F35DA8"/>
    <w:rsid w:val="00F36340"/>
    <w:rsid w:val="00F3775A"/>
    <w:rsid w:val="00F37D83"/>
    <w:rsid w:val="00F4109A"/>
    <w:rsid w:val="00F42C68"/>
    <w:rsid w:val="00F44284"/>
    <w:rsid w:val="00F444D1"/>
    <w:rsid w:val="00F444D5"/>
    <w:rsid w:val="00F4477E"/>
    <w:rsid w:val="00F46029"/>
    <w:rsid w:val="00F467BB"/>
    <w:rsid w:val="00F46C00"/>
    <w:rsid w:val="00F50443"/>
    <w:rsid w:val="00F51C87"/>
    <w:rsid w:val="00F52546"/>
    <w:rsid w:val="00F53DAC"/>
    <w:rsid w:val="00F5520C"/>
    <w:rsid w:val="00F5577C"/>
    <w:rsid w:val="00F56D07"/>
    <w:rsid w:val="00F56D67"/>
    <w:rsid w:val="00F57C8D"/>
    <w:rsid w:val="00F614F2"/>
    <w:rsid w:val="00F627F9"/>
    <w:rsid w:val="00F64230"/>
    <w:rsid w:val="00F64352"/>
    <w:rsid w:val="00F64CA5"/>
    <w:rsid w:val="00F64EB7"/>
    <w:rsid w:val="00F6587D"/>
    <w:rsid w:val="00F65C67"/>
    <w:rsid w:val="00F661CD"/>
    <w:rsid w:val="00F66416"/>
    <w:rsid w:val="00F66C61"/>
    <w:rsid w:val="00F704CB"/>
    <w:rsid w:val="00F7180F"/>
    <w:rsid w:val="00F7249F"/>
    <w:rsid w:val="00F729D8"/>
    <w:rsid w:val="00F72E78"/>
    <w:rsid w:val="00F7366F"/>
    <w:rsid w:val="00F73F3A"/>
    <w:rsid w:val="00F74602"/>
    <w:rsid w:val="00F76F3A"/>
    <w:rsid w:val="00F77CAF"/>
    <w:rsid w:val="00F80400"/>
    <w:rsid w:val="00F80DFA"/>
    <w:rsid w:val="00F8210F"/>
    <w:rsid w:val="00F82BED"/>
    <w:rsid w:val="00F837C1"/>
    <w:rsid w:val="00F83ACD"/>
    <w:rsid w:val="00F85B6D"/>
    <w:rsid w:val="00F86636"/>
    <w:rsid w:val="00F8691A"/>
    <w:rsid w:val="00F903F8"/>
    <w:rsid w:val="00F90C0D"/>
    <w:rsid w:val="00F90E47"/>
    <w:rsid w:val="00F9382B"/>
    <w:rsid w:val="00F93A0D"/>
    <w:rsid w:val="00F97130"/>
    <w:rsid w:val="00F9720E"/>
    <w:rsid w:val="00F973C2"/>
    <w:rsid w:val="00F97D7B"/>
    <w:rsid w:val="00FA11C5"/>
    <w:rsid w:val="00FA1ED0"/>
    <w:rsid w:val="00FA26C2"/>
    <w:rsid w:val="00FA49AC"/>
    <w:rsid w:val="00FA62EA"/>
    <w:rsid w:val="00FA646F"/>
    <w:rsid w:val="00FA6DBD"/>
    <w:rsid w:val="00FA737C"/>
    <w:rsid w:val="00FB0C52"/>
    <w:rsid w:val="00FB2623"/>
    <w:rsid w:val="00FB3612"/>
    <w:rsid w:val="00FB3B8C"/>
    <w:rsid w:val="00FB3F6F"/>
    <w:rsid w:val="00FB539A"/>
    <w:rsid w:val="00FB55A1"/>
    <w:rsid w:val="00FB575F"/>
    <w:rsid w:val="00FB5BE8"/>
    <w:rsid w:val="00FB6590"/>
    <w:rsid w:val="00FB6D12"/>
    <w:rsid w:val="00FB7193"/>
    <w:rsid w:val="00FB7E1A"/>
    <w:rsid w:val="00FC1F8B"/>
    <w:rsid w:val="00FC4C2C"/>
    <w:rsid w:val="00FC5246"/>
    <w:rsid w:val="00FC66DD"/>
    <w:rsid w:val="00FC695A"/>
    <w:rsid w:val="00FC6EF5"/>
    <w:rsid w:val="00FC70C3"/>
    <w:rsid w:val="00FD04F3"/>
    <w:rsid w:val="00FD11A4"/>
    <w:rsid w:val="00FD2D8E"/>
    <w:rsid w:val="00FD337B"/>
    <w:rsid w:val="00FD60E1"/>
    <w:rsid w:val="00FD69D6"/>
    <w:rsid w:val="00FD7076"/>
    <w:rsid w:val="00FD78A4"/>
    <w:rsid w:val="00FD79C3"/>
    <w:rsid w:val="00FE0D2C"/>
    <w:rsid w:val="00FE11D4"/>
    <w:rsid w:val="00FE11EE"/>
    <w:rsid w:val="00FE160E"/>
    <w:rsid w:val="00FE19B4"/>
    <w:rsid w:val="00FE2DBA"/>
    <w:rsid w:val="00FE3B68"/>
    <w:rsid w:val="00FE6A96"/>
    <w:rsid w:val="00FE7206"/>
    <w:rsid w:val="00FE74A0"/>
    <w:rsid w:val="00FF14D4"/>
    <w:rsid w:val="00FF2C50"/>
    <w:rsid w:val="00FF2C70"/>
    <w:rsid w:val="00FF2FDF"/>
    <w:rsid w:val="00FF3C50"/>
    <w:rsid w:val="00FF4627"/>
    <w:rsid w:val="00FF4F48"/>
    <w:rsid w:val="00FF64FE"/>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96540"/>
  <w15:docId w15:val="{E0F21C3E-1987-40CE-8D14-84725D91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57"/>
  </w:style>
  <w:style w:type="paragraph" w:styleId="Heading1">
    <w:name w:val="heading 1"/>
    <w:basedOn w:val="Normal"/>
    <w:next w:val="Normal"/>
    <w:qFormat/>
    <w:rsid w:val="00D044EC"/>
    <w:pPr>
      <w:keepNext/>
      <w:pBdr>
        <w:top w:val="single" w:sz="4" w:space="1" w:color="auto" w:shadow="1"/>
        <w:left w:val="single" w:sz="4" w:space="4" w:color="auto" w:shadow="1"/>
        <w:bottom w:val="single" w:sz="4" w:space="1" w:color="auto" w:shadow="1"/>
        <w:right w:val="single" w:sz="4" w:space="4" w:color="auto" w:shadow="1"/>
      </w:pBdr>
      <w:spacing w:line="288" w:lineRule="auto"/>
      <w:ind w:left="1440" w:firstLine="720"/>
      <w:jc w:val="both"/>
      <w:outlineLvl w:val="0"/>
    </w:pPr>
    <w:rPr>
      <w:i/>
      <w:iCs/>
      <w:sz w:val="24"/>
      <w:szCs w:val="24"/>
    </w:rPr>
  </w:style>
  <w:style w:type="paragraph" w:styleId="Heading2">
    <w:name w:val="heading 2"/>
    <w:basedOn w:val="Normal"/>
    <w:next w:val="Normal"/>
    <w:qFormat/>
    <w:rsid w:val="00D044EC"/>
    <w:pPr>
      <w:keepNext/>
      <w:spacing w:line="264" w:lineRule="auto"/>
      <w:jc w:val="both"/>
      <w:outlineLvl w:val="1"/>
    </w:pPr>
    <w:rPr>
      <w:b/>
      <w:sz w:val="24"/>
    </w:rPr>
  </w:style>
  <w:style w:type="paragraph" w:styleId="Heading3">
    <w:name w:val="heading 3"/>
    <w:basedOn w:val="Normal"/>
    <w:next w:val="Normal"/>
    <w:qFormat/>
    <w:rsid w:val="00D044EC"/>
    <w:pPr>
      <w:keepNext/>
      <w:spacing w:line="280" w:lineRule="atLeast"/>
      <w:ind w:right="27"/>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D044EC"/>
  </w:style>
  <w:style w:type="paragraph" w:styleId="Footer">
    <w:name w:val="footer"/>
    <w:basedOn w:val="Normal"/>
    <w:link w:val="FooterChar"/>
    <w:uiPriority w:val="99"/>
    <w:rsid w:val="00D044EC"/>
    <w:pPr>
      <w:tabs>
        <w:tab w:val="center" w:pos="4153"/>
        <w:tab w:val="right" w:pos="8306"/>
      </w:tabs>
    </w:pPr>
  </w:style>
  <w:style w:type="paragraph" w:styleId="Header">
    <w:name w:val="header"/>
    <w:basedOn w:val="Normal"/>
    <w:link w:val="HeaderChar"/>
    <w:uiPriority w:val="99"/>
    <w:rsid w:val="00D044EC"/>
    <w:pPr>
      <w:tabs>
        <w:tab w:val="center" w:pos="4153"/>
        <w:tab w:val="right" w:pos="8306"/>
      </w:tabs>
    </w:pPr>
  </w:style>
  <w:style w:type="paragraph" w:styleId="Title">
    <w:name w:val="Title"/>
    <w:basedOn w:val="Normal"/>
    <w:link w:val="TitleChar"/>
    <w:qFormat/>
    <w:rsid w:val="00D044EC"/>
    <w:pPr>
      <w:jc w:val="center"/>
    </w:pPr>
    <w:rPr>
      <w:b/>
      <w:bCs/>
      <w:sz w:val="28"/>
      <w:szCs w:val="28"/>
    </w:rPr>
  </w:style>
  <w:style w:type="paragraph" w:styleId="BodyText">
    <w:name w:val="Body Text"/>
    <w:basedOn w:val="Normal"/>
    <w:link w:val="BodyTextChar"/>
    <w:semiHidden/>
    <w:rsid w:val="00D044EC"/>
    <w:pPr>
      <w:tabs>
        <w:tab w:val="left" w:pos="8370"/>
      </w:tabs>
      <w:spacing w:line="288" w:lineRule="auto"/>
      <w:jc w:val="both"/>
    </w:pPr>
    <w:rPr>
      <w:sz w:val="24"/>
      <w:szCs w:val="24"/>
      <w:lang w:val="x-none" w:eastAsia="x-none"/>
    </w:rPr>
  </w:style>
  <w:style w:type="paragraph" w:styleId="BodyText2">
    <w:name w:val="Body Text 2"/>
    <w:basedOn w:val="Normal"/>
    <w:semiHidden/>
    <w:rsid w:val="00D044EC"/>
    <w:pPr>
      <w:spacing w:line="288" w:lineRule="auto"/>
      <w:jc w:val="both"/>
    </w:pPr>
    <w:rPr>
      <w:sz w:val="24"/>
      <w:u w:val="single"/>
    </w:rPr>
  </w:style>
  <w:style w:type="paragraph" w:styleId="DocumentMap">
    <w:name w:val="Document Map"/>
    <w:basedOn w:val="Normal"/>
    <w:semiHidden/>
    <w:rsid w:val="00D044EC"/>
    <w:pPr>
      <w:shd w:val="clear" w:color="auto" w:fill="000080"/>
    </w:pPr>
    <w:rPr>
      <w:rFonts w:ascii="Tahoma" w:hAnsi="Tahoma"/>
    </w:rPr>
  </w:style>
  <w:style w:type="paragraph" w:styleId="NormalWeb">
    <w:name w:val="Normal (Web)"/>
    <w:basedOn w:val="Normal"/>
    <w:semiHidden/>
    <w:rsid w:val="00D044EC"/>
    <w:pPr>
      <w:spacing w:before="100" w:beforeAutospacing="1" w:after="100" w:afterAutospacing="1"/>
    </w:pPr>
    <w:rPr>
      <w:sz w:val="24"/>
      <w:szCs w:val="24"/>
    </w:rPr>
  </w:style>
  <w:style w:type="paragraph" w:styleId="BalloonText">
    <w:name w:val="Balloon Text"/>
    <w:basedOn w:val="Normal"/>
    <w:semiHidden/>
    <w:rsid w:val="00D044EC"/>
    <w:rPr>
      <w:rFonts w:ascii="Tahoma" w:hAnsi="Tahoma" w:cs="Tahoma"/>
      <w:sz w:val="16"/>
      <w:szCs w:val="16"/>
    </w:rPr>
  </w:style>
  <w:style w:type="character" w:styleId="Hyperlink">
    <w:name w:val="Hyperlink"/>
    <w:uiPriority w:val="99"/>
    <w:unhideWhenUsed/>
    <w:rsid w:val="00C83FE0"/>
    <w:rPr>
      <w:color w:val="0000FF"/>
      <w:u w:val="single"/>
    </w:rPr>
  </w:style>
  <w:style w:type="paragraph" w:styleId="ListParagraph">
    <w:name w:val="List Paragraph"/>
    <w:basedOn w:val="Normal"/>
    <w:uiPriority w:val="34"/>
    <w:qFormat/>
    <w:rsid w:val="008A7C74"/>
    <w:pPr>
      <w:ind w:left="720"/>
      <w:contextualSpacing/>
    </w:pPr>
    <w:rPr>
      <w:rFonts w:eastAsia="Calibri"/>
      <w:sz w:val="24"/>
      <w:szCs w:val="24"/>
      <w:lang w:val="en-GB"/>
    </w:rPr>
  </w:style>
  <w:style w:type="character" w:customStyle="1" w:styleId="BodyTextChar">
    <w:name w:val="Body Text Char"/>
    <w:link w:val="BodyText"/>
    <w:semiHidden/>
    <w:rsid w:val="00F83ACD"/>
    <w:rPr>
      <w:sz w:val="24"/>
      <w:szCs w:val="24"/>
    </w:rPr>
  </w:style>
  <w:style w:type="character" w:customStyle="1" w:styleId="HeaderChar">
    <w:name w:val="Header Char"/>
    <w:link w:val="Header"/>
    <w:uiPriority w:val="99"/>
    <w:rsid w:val="00FC4C2C"/>
  </w:style>
  <w:style w:type="character" w:customStyle="1" w:styleId="FooterChar">
    <w:name w:val="Footer Char"/>
    <w:link w:val="Footer"/>
    <w:uiPriority w:val="99"/>
    <w:rsid w:val="00822BEE"/>
  </w:style>
  <w:style w:type="character" w:customStyle="1" w:styleId="TitleChar">
    <w:name w:val="Title Char"/>
    <w:link w:val="Title"/>
    <w:rsid w:val="00F93A0D"/>
    <w:rPr>
      <w:b/>
      <w:bCs/>
      <w:sz w:val="28"/>
      <w:szCs w:val="28"/>
    </w:rPr>
  </w:style>
  <w:style w:type="character" w:customStyle="1" w:styleId="UnresolvedMention1">
    <w:name w:val="Unresolved Mention1"/>
    <w:basedOn w:val="DefaultParagraphFont"/>
    <w:uiPriority w:val="99"/>
    <w:semiHidden/>
    <w:unhideWhenUsed/>
    <w:rsid w:val="00D31DA1"/>
    <w:rPr>
      <w:color w:val="605E5C"/>
      <w:shd w:val="clear" w:color="auto" w:fill="E1DFDD"/>
    </w:rPr>
  </w:style>
  <w:style w:type="character" w:styleId="FollowedHyperlink">
    <w:name w:val="FollowedHyperlink"/>
    <w:basedOn w:val="DefaultParagraphFont"/>
    <w:uiPriority w:val="99"/>
    <w:semiHidden/>
    <w:unhideWhenUsed/>
    <w:rsid w:val="008B71E4"/>
    <w:rPr>
      <w:color w:val="954F72" w:themeColor="followedHyperlink"/>
      <w:u w:val="single"/>
    </w:rPr>
  </w:style>
  <w:style w:type="character" w:styleId="UnresolvedMention">
    <w:name w:val="Unresolved Mention"/>
    <w:basedOn w:val="DefaultParagraphFont"/>
    <w:uiPriority w:val="99"/>
    <w:semiHidden/>
    <w:unhideWhenUsed/>
    <w:rsid w:val="00E20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13129">
      <w:bodyDiv w:val="1"/>
      <w:marLeft w:val="0"/>
      <w:marRight w:val="0"/>
      <w:marTop w:val="0"/>
      <w:marBottom w:val="0"/>
      <w:divBdr>
        <w:top w:val="none" w:sz="0" w:space="0" w:color="auto"/>
        <w:left w:val="none" w:sz="0" w:space="0" w:color="auto"/>
        <w:bottom w:val="none" w:sz="0" w:space="0" w:color="auto"/>
        <w:right w:val="none" w:sz="0" w:space="0" w:color="auto"/>
      </w:divBdr>
    </w:div>
    <w:div w:id="1089815320">
      <w:bodyDiv w:val="1"/>
      <w:marLeft w:val="0"/>
      <w:marRight w:val="0"/>
      <w:marTop w:val="0"/>
      <w:marBottom w:val="0"/>
      <w:divBdr>
        <w:top w:val="none" w:sz="0" w:space="0" w:color="auto"/>
        <w:left w:val="none" w:sz="0" w:space="0" w:color="auto"/>
        <w:bottom w:val="none" w:sz="0" w:space="0" w:color="auto"/>
        <w:right w:val="none" w:sz="0" w:space="0" w:color="auto"/>
      </w:divBdr>
    </w:div>
    <w:div w:id="12878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statsmauritius.govmu.org" TargetMode="External"/><Relationship Id="rId3" Type="http://schemas.openxmlformats.org/officeDocument/2006/relationships/customXml" Target="../customXml/item3.xml"/><Relationship Id="rId21" Type="http://schemas.openxmlformats.org/officeDocument/2006/relationships/hyperlink" Target="mailto:mjawahir@govmu.org"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yperlink" Target="https://statsmauritius.govmu.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atsmauritius.govmu.org/Pages/Statistics/By_Subject/Public_Finance/Public_Finan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sm-pubfin@govm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6B187-FBF7-4277-9AAB-8556E74DE9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061024-73D3-4DE1-941A-EFD3A8AFD28A}">
  <ds:schemaRefs>
    <ds:schemaRef ds:uri="http://schemas.openxmlformats.org/officeDocument/2006/bibliography"/>
  </ds:schemaRefs>
</ds:datastoreItem>
</file>

<file path=customXml/itemProps3.xml><?xml version="1.0" encoding="utf-8"?>
<ds:datastoreItem xmlns:ds="http://schemas.openxmlformats.org/officeDocument/2006/customXml" ds:itemID="{C5DA7A12-1CB4-4398-A657-3C030A340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16750-2DC7-4231-8153-EC8005A1B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7531</TotalTime>
  <Pages>11</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SOCIAL SECURITY STATISTICS</vt:lpstr>
    </vt:vector>
  </TitlesOfParts>
  <Company/>
  <LinksUpToDate>false</LinksUpToDate>
  <CharactersWithSpaces>30214</CharactersWithSpaces>
  <SharedDoc>false</SharedDoc>
  <HLinks>
    <vt:vector size="24" baseType="variant">
      <vt:variant>
        <vt:i4>7602241</vt:i4>
      </vt:variant>
      <vt:variant>
        <vt:i4>18</vt:i4>
      </vt:variant>
      <vt:variant>
        <vt:i4>0</vt:i4>
      </vt:variant>
      <vt:variant>
        <vt:i4>5</vt:i4>
      </vt:variant>
      <vt:variant>
        <vt:lpwstr>mailto:pmulliah@govmu.org</vt:lpwstr>
      </vt:variant>
      <vt:variant>
        <vt:lpwstr/>
      </vt:variant>
      <vt:variant>
        <vt:i4>7798869</vt:i4>
      </vt:variant>
      <vt:variant>
        <vt:i4>15</vt:i4>
      </vt:variant>
      <vt:variant>
        <vt:i4>0</vt:i4>
      </vt:variant>
      <vt:variant>
        <vt:i4>5</vt:i4>
      </vt:variant>
      <vt:variant>
        <vt:lpwstr>mailto:aramasamy@govmu.org</vt:lpwstr>
      </vt:variant>
      <vt:variant>
        <vt:lpwstr/>
      </vt:variant>
      <vt:variant>
        <vt:i4>458766</vt:i4>
      </vt:variant>
      <vt:variant>
        <vt:i4>12</vt:i4>
      </vt:variant>
      <vt:variant>
        <vt:i4>0</vt:i4>
      </vt:variant>
      <vt:variant>
        <vt:i4>5</vt:i4>
      </vt:variant>
      <vt:variant>
        <vt:lpwstr>http://statsmauritius.govmu.org/</vt:lpwstr>
      </vt:variant>
      <vt:variant>
        <vt:lpwstr/>
      </vt:variant>
      <vt:variant>
        <vt:i4>458766</vt:i4>
      </vt:variant>
      <vt:variant>
        <vt:i4>9</vt:i4>
      </vt:variant>
      <vt:variant>
        <vt:i4>0</vt:i4>
      </vt:variant>
      <vt:variant>
        <vt:i4>5</vt:i4>
      </vt:variant>
      <vt:variant>
        <vt:lpwstr>http://statsmauritius.govmu.org/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STATISTICS</dc:title>
  <dc:creator>Rooksana Moraby</dc:creator>
  <cp:lastModifiedBy>Meethoo Jawahir</cp:lastModifiedBy>
  <cp:revision>426</cp:revision>
  <cp:lastPrinted>2025-09-15T05:08:00Z</cp:lastPrinted>
  <dcterms:created xsi:type="dcterms:W3CDTF">2025-02-13T09:43:00Z</dcterms:created>
  <dcterms:modified xsi:type="dcterms:W3CDTF">2025-09-18T05:45:00Z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