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592639" w14:textId="77777777" w:rsidR="0077503D" w:rsidRPr="008B188F" w:rsidRDefault="0077503D" w:rsidP="00BF7875">
      <w:pPr>
        <w:pStyle w:val="BodyTextIndent"/>
        <w:spacing w:line="264" w:lineRule="auto"/>
        <w:ind w:right="115" w:firstLine="0"/>
        <w:rPr>
          <w:szCs w:val="24"/>
          <w:lang w:val="en-GB"/>
        </w:rPr>
      </w:pPr>
    </w:p>
    <w:p w14:paraId="3A1C2369" w14:textId="3905B1CD" w:rsidR="007072FC" w:rsidRDefault="007072FC" w:rsidP="00BF7875">
      <w:pPr>
        <w:pStyle w:val="BodyTextIndent"/>
        <w:spacing w:line="264" w:lineRule="auto"/>
        <w:ind w:right="115" w:firstLine="0"/>
        <w:rPr>
          <w:szCs w:val="24"/>
          <w:lang w:val="en-GB"/>
        </w:rPr>
      </w:pPr>
    </w:p>
    <w:p w14:paraId="2A82C4B7" w14:textId="75C15FA4" w:rsidR="0090487D" w:rsidRDefault="0090487D" w:rsidP="00BF7875">
      <w:pPr>
        <w:pStyle w:val="BodyTextIndent"/>
        <w:spacing w:line="264" w:lineRule="auto"/>
        <w:ind w:right="115" w:firstLine="0"/>
        <w:rPr>
          <w:szCs w:val="24"/>
          <w:lang w:val="en-GB"/>
        </w:rPr>
      </w:pPr>
    </w:p>
    <w:p w14:paraId="167F1B81" w14:textId="77777777" w:rsidR="0090487D" w:rsidRPr="008B188F" w:rsidRDefault="0090487D" w:rsidP="00BF7875">
      <w:pPr>
        <w:pStyle w:val="BodyTextIndent"/>
        <w:spacing w:line="264" w:lineRule="auto"/>
        <w:ind w:right="115" w:firstLine="0"/>
        <w:rPr>
          <w:szCs w:val="24"/>
          <w:lang w:val="en-GB"/>
        </w:rPr>
      </w:pPr>
    </w:p>
    <w:p w14:paraId="648750A7" w14:textId="4D036E17" w:rsidR="0077503D" w:rsidRPr="008B188F" w:rsidRDefault="00F64631" w:rsidP="00627CF3">
      <w:pPr>
        <w:pStyle w:val="Heading1"/>
        <w:tabs>
          <w:tab w:val="left" w:pos="90"/>
        </w:tabs>
        <w:ind w:right="83"/>
        <w:rPr>
          <w:lang w:val="en-GB"/>
        </w:rPr>
      </w:pPr>
      <w:r>
        <w:rPr>
          <w:lang w:val="en-GB"/>
        </w:rPr>
        <w:t>WAGE RATE INDEX</w:t>
      </w:r>
      <w:r w:rsidR="0077503D" w:rsidRPr="008B188F">
        <w:rPr>
          <w:lang w:val="en-GB"/>
        </w:rPr>
        <w:t xml:space="preserve"> (WRI)</w:t>
      </w:r>
    </w:p>
    <w:p w14:paraId="362E0AE2" w14:textId="5350CE6D" w:rsidR="0077503D" w:rsidRPr="008B188F" w:rsidRDefault="00083DFB" w:rsidP="00627CF3">
      <w:pPr>
        <w:tabs>
          <w:tab w:val="left" w:pos="90"/>
        </w:tabs>
        <w:jc w:val="center"/>
        <w:rPr>
          <w:b/>
          <w:i/>
          <w:sz w:val="22"/>
        </w:rPr>
      </w:pPr>
      <w:r w:rsidRPr="008B188F">
        <w:rPr>
          <w:b/>
          <w:i/>
          <w:sz w:val="22"/>
        </w:rPr>
        <w:t>(Base: fourth quarter 20</w:t>
      </w:r>
      <w:r w:rsidR="004E2FD0">
        <w:rPr>
          <w:b/>
          <w:i/>
          <w:sz w:val="22"/>
        </w:rPr>
        <w:t>21</w:t>
      </w:r>
      <w:r w:rsidRPr="008B188F">
        <w:rPr>
          <w:b/>
          <w:i/>
          <w:sz w:val="22"/>
        </w:rPr>
        <w:t xml:space="preserve"> = 100)</w:t>
      </w:r>
    </w:p>
    <w:p w14:paraId="1F644F61" w14:textId="77777777" w:rsidR="00083DFB" w:rsidRPr="008B188F" w:rsidRDefault="00083DFB" w:rsidP="00627CF3">
      <w:pPr>
        <w:tabs>
          <w:tab w:val="left" w:pos="90"/>
        </w:tabs>
        <w:jc w:val="center"/>
        <w:rPr>
          <w:b/>
          <w:i/>
          <w:sz w:val="22"/>
        </w:rPr>
      </w:pPr>
    </w:p>
    <w:p w14:paraId="6645F675" w14:textId="1E03252E" w:rsidR="0077503D" w:rsidRPr="008B188F" w:rsidRDefault="00C35223" w:rsidP="00627CF3">
      <w:pPr>
        <w:tabs>
          <w:tab w:val="left" w:pos="90"/>
        </w:tabs>
        <w:jc w:val="center"/>
        <w:rPr>
          <w:b/>
          <w:sz w:val="22"/>
        </w:rPr>
      </w:pPr>
      <w:r>
        <w:rPr>
          <w:b/>
          <w:sz w:val="24"/>
          <w:szCs w:val="24"/>
        </w:rPr>
        <w:t>Third</w:t>
      </w:r>
      <w:r w:rsidR="00364542">
        <w:rPr>
          <w:b/>
          <w:sz w:val="24"/>
          <w:szCs w:val="24"/>
        </w:rPr>
        <w:t xml:space="preserve"> </w:t>
      </w:r>
      <w:r w:rsidR="0077503D" w:rsidRPr="008B188F">
        <w:rPr>
          <w:b/>
          <w:sz w:val="24"/>
          <w:szCs w:val="24"/>
        </w:rPr>
        <w:t>Quarter</w:t>
      </w:r>
      <w:r w:rsidR="00B250AB">
        <w:rPr>
          <w:b/>
          <w:sz w:val="24"/>
          <w:szCs w:val="24"/>
        </w:rPr>
        <w:t xml:space="preserve"> </w:t>
      </w:r>
      <w:r w:rsidR="0077503D" w:rsidRPr="008B188F">
        <w:rPr>
          <w:b/>
          <w:sz w:val="24"/>
          <w:szCs w:val="24"/>
        </w:rPr>
        <w:t>20</w:t>
      </w:r>
      <w:r w:rsidR="005641B1" w:rsidRPr="008B188F">
        <w:rPr>
          <w:b/>
          <w:sz w:val="24"/>
          <w:szCs w:val="24"/>
        </w:rPr>
        <w:t>2</w:t>
      </w:r>
      <w:r w:rsidR="00E1517E">
        <w:rPr>
          <w:b/>
          <w:sz w:val="24"/>
          <w:szCs w:val="24"/>
        </w:rPr>
        <w:t>4</w:t>
      </w:r>
    </w:p>
    <w:p w14:paraId="250CC584" w14:textId="77777777" w:rsidR="0077503D" w:rsidRPr="008B188F" w:rsidRDefault="0077503D" w:rsidP="00627CF3">
      <w:pPr>
        <w:tabs>
          <w:tab w:val="left" w:pos="90"/>
        </w:tabs>
        <w:jc w:val="both"/>
        <w:rPr>
          <w:b/>
          <w:sz w:val="22"/>
        </w:rPr>
      </w:pPr>
    </w:p>
    <w:p w14:paraId="760218B7" w14:textId="77777777" w:rsidR="0077503D" w:rsidRPr="008B188F" w:rsidRDefault="0077503D" w:rsidP="00627CF3">
      <w:pPr>
        <w:numPr>
          <w:ilvl w:val="0"/>
          <w:numId w:val="1"/>
        </w:numPr>
        <w:tabs>
          <w:tab w:val="left" w:pos="90"/>
          <w:tab w:val="num" w:pos="284"/>
        </w:tabs>
        <w:ind w:left="284" w:right="171" w:hanging="284"/>
        <w:jc w:val="both"/>
        <w:rPr>
          <w:b/>
          <w:sz w:val="22"/>
          <w:szCs w:val="22"/>
        </w:rPr>
      </w:pPr>
      <w:r w:rsidRPr="008B188F">
        <w:rPr>
          <w:b/>
          <w:sz w:val="22"/>
          <w:szCs w:val="22"/>
        </w:rPr>
        <w:t>Introduction</w:t>
      </w:r>
    </w:p>
    <w:p w14:paraId="497B146C" w14:textId="77777777" w:rsidR="0077503D" w:rsidRPr="008B188F" w:rsidRDefault="0077503D" w:rsidP="00627CF3">
      <w:pPr>
        <w:pStyle w:val="BodyTextIndent"/>
        <w:tabs>
          <w:tab w:val="left" w:pos="90"/>
        </w:tabs>
        <w:ind w:right="176" w:firstLine="0"/>
        <w:rPr>
          <w:b/>
          <w:sz w:val="12"/>
          <w:szCs w:val="12"/>
          <w:lang w:val="en-GB"/>
        </w:rPr>
      </w:pPr>
    </w:p>
    <w:p w14:paraId="44D7E175" w14:textId="6B3280B9" w:rsidR="00BB74A9" w:rsidRDefault="00BB74A9" w:rsidP="00BB74A9">
      <w:pPr>
        <w:pStyle w:val="BodyTextIndent"/>
        <w:ind w:right="113" w:firstLine="0"/>
        <w:rPr>
          <w:sz w:val="22"/>
          <w:szCs w:val="22"/>
          <w:lang w:val="en-GB"/>
        </w:rPr>
      </w:pPr>
      <w:r>
        <w:rPr>
          <w:sz w:val="22"/>
          <w:szCs w:val="22"/>
          <w:lang w:val="en-GB"/>
        </w:rPr>
        <w:t xml:space="preserve">This issue of the Economic and Social Indicators (ESI) on </w:t>
      </w:r>
      <w:r w:rsidR="00F64631">
        <w:rPr>
          <w:sz w:val="22"/>
          <w:szCs w:val="22"/>
          <w:lang w:val="en-GB"/>
        </w:rPr>
        <w:t>Wage Rate Index</w:t>
      </w:r>
      <w:r>
        <w:rPr>
          <w:sz w:val="22"/>
          <w:szCs w:val="22"/>
          <w:lang w:val="en-GB"/>
        </w:rPr>
        <w:t xml:space="preserve"> presents data for the </w:t>
      </w:r>
      <w:r w:rsidR="00C35223">
        <w:rPr>
          <w:sz w:val="22"/>
          <w:szCs w:val="22"/>
          <w:lang w:val="en-GB"/>
        </w:rPr>
        <w:t>third</w:t>
      </w:r>
      <w:r>
        <w:rPr>
          <w:sz w:val="22"/>
          <w:szCs w:val="22"/>
          <w:lang w:val="en-GB"/>
        </w:rPr>
        <w:t xml:space="preserve"> quarter</w:t>
      </w:r>
      <w:r w:rsidR="00E22062">
        <w:rPr>
          <w:sz w:val="22"/>
          <w:szCs w:val="22"/>
          <w:lang w:val="en-GB"/>
        </w:rPr>
        <w:t xml:space="preserve"> </w:t>
      </w:r>
      <w:r w:rsidR="00E1517E">
        <w:rPr>
          <w:sz w:val="22"/>
          <w:szCs w:val="22"/>
          <w:lang w:val="en-GB"/>
        </w:rPr>
        <w:t>of</w:t>
      </w:r>
      <w:r>
        <w:rPr>
          <w:sz w:val="22"/>
          <w:szCs w:val="22"/>
          <w:lang w:val="en-GB"/>
        </w:rPr>
        <w:t xml:space="preserve"> 202</w:t>
      </w:r>
      <w:r w:rsidR="00E1517E">
        <w:rPr>
          <w:sz w:val="22"/>
          <w:szCs w:val="22"/>
          <w:lang w:val="en-GB"/>
        </w:rPr>
        <w:t>4</w:t>
      </w:r>
      <w:r>
        <w:rPr>
          <w:sz w:val="22"/>
          <w:szCs w:val="22"/>
          <w:lang w:val="en-GB"/>
        </w:rPr>
        <w:t xml:space="preserve"> using as base the fourth quarter of 2021 (Q</w:t>
      </w:r>
      <w:r>
        <w:rPr>
          <w:sz w:val="22"/>
          <w:szCs w:val="22"/>
          <w:vertAlign w:val="subscript"/>
          <w:lang w:val="en-GB"/>
        </w:rPr>
        <w:t>4</w:t>
      </w:r>
      <w:r>
        <w:rPr>
          <w:sz w:val="22"/>
          <w:szCs w:val="22"/>
          <w:lang w:val="en-GB"/>
        </w:rPr>
        <w:t xml:space="preserve"> 2021=100).</w:t>
      </w:r>
    </w:p>
    <w:p w14:paraId="28F10CC3" w14:textId="77777777" w:rsidR="00BB74A9" w:rsidRDefault="00BB74A9" w:rsidP="00BB74A9">
      <w:pPr>
        <w:pStyle w:val="BodyTextIndent"/>
        <w:ind w:right="113" w:firstLine="0"/>
        <w:rPr>
          <w:sz w:val="16"/>
          <w:szCs w:val="16"/>
          <w:lang w:val="en-GB"/>
        </w:rPr>
      </w:pPr>
    </w:p>
    <w:p w14:paraId="428364B7" w14:textId="778722AF" w:rsidR="00BB74A9" w:rsidRDefault="00BB74A9" w:rsidP="00BB74A9">
      <w:pPr>
        <w:pStyle w:val="BodyTextIndent"/>
        <w:ind w:right="113" w:firstLine="0"/>
        <w:rPr>
          <w:sz w:val="22"/>
          <w:szCs w:val="22"/>
          <w:lang w:val="en-GB"/>
        </w:rPr>
      </w:pPr>
      <w:r>
        <w:rPr>
          <w:sz w:val="22"/>
          <w:szCs w:val="22"/>
          <w:lang w:val="en-GB"/>
        </w:rPr>
        <w:t xml:space="preserve">The </w:t>
      </w:r>
      <w:r w:rsidR="00F64631">
        <w:rPr>
          <w:sz w:val="22"/>
          <w:szCs w:val="22"/>
          <w:lang w:val="en-GB"/>
        </w:rPr>
        <w:t>Wage Rate Index</w:t>
      </w:r>
      <w:r>
        <w:rPr>
          <w:sz w:val="22"/>
          <w:szCs w:val="22"/>
          <w:lang w:val="en-GB"/>
        </w:rPr>
        <w:t xml:space="preserve"> (WRI) measures changes in the price of labour, i.e., changes in the average rates actually paid by employers to their employees for work during normal working hours.</w:t>
      </w:r>
    </w:p>
    <w:p w14:paraId="45BB8C15" w14:textId="77777777" w:rsidR="00BB74A9" w:rsidRDefault="00BB74A9" w:rsidP="00BB74A9">
      <w:pPr>
        <w:pStyle w:val="BodyTextIndent"/>
        <w:ind w:right="113" w:firstLine="0"/>
        <w:rPr>
          <w:sz w:val="12"/>
          <w:szCs w:val="12"/>
          <w:lang w:val="en-GB"/>
        </w:rPr>
      </w:pPr>
    </w:p>
    <w:p w14:paraId="46F9E608" w14:textId="77777777" w:rsidR="00BB74A9" w:rsidRDefault="00BB74A9" w:rsidP="00BB74A9">
      <w:pPr>
        <w:pStyle w:val="BodyTextIndent"/>
        <w:ind w:right="113" w:firstLine="0"/>
        <w:rPr>
          <w:sz w:val="22"/>
          <w:szCs w:val="22"/>
          <w:lang w:val="en-GB"/>
        </w:rPr>
      </w:pPr>
      <w:r>
        <w:rPr>
          <w:sz w:val="22"/>
          <w:szCs w:val="22"/>
          <w:lang w:val="en-GB"/>
        </w:rPr>
        <w:t xml:space="preserve">The methodology used for computing the index is given in the technical note at Annex 1. </w:t>
      </w:r>
    </w:p>
    <w:p w14:paraId="25C871A2" w14:textId="77777777" w:rsidR="00421CC9" w:rsidRPr="008B188F" w:rsidRDefault="00421CC9" w:rsidP="00627CF3">
      <w:pPr>
        <w:pStyle w:val="BodyTextIndent"/>
        <w:ind w:right="113" w:firstLine="0"/>
        <w:rPr>
          <w:sz w:val="22"/>
          <w:szCs w:val="22"/>
          <w:lang w:val="en-GB"/>
        </w:rPr>
      </w:pPr>
    </w:p>
    <w:p w14:paraId="15BC1CC2" w14:textId="49D89C05" w:rsidR="00421CC9" w:rsidRDefault="00421CC9" w:rsidP="00B27404">
      <w:pPr>
        <w:tabs>
          <w:tab w:val="left" w:pos="90"/>
        </w:tabs>
        <w:ind w:right="171"/>
        <w:jc w:val="both"/>
        <w:rPr>
          <w:sz w:val="22"/>
          <w:szCs w:val="22"/>
        </w:rPr>
      </w:pPr>
      <w:r w:rsidRPr="008B188F">
        <w:rPr>
          <w:sz w:val="22"/>
          <w:szCs w:val="22"/>
        </w:rPr>
        <w:t>Indices</w:t>
      </w:r>
      <w:r w:rsidR="00C6321A" w:rsidRPr="008B188F">
        <w:rPr>
          <w:sz w:val="22"/>
          <w:szCs w:val="22"/>
        </w:rPr>
        <w:t>,</w:t>
      </w:r>
      <w:r w:rsidRPr="008B188F">
        <w:rPr>
          <w:sz w:val="22"/>
          <w:szCs w:val="22"/>
        </w:rPr>
        <w:t xml:space="preserve"> presented here</w:t>
      </w:r>
      <w:r w:rsidR="00C6321A" w:rsidRPr="008B188F">
        <w:rPr>
          <w:sz w:val="22"/>
          <w:szCs w:val="22"/>
        </w:rPr>
        <w:t>,</w:t>
      </w:r>
      <w:r w:rsidRPr="008B188F">
        <w:rPr>
          <w:sz w:val="22"/>
          <w:szCs w:val="22"/>
        </w:rPr>
        <w:t xml:space="preserve"> are based on wage rates applicable during the month of </w:t>
      </w:r>
      <w:r w:rsidR="00C35223">
        <w:rPr>
          <w:sz w:val="22"/>
          <w:szCs w:val="22"/>
        </w:rPr>
        <w:t xml:space="preserve">September </w:t>
      </w:r>
      <w:r w:rsidRPr="008B188F">
        <w:rPr>
          <w:sz w:val="22"/>
          <w:szCs w:val="22"/>
        </w:rPr>
        <w:t>202</w:t>
      </w:r>
      <w:r w:rsidR="00E1517E">
        <w:rPr>
          <w:sz w:val="22"/>
          <w:szCs w:val="22"/>
        </w:rPr>
        <w:t>4</w:t>
      </w:r>
      <w:r w:rsidRPr="008B188F">
        <w:rPr>
          <w:sz w:val="22"/>
          <w:szCs w:val="22"/>
        </w:rPr>
        <w:t xml:space="preserve">. </w:t>
      </w:r>
    </w:p>
    <w:p w14:paraId="0EB39BB8" w14:textId="77777777" w:rsidR="00B27404" w:rsidRDefault="00B27404" w:rsidP="00B27404">
      <w:pPr>
        <w:tabs>
          <w:tab w:val="left" w:pos="90"/>
        </w:tabs>
        <w:ind w:left="284" w:right="171"/>
        <w:jc w:val="both"/>
        <w:rPr>
          <w:sz w:val="22"/>
          <w:szCs w:val="22"/>
        </w:rPr>
      </w:pPr>
    </w:p>
    <w:p w14:paraId="06359E8F" w14:textId="77777777" w:rsidR="00421CC9" w:rsidRPr="008B188F" w:rsidRDefault="00421CC9" w:rsidP="00627CF3">
      <w:pPr>
        <w:pStyle w:val="BodyTextIndent"/>
        <w:ind w:right="113" w:firstLine="0"/>
        <w:rPr>
          <w:sz w:val="22"/>
          <w:szCs w:val="22"/>
          <w:lang w:val="en-GB"/>
        </w:rPr>
      </w:pPr>
    </w:p>
    <w:p w14:paraId="52109A4E" w14:textId="4564B301" w:rsidR="00DA0C5B" w:rsidRPr="008B188F" w:rsidRDefault="0092793D" w:rsidP="00627CF3">
      <w:pPr>
        <w:pStyle w:val="BodyTextIndent"/>
        <w:numPr>
          <w:ilvl w:val="0"/>
          <w:numId w:val="1"/>
        </w:numPr>
        <w:tabs>
          <w:tab w:val="clear" w:pos="502"/>
          <w:tab w:val="num" w:pos="284"/>
        </w:tabs>
        <w:ind w:left="284" w:right="113" w:hanging="284"/>
        <w:rPr>
          <w:b/>
          <w:sz w:val="22"/>
          <w:szCs w:val="22"/>
          <w:lang w:val="en-GB"/>
        </w:rPr>
      </w:pPr>
      <w:r w:rsidRPr="008B188F">
        <w:rPr>
          <w:b/>
          <w:sz w:val="22"/>
          <w:szCs w:val="22"/>
          <w:lang w:val="en-GB"/>
        </w:rPr>
        <w:t xml:space="preserve">Movement of the overall </w:t>
      </w:r>
      <w:r w:rsidR="00F64631">
        <w:rPr>
          <w:b/>
          <w:sz w:val="22"/>
          <w:szCs w:val="22"/>
          <w:lang w:val="en-GB"/>
        </w:rPr>
        <w:t>Wage Rate Index</w:t>
      </w:r>
    </w:p>
    <w:p w14:paraId="61FC91AD" w14:textId="77777777" w:rsidR="0077503D" w:rsidRPr="008B188F" w:rsidRDefault="0077503D" w:rsidP="00627CF3">
      <w:pPr>
        <w:pStyle w:val="BodyTextIndent"/>
        <w:ind w:left="357" w:right="113" w:firstLine="0"/>
        <w:rPr>
          <w:sz w:val="16"/>
          <w:szCs w:val="16"/>
          <w:lang w:val="en-GB"/>
        </w:rPr>
      </w:pPr>
    </w:p>
    <w:p w14:paraId="316D96E7" w14:textId="3D784DE6" w:rsidR="009C615B" w:rsidRPr="008B188F" w:rsidRDefault="0077503D" w:rsidP="00627CF3">
      <w:pPr>
        <w:pStyle w:val="BodyTextIndent"/>
        <w:ind w:right="115" w:firstLine="0"/>
        <w:rPr>
          <w:sz w:val="22"/>
          <w:szCs w:val="22"/>
          <w:lang w:val="en-GB"/>
        </w:rPr>
      </w:pPr>
      <w:r w:rsidRPr="008B188F">
        <w:rPr>
          <w:sz w:val="22"/>
          <w:szCs w:val="22"/>
          <w:lang w:val="en-GB"/>
        </w:rPr>
        <w:t xml:space="preserve">The </w:t>
      </w:r>
      <w:r w:rsidR="00F64631">
        <w:rPr>
          <w:sz w:val="22"/>
          <w:szCs w:val="22"/>
          <w:lang w:val="en-GB"/>
        </w:rPr>
        <w:t>Wage Rate Index</w:t>
      </w:r>
      <w:r w:rsidR="006E428F" w:rsidRPr="008B188F">
        <w:rPr>
          <w:sz w:val="22"/>
          <w:szCs w:val="22"/>
          <w:lang w:val="en-GB"/>
        </w:rPr>
        <w:t xml:space="preserve"> </w:t>
      </w:r>
      <w:r w:rsidR="00A26622" w:rsidRPr="008B188F">
        <w:rPr>
          <w:sz w:val="22"/>
          <w:szCs w:val="22"/>
          <w:lang w:val="en-GB"/>
        </w:rPr>
        <w:t>in</w:t>
      </w:r>
      <w:r w:rsidRPr="008B188F">
        <w:rPr>
          <w:sz w:val="22"/>
          <w:szCs w:val="22"/>
          <w:lang w:val="en-GB"/>
        </w:rPr>
        <w:t>creased by</w:t>
      </w:r>
      <w:r w:rsidR="0047369E" w:rsidRPr="008B188F">
        <w:rPr>
          <w:sz w:val="22"/>
          <w:szCs w:val="22"/>
          <w:lang w:val="en-GB"/>
        </w:rPr>
        <w:t xml:space="preserve"> </w:t>
      </w:r>
      <w:r w:rsidR="00480730">
        <w:rPr>
          <w:sz w:val="22"/>
          <w:szCs w:val="22"/>
          <w:lang w:val="en-GB"/>
        </w:rPr>
        <w:t>4</w:t>
      </w:r>
      <w:r w:rsidR="00952A87" w:rsidRPr="008B188F">
        <w:rPr>
          <w:sz w:val="22"/>
          <w:szCs w:val="22"/>
          <w:lang w:val="en-GB"/>
        </w:rPr>
        <w:t>.</w:t>
      </w:r>
      <w:r w:rsidR="00480730">
        <w:rPr>
          <w:sz w:val="22"/>
          <w:szCs w:val="22"/>
          <w:lang w:val="en-GB"/>
        </w:rPr>
        <w:t>2</w:t>
      </w:r>
      <w:r w:rsidRPr="008B188F">
        <w:rPr>
          <w:sz w:val="22"/>
          <w:szCs w:val="22"/>
          <w:lang w:val="en-GB"/>
        </w:rPr>
        <w:t xml:space="preserve">% or </w:t>
      </w:r>
      <w:r w:rsidR="00480730">
        <w:rPr>
          <w:sz w:val="22"/>
          <w:szCs w:val="22"/>
          <w:lang w:val="en-GB"/>
        </w:rPr>
        <w:t>5</w:t>
      </w:r>
      <w:r w:rsidR="00952A87" w:rsidRPr="008B188F">
        <w:rPr>
          <w:sz w:val="22"/>
          <w:szCs w:val="22"/>
          <w:lang w:val="en-GB"/>
        </w:rPr>
        <w:t>.</w:t>
      </w:r>
      <w:r w:rsidR="00480730">
        <w:rPr>
          <w:sz w:val="22"/>
          <w:szCs w:val="22"/>
          <w:lang w:val="en-GB"/>
        </w:rPr>
        <w:t>2</w:t>
      </w:r>
      <w:r w:rsidR="00C434A0" w:rsidRPr="008B188F">
        <w:rPr>
          <w:sz w:val="22"/>
          <w:szCs w:val="22"/>
          <w:lang w:val="en-GB"/>
        </w:rPr>
        <w:t xml:space="preserve"> </w:t>
      </w:r>
      <w:r w:rsidR="008628C2" w:rsidRPr="008B188F">
        <w:rPr>
          <w:sz w:val="22"/>
          <w:szCs w:val="22"/>
          <w:lang w:val="en-GB"/>
        </w:rPr>
        <w:t>point</w:t>
      </w:r>
      <w:r w:rsidR="00480730">
        <w:rPr>
          <w:sz w:val="22"/>
          <w:szCs w:val="22"/>
          <w:lang w:val="en-GB"/>
        </w:rPr>
        <w:t>s</w:t>
      </w:r>
      <w:r w:rsidRPr="008B188F">
        <w:rPr>
          <w:sz w:val="22"/>
          <w:szCs w:val="22"/>
          <w:lang w:val="en-GB"/>
        </w:rPr>
        <w:t xml:space="preserve"> to reach </w:t>
      </w:r>
      <w:r w:rsidR="000178C9">
        <w:rPr>
          <w:sz w:val="22"/>
          <w:szCs w:val="22"/>
          <w:lang w:val="en-GB"/>
        </w:rPr>
        <w:t>1</w:t>
      </w:r>
      <w:r w:rsidR="004133D3">
        <w:rPr>
          <w:sz w:val="22"/>
          <w:szCs w:val="22"/>
          <w:lang w:val="en-GB"/>
        </w:rPr>
        <w:t>2</w:t>
      </w:r>
      <w:r w:rsidR="00480730">
        <w:rPr>
          <w:sz w:val="22"/>
          <w:szCs w:val="22"/>
          <w:lang w:val="en-GB"/>
        </w:rPr>
        <w:t>9</w:t>
      </w:r>
      <w:r w:rsidR="000178C9">
        <w:rPr>
          <w:sz w:val="22"/>
          <w:szCs w:val="22"/>
          <w:lang w:val="en-GB"/>
        </w:rPr>
        <w:t>.</w:t>
      </w:r>
      <w:r w:rsidR="00480730">
        <w:rPr>
          <w:sz w:val="22"/>
          <w:szCs w:val="22"/>
          <w:lang w:val="en-GB"/>
        </w:rPr>
        <w:t>1</w:t>
      </w:r>
      <w:r w:rsidRPr="008B188F">
        <w:rPr>
          <w:sz w:val="22"/>
          <w:szCs w:val="22"/>
          <w:lang w:val="en-GB"/>
        </w:rPr>
        <w:t xml:space="preserve"> in </w:t>
      </w:r>
      <w:r w:rsidR="00C35223">
        <w:rPr>
          <w:sz w:val="22"/>
          <w:szCs w:val="22"/>
          <w:lang w:val="en-GB"/>
        </w:rPr>
        <w:t>third</w:t>
      </w:r>
      <w:r w:rsidR="00F31710">
        <w:rPr>
          <w:sz w:val="22"/>
          <w:szCs w:val="22"/>
          <w:lang w:val="en-GB"/>
        </w:rPr>
        <w:t xml:space="preserve"> </w:t>
      </w:r>
      <w:r w:rsidRPr="008B188F">
        <w:rPr>
          <w:sz w:val="22"/>
          <w:szCs w:val="22"/>
          <w:lang w:val="en-GB"/>
        </w:rPr>
        <w:t>quarter 20</w:t>
      </w:r>
      <w:r w:rsidR="005641B1" w:rsidRPr="008B188F">
        <w:rPr>
          <w:sz w:val="22"/>
          <w:szCs w:val="22"/>
          <w:lang w:val="en-GB"/>
        </w:rPr>
        <w:t>2</w:t>
      </w:r>
      <w:r w:rsidR="004133D3">
        <w:rPr>
          <w:sz w:val="22"/>
          <w:szCs w:val="22"/>
          <w:lang w:val="en-GB"/>
        </w:rPr>
        <w:t>4</w:t>
      </w:r>
      <w:r w:rsidR="00CD0F30" w:rsidRPr="008B188F">
        <w:rPr>
          <w:sz w:val="22"/>
          <w:szCs w:val="22"/>
          <w:lang w:val="en-GB"/>
        </w:rPr>
        <w:t xml:space="preserve"> from </w:t>
      </w:r>
      <w:r w:rsidR="00A1378C">
        <w:rPr>
          <w:sz w:val="22"/>
          <w:szCs w:val="22"/>
          <w:lang w:val="en-GB"/>
        </w:rPr>
        <w:t>1</w:t>
      </w:r>
      <w:r w:rsidR="002D4CBA">
        <w:rPr>
          <w:sz w:val="22"/>
          <w:szCs w:val="22"/>
          <w:lang w:val="en-GB"/>
        </w:rPr>
        <w:t>23</w:t>
      </w:r>
      <w:r w:rsidR="00A1378C">
        <w:rPr>
          <w:sz w:val="22"/>
          <w:szCs w:val="22"/>
          <w:lang w:val="en-GB"/>
        </w:rPr>
        <w:t>.</w:t>
      </w:r>
      <w:r w:rsidR="00480730">
        <w:rPr>
          <w:sz w:val="22"/>
          <w:szCs w:val="22"/>
          <w:lang w:val="en-GB"/>
        </w:rPr>
        <w:t>9</w:t>
      </w:r>
      <w:r w:rsidRPr="008B188F">
        <w:rPr>
          <w:sz w:val="22"/>
          <w:szCs w:val="22"/>
          <w:lang w:val="en-GB"/>
        </w:rPr>
        <w:t xml:space="preserve"> in </w:t>
      </w:r>
      <w:r w:rsidR="00C35223">
        <w:rPr>
          <w:sz w:val="22"/>
          <w:szCs w:val="22"/>
          <w:lang w:val="en-GB"/>
        </w:rPr>
        <w:t>second</w:t>
      </w:r>
      <w:r w:rsidR="00CD0F30" w:rsidRPr="008B188F">
        <w:rPr>
          <w:sz w:val="22"/>
          <w:szCs w:val="22"/>
          <w:lang w:val="en-GB"/>
        </w:rPr>
        <w:t xml:space="preserve"> quarter 20</w:t>
      </w:r>
      <w:r w:rsidR="005641B1" w:rsidRPr="008B188F">
        <w:rPr>
          <w:sz w:val="22"/>
          <w:szCs w:val="22"/>
          <w:lang w:val="en-GB"/>
        </w:rPr>
        <w:t>2</w:t>
      </w:r>
      <w:r w:rsidR="002D4CBA">
        <w:rPr>
          <w:sz w:val="22"/>
          <w:szCs w:val="22"/>
          <w:lang w:val="en-GB"/>
        </w:rPr>
        <w:t>4</w:t>
      </w:r>
      <w:r w:rsidR="00952A87" w:rsidRPr="008B188F">
        <w:rPr>
          <w:sz w:val="22"/>
          <w:szCs w:val="22"/>
          <w:lang w:val="en-GB"/>
        </w:rPr>
        <w:t xml:space="preserve"> </w:t>
      </w:r>
      <w:r w:rsidR="002802DA" w:rsidRPr="008B188F">
        <w:rPr>
          <w:sz w:val="22"/>
          <w:szCs w:val="22"/>
          <w:lang w:val="en-GB"/>
        </w:rPr>
        <w:t>(Table</w:t>
      </w:r>
      <w:r w:rsidR="00E74611" w:rsidRPr="008B188F">
        <w:rPr>
          <w:sz w:val="22"/>
          <w:szCs w:val="22"/>
          <w:lang w:val="en-GB"/>
        </w:rPr>
        <w:t>s</w:t>
      </w:r>
      <w:r w:rsidR="002802DA" w:rsidRPr="008B188F">
        <w:rPr>
          <w:sz w:val="22"/>
          <w:szCs w:val="22"/>
          <w:lang w:val="en-GB"/>
        </w:rPr>
        <w:t xml:space="preserve"> 1 and 2)</w:t>
      </w:r>
      <w:r w:rsidR="00471867" w:rsidRPr="008B188F">
        <w:rPr>
          <w:sz w:val="22"/>
          <w:szCs w:val="22"/>
          <w:lang w:val="en-GB"/>
        </w:rPr>
        <w:t>.</w:t>
      </w:r>
    </w:p>
    <w:p w14:paraId="5442FBD3" w14:textId="45962068" w:rsidR="004771D3" w:rsidRDefault="004771D3" w:rsidP="00627CF3">
      <w:pPr>
        <w:pStyle w:val="BodyTextIndent"/>
        <w:ind w:right="113" w:firstLine="0"/>
        <w:rPr>
          <w:sz w:val="22"/>
          <w:szCs w:val="22"/>
          <w:lang w:val="en-GB"/>
        </w:rPr>
      </w:pPr>
    </w:p>
    <w:p w14:paraId="0199A285" w14:textId="0A12A5AF" w:rsidR="00F31710" w:rsidRPr="008B188F" w:rsidRDefault="00F31710" w:rsidP="00F31710">
      <w:pPr>
        <w:pStyle w:val="BodyTextIndent"/>
        <w:ind w:right="115" w:firstLine="0"/>
        <w:rPr>
          <w:sz w:val="22"/>
          <w:szCs w:val="22"/>
          <w:lang w:val="en-GB"/>
        </w:rPr>
      </w:pPr>
      <w:r w:rsidRPr="008B188F">
        <w:rPr>
          <w:sz w:val="22"/>
          <w:szCs w:val="22"/>
          <w:lang w:val="en-GB"/>
        </w:rPr>
        <w:t xml:space="preserve">Compared to </w:t>
      </w:r>
      <w:r w:rsidR="00C35223">
        <w:rPr>
          <w:sz w:val="22"/>
          <w:szCs w:val="22"/>
          <w:lang w:val="en-GB"/>
        </w:rPr>
        <w:t>third</w:t>
      </w:r>
      <w:r w:rsidRPr="008B188F">
        <w:rPr>
          <w:sz w:val="22"/>
          <w:szCs w:val="22"/>
          <w:lang w:val="en-GB"/>
        </w:rPr>
        <w:t xml:space="preserve"> quarter 202</w:t>
      </w:r>
      <w:r w:rsidR="004133D3">
        <w:rPr>
          <w:sz w:val="22"/>
          <w:szCs w:val="22"/>
          <w:lang w:val="en-GB"/>
        </w:rPr>
        <w:t>3</w:t>
      </w:r>
      <w:r w:rsidRPr="008B188F">
        <w:rPr>
          <w:sz w:val="22"/>
          <w:szCs w:val="22"/>
          <w:lang w:val="en-GB"/>
        </w:rPr>
        <w:t xml:space="preserve">, the </w:t>
      </w:r>
      <w:r w:rsidR="00F64631">
        <w:rPr>
          <w:sz w:val="22"/>
          <w:szCs w:val="22"/>
          <w:lang w:val="en-GB"/>
        </w:rPr>
        <w:t>Wage Rate Index</w:t>
      </w:r>
      <w:r w:rsidRPr="008B188F">
        <w:rPr>
          <w:sz w:val="22"/>
          <w:szCs w:val="22"/>
          <w:lang w:val="en-GB"/>
        </w:rPr>
        <w:t>, which stood at 1</w:t>
      </w:r>
      <w:r w:rsidR="004133D3">
        <w:rPr>
          <w:sz w:val="22"/>
          <w:szCs w:val="22"/>
          <w:lang w:val="en-GB"/>
        </w:rPr>
        <w:t>1</w:t>
      </w:r>
      <w:r w:rsidR="00480730">
        <w:rPr>
          <w:sz w:val="22"/>
          <w:szCs w:val="22"/>
          <w:lang w:val="en-GB"/>
        </w:rPr>
        <w:t>2</w:t>
      </w:r>
      <w:r w:rsidRPr="008B188F">
        <w:rPr>
          <w:sz w:val="22"/>
          <w:szCs w:val="22"/>
          <w:lang w:val="en-GB"/>
        </w:rPr>
        <w:t>.</w:t>
      </w:r>
      <w:r w:rsidR="00480730">
        <w:rPr>
          <w:sz w:val="22"/>
          <w:szCs w:val="22"/>
          <w:lang w:val="en-GB"/>
        </w:rPr>
        <w:t>2</w:t>
      </w:r>
      <w:r w:rsidRPr="008B188F">
        <w:rPr>
          <w:sz w:val="22"/>
          <w:szCs w:val="22"/>
          <w:lang w:val="en-GB"/>
        </w:rPr>
        <w:t xml:space="preserve">, increased by </w:t>
      </w:r>
      <w:r w:rsidR="004133D3">
        <w:rPr>
          <w:sz w:val="22"/>
          <w:szCs w:val="22"/>
          <w:lang w:val="en-GB"/>
        </w:rPr>
        <w:t>1</w:t>
      </w:r>
      <w:r w:rsidR="00480730">
        <w:rPr>
          <w:sz w:val="22"/>
          <w:szCs w:val="22"/>
          <w:lang w:val="en-GB"/>
        </w:rPr>
        <w:t>5</w:t>
      </w:r>
      <w:r>
        <w:rPr>
          <w:sz w:val="22"/>
          <w:szCs w:val="22"/>
          <w:lang w:val="en-GB"/>
        </w:rPr>
        <w:t>.</w:t>
      </w:r>
      <w:r w:rsidR="00480730">
        <w:rPr>
          <w:sz w:val="22"/>
          <w:szCs w:val="22"/>
          <w:lang w:val="en-GB"/>
        </w:rPr>
        <w:t>1</w:t>
      </w:r>
      <w:r w:rsidRPr="008B188F">
        <w:rPr>
          <w:sz w:val="22"/>
          <w:szCs w:val="22"/>
          <w:lang w:val="en-GB"/>
        </w:rPr>
        <w:t xml:space="preserve">% or </w:t>
      </w:r>
      <w:r w:rsidR="004133D3">
        <w:rPr>
          <w:sz w:val="22"/>
          <w:szCs w:val="22"/>
          <w:lang w:val="en-GB"/>
        </w:rPr>
        <w:t>1</w:t>
      </w:r>
      <w:r w:rsidR="00480730">
        <w:rPr>
          <w:sz w:val="22"/>
          <w:szCs w:val="22"/>
          <w:lang w:val="en-GB"/>
        </w:rPr>
        <w:t>6</w:t>
      </w:r>
      <w:r w:rsidRPr="008B188F">
        <w:rPr>
          <w:sz w:val="22"/>
          <w:szCs w:val="22"/>
          <w:lang w:val="en-GB"/>
        </w:rPr>
        <w:t>.</w:t>
      </w:r>
      <w:r w:rsidR="00480730">
        <w:rPr>
          <w:sz w:val="22"/>
          <w:szCs w:val="22"/>
          <w:lang w:val="en-GB"/>
        </w:rPr>
        <w:t>9</w:t>
      </w:r>
      <w:r w:rsidR="0093673B">
        <w:rPr>
          <w:sz w:val="22"/>
          <w:szCs w:val="22"/>
          <w:lang w:val="en-GB"/>
        </w:rPr>
        <w:t xml:space="preserve"> </w:t>
      </w:r>
      <w:r w:rsidRPr="008B188F">
        <w:rPr>
          <w:sz w:val="22"/>
          <w:szCs w:val="22"/>
          <w:lang w:val="en-GB"/>
        </w:rPr>
        <w:t>points (Table 3).</w:t>
      </w:r>
    </w:p>
    <w:p w14:paraId="2B661072" w14:textId="77777777" w:rsidR="00BB74A9" w:rsidRPr="008B188F" w:rsidRDefault="00BB74A9" w:rsidP="00627CF3">
      <w:pPr>
        <w:pStyle w:val="BodyTextIndent"/>
        <w:ind w:right="113" w:firstLine="0"/>
        <w:rPr>
          <w:sz w:val="22"/>
          <w:szCs w:val="22"/>
          <w:lang w:val="en-GB"/>
        </w:rPr>
      </w:pPr>
    </w:p>
    <w:p w14:paraId="7D86F8CF" w14:textId="77777777" w:rsidR="00AC3DE4" w:rsidRPr="008B188F" w:rsidRDefault="00AC3DE4" w:rsidP="00627CF3">
      <w:pPr>
        <w:pStyle w:val="BodyTextIndent"/>
        <w:ind w:right="113" w:firstLine="0"/>
        <w:rPr>
          <w:sz w:val="22"/>
          <w:szCs w:val="24"/>
          <w:lang w:val="en-GB"/>
        </w:rPr>
      </w:pPr>
    </w:p>
    <w:p w14:paraId="3E04250B" w14:textId="7313551B" w:rsidR="0077503D" w:rsidRPr="008B188F" w:rsidRDefault="0077503D" w:rsidP="00627CF3">
      <w:pPr>
        <w:pStyle w:val="BodyTextIndent"/>
        <w:numPr>
          <w:ilvl w:val="0"/>
          <w:numId w:val="1"/>
        </w:numPr>
        <w:tabs>
          <w:tab w:val="clear" w:pos="502"/>
          <w:tab w:val="num" w:pos="284"/>
        </w:tabs>
        <w:ind w:left="284" w:right="115" w:hanging="284"/>
        <w:rPr>
          <w:b/>
          <w:sz w:val="22"/>
          <w:szCs w:val="22"/>
          <w:lang w:val="en-GB"/>
        </w:rPr>
      </w:pPr>
      <w:r w:rsidRPr="008B188F">
        <w:rPr>
          <w:b/>
          <w:sz w:val="22"/>
          <w:szCs w:val="22"/>
          <w:lang w:val="en-GB"/>
        </w:rPr>
        <w:t xml:space="preserve">Movement of the </w:t>
      </w:r>
      <w:r w:rsidR="00F254ED" w:rsidRPr="008B188F">
        <w:rPr>
          <w:b/>
          <w:sz w:val="22"/>
          <w:szCs w:val="22"/>
          <w:lang w:val="en-GB"/>
        </w:rPr>
        <w:t>sub-indices</w:t>
      </w:r>
      <w:r w:rsidRPr="008B188F">
        <w:rPr>
          <w:b/>
          <w:sz w:val="22"/>
          <w:szCs w:val="22"/>
          <w:lang w:val="en-GB"/>
        </w:rPr>
        <w:t xml:space="preserve">, </w:t>
      </w:r>
      <w:r w:rsidR="00C35223">
        <w:rPr>
          <w:b/>
          <w:sz w:val="22"/>
          <w:szCs w:val="22"/>
          <w:lang w:val="en-GB"/>
        </w:rPr>
        <w:t>2</w:t>
      </w:r>
      <w:r w:rsidR="00C35223">
        <w:rPr>
          <w:b/>
          <w:sz w:val="22"/>
          <w:szCs w:val="22"/>
          <w:vertAlign w:val="superscript"/>
          <w:lang w:val="en-GB"/>
        </w:rPr>
        <w:t>nd</w:t>
      </w:r>
      <w:r w:rsidRPr="008B188F">
        <w:rPr>
          <w:b/>
          <w:sz w:val="22"/>
          <w:szCs w:val="22"/>
          <w:lang w:val="en-GB"/>
        </w:rPr>
        <w:t xml:space="preserve"> Q</w:t>
      </w:r>
      <w:r w:rsidR="00A21EA9" w:rsidRPr="008B188F">
        <w:rPr>
          <w:b/>
          <w:sz w:val="22"/>
          <w:szCs w:val="22"/>
          <w:lang w:val="en-GB"/>
        </w:rPr>
        <w:t>uarter</w:t>
      </w:r>
      <w:r w:rsidR="00CD0F30" w:rsidRPr="008B188F">
        <w:rPr>
          <w:b/>
          <w:sz w:val="22"/>
          <w:szCs w:val="22"/>
          <w:lang w:val="en-GB"/>
        </w:rPr>
        <w:t xml:space="preserve"> 20</w:t>
      </w:r>
      <w:r w:rsidR="005641B1" w:rsidRPr="008B188F">
        <w:rPr>
          <w:b/>
          <w:sz w:val="22"/>
          <w:szCs w:val="22"/>
          <w:lang w:val="en-GB"/>
        </w:rPr>
        <w:t>2</w:t>
      </w:r>
      <w:r w:rsidR="002D4CBA">
        <w:rPr>
          <w:b/>
          <w:sz w:val="22"/>
          <w:szCs w:val="22"/>
          <w:lang w:val="en-GB"/>
        </w:rPr>
        <w:t>4</w:t>
      </w:r>
      <w:r w:rsidR="00F254ED" w:rsidRPr="008B188F">
        <w:rPr>
          <w:b/>
          <w:sz w:val="22"/>
          <w:szCs w:val="22"/>
          <w:lang w:val="en-GB"/>
        </w:rPr>
        <w:t xml:space="preserve"> </w:t>
      </w:r>
      <w:r w:rsidRPr="008B188F">
        <w:rPr>
          <w:b/>
          <w:sz w:val="22"/>
          <w:szCs w:val="22"/>
          <w:lang w:val="en-GB"/>
        </w:rPr>
        <w:t xml:space="preserve">to </w:t>
      </w:r>
      <w:r w:rsidR="00C35223">
        <w:rPr>
          <w:b/>
          <w:sz w:val="22"/>
          <w:szCs w:val="22"/>
          <w:lang w:val="en-GB"/>
        </w:rPr>
        <w:t>3</w:t>
      </w:r>
      <w:r w:rsidR="00C35223">
        <w:rPr>
          <w:bCs/>
          <w:sz w:val="22"/>
          <w:szCs w:val="22"/>
          <w:vertAlign w:val="superscript"/>
          <w:lang w:val="en-GB"/>
        </w:rPr>
        <w:t>rd</w:t>
      </w:r>
      <w:r w:rsidR="00CD0F30" w:rsidRPr="008B188F">
        <w:rPr>
          <w:b/>
          <w:sz w:val="22"/>
          <w:szCs w:val="22"/>
          <w:lang w:val="en-GB"/>
        </w:rPr>
        <w:t xml:space="preserve"> </w:t>
      </w:r>
      <w:r w:rsidR="006D5618" w:rsidRPr="008B188F">
        <w:rPr>
          <w:b/>
          <w:sz w:val="22"/>
          <w:szCs w:val="22"/>
          <w:lang w:val="en-GB"/>
        </w:rPr>
        <w:t>Q</w:t>
      </w:r>
      <w:r w:rsidR="00CD0F30" w:rsidRPr="008B188F">
        <w:rPr>
          <w:b/>
          <w:sz w:val="22"/>
          <w:szCs w:val="22"/>
          <w:lang w:val="en-GB"/>
        </w:rPr>
        <w:t>uarter 20</w:t>
      </w:r>
      <w:r w:rsidR="005641B1" w:rsidRPr="008B188F">
        <w:rPr>
          <w:b/>
          <w:sz w:val="22"/>
          <w:szCs w:val="22"/>
          <w:lang w:val="en-GB"/>
        </w:rPr>
        <w:t>2</w:t>
      </w:r>
      <w:r w:rsidR="004133D3">
        <w:rPr>
          <w:b/>
          <w:sz w:val="22"/>
          <w:szCs w:val="22"/>
          <w:lang w:val="en-GB"/>
        </w:rPr>
        <w:t>4</w:t>
      </w:r>
    </w:p>
    <w:p w14:paraId="400DFCF9" w14:textId="77777777" w:rsidR="00985B33" w:rsidRPr="008B188F" w:rsidRDefault="00985B33" w:rsidP="00627CF3">
      <w:pPr>
        <w:pStyle w:val="BodyTextIndent"/>
        <w:ind w:right="113" w:firstLine="0"/>
        <w:rPr>
          <w:sz w:val="22"/>
          <w:szCs w:val="24"/>
          <w:lang w:val="en-GB"/>
        </w:rPr>
      </w:pPr>
    </w:p>
    <w:p w14:paraId="73AEBE76" w14:textId="77777777" w:rsidR="00466E7B" w:rsidRPr="008B188F" w:rsidRDefault="003C2580" w:rsidP="00627CF3">
      <w:pPr>
        <w:pStyle w:val="BodyTextIndent"/>
        <w:ind w:right="113" w:firstLine="0"/>
        <w:rPr>
          <w:sz w:val="22"/>
          <w:szCs w:val="22"/>
          <w:lang w:val="en-GB"/>
        </w:rPr>
      </w:pPr>
      <w:r w:rsidRPr="008B188F">
        <w:rPr>
          <w:sz w:val="22"/>
          <w:szCs w:val="24"/>
          <w:lang w:val="en-GB"/>
        </w:rPr>
        <w:t xml:space="preserve">Main </w:t>
      </w:r>
      <w:r w:rsidR="00581055" w:rsidRPr="008B188F">
        <w:rPr>
          <w:sz w:val="22"/>
          <w:szCs w:val="24"/>
          <w:lang w:val="en-GB"/>
        </w:rPr>
        <w:t>in</w:t>
      </w:r>
      <w:r w:rsidRPr="008B188F">
        <w:rPr>
          <w:sz w:val="22"/>
          <w:szCs w:val="24"/>
          <w:lang w:val="en-GB"/>
        </w:rPr>
        <w:t xml:space="preserve">creases </w:t>
      </w:r>
      <w:r w:rsidR="00A64BD8" w:rsidRPr="008B188F">
        <w:rPr>
          <w:sz w:val="22"/>
          <w:szCs w:val="24"/>
          <w:lang w:val="en-GB"/>
        </w:rPr>
        <w:t>were</w:t>
      </w:r>
      <w:r w:rsidR="009746E1">
        <w:rPr>
          <w:sz w:val="22"/>
          <w:szCs w:val="24"/>
          <w:lang w:val="en-GB"/>
        </w:rPr>
        <w:t xml:space="preserve"> registered</w:t>
      </w:r>
      <w:r w:rsidR="00E91A7A" w:rsidRPr="008B188F">
        <w:rPr>
          <w:sz w:val="22"/>
          <w:szCs w:val="24"/>
          <w:lang w:val="en-GB"/>
        </w:rPr>
        <w:t xml:space="preserve"> </w:t>
      </w:r>
      <w:r w:rsidR="00E91A7A" w:rsidRPr="008B188F">
        <w:rPr>
          <w:sz w:val="22"/>
          <w:szCs w:val="22"/>
          <w:lang w:val="en-GB"/>
        </w:rPr>
        <w:t>in the following</w:t>
      </w:r>
      <w:r w:rsidR="00A818A6" w:rsidRPr="008B188F">
        <w:rPr>
          <w:sz w:val="22"/>
          <w:szCs w:val="22"/>
          <w:lang w:val="en-GB"/>
        </w:rPr>
        <w:t xml:space="preserve"> </w:t>
      </w:r>
      <w:r w:rsidR="00E91A7A" w:rsidRPr="008B188F">
        <w:rPr>
          <w:sz w:val="22"/>
          <w:szCs w:val="22"/>
          <w:lang w:val="en-GB"/>
        </w:rPr>
        <w:t>(Chart 1 &amp; Table 2):</w:t>
      </w:r>
    </w:p>
    <w:p w14:paraId="11CDA530" w14:textId="77777777" w:rsidR="006E0DB1" w:rsidRPr="008B188F" w:rsidRDefault="006E0DB1" w:rsidP="00627CF3">
      <w:pPr>
        <w:pStyle w:val="BodyTextIndent"/>
        <w:ind w:right="113" w:firstLine="0"/>
        <w:rPr>
          <w:sz w:val="22"/>
          <w:szCs w:val="22"/>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2949"/>
      </w:tblGrid>
      <w:tr w:rsidR="004877F6" w14:paraId="7F6A167A" w14:textId="77777777" w:rsidTr="00893ED8">
        <w:trPr>
          <w:trHeight w:val="294"/>
        </w:trPr>
        <w:tc>
          <w:tcPr>
            <w:tcW w:w="5807" w:type="dxa"/>
          </w:tcPr>
          <w:p w14:paraId="4FE2E59F" w14:textId="1EB321A3" w:rsidR="004877F6" w:rsidRPr="0013690E" w:rsidRDefault="0034114E" w:rsidP="00F54096">
            <w:pPr>
              <w:pStyle w:val="BodyTextIndent"/>
              <w:ind w:right="113" w:firstLine="0"/>
              <w:rPr>
                <w:i/>
                <w:iCs/>
                <w:sz w:val="22"/>
                <w:szCs w:val="16"/>
                <w:lang w:val="en-GB"/>
              </w:rPr>
            </w:pPr>
            <w:bookmarkStart w:id="0" w:name="_Hlk138245917"/>
            <w:r w:rsidRPr="0034114E">
              <w:rPr>
                <w:i/>
                <w:iCs/>
                <w:sz w:val="22"/>
                <w:szCs w:val="16"/>
                <w:lang w:val="en-GB"/>
              </w:rPr>
              <w:t xml:space="preserve">Agriculture, forestry and </w:t>
            </w:r>
            <w:r w:rsidR="005524F8">
              <w:rPr>
                <w:i/>
                <w:iCs/>
                <w:sz w:val="22"/>
                <w:szCs w:val="16"/>
                <w:lang w:val="en-GB"/>
              </w:rPr>
              <w:t xml:space="preserve">fishing         </w:t>
            </w:r>
          </w:p>
        </w:tc>
        <w:tc>
          <w:tcPr>
            <w:tcW w:w="2949" w:type="dxa"/>
          </w:tcPr>
          <w:p w14:paraId="4E8FD84E" w14:textId="744C0358" w:rsidR="004877F6" w:rsidRPr="0013690E" w:rsidRDefault="0034114E" w:rsidP="005524F8">
            <w:pPr>
              <w:pStyle w:val="BodyTextIndent"/>
              <w:ind w:right="113" w:firstLine="0"/>
              <w:jc w:val="left"/>
              <w:rPr>
                <w:i/>
                <w:iCs/>
                <w:sz w:val="22"/>
                <w:szCs w:val="16"/>
                <w:lang w:val="en-GB"/>
              </w:rPr>
            </w:pPr>
            <w:r>
              <w:rPr>
                <w:i/>
                <w:iCs/>
                <w:sz w:val="22"/>
                <w:szCs w:val="16"/>
                <w:lang w:val="en-GB"/>
              </w:rPr>
              <w:t>22.9</w:t>
            </w:r>
            <w:r w:rsidR="004877F6" w:rsidRPr="0013690E">
              <w:rPr>
                <w:i/>
                <w:iCs/>
                <w:sz w:val="22"/>
                <w:szCs w:val="16"/>
                <w:lang w:val="en-GB"/>
              </w:rPr>
              <w:t>%</w:t>
            </w:r>
          </w:p>
        </w:tc>
      </w:tr>
      <w:tr w:rsidR="004877F6" w14:paraId="09D5354E" w14:textId="77777777" w:rsidTr="00893ED8">
        <w:trPr>
          <w:trHeight w:val="269"/>
        </w:trPr>
        <w:tc>
          <w:tcPr>
            <w:tcW w:w="5807" w:type="dxa"/>
          </w:tcPr>
          <w:p w14:paraId="23ED46F9" w14:textId="05A823A0" w:rsidR="004877F6" w:rsidRPr="0013690E" w:rsidRDefault="0034114E" w:rsidP="00F54096">
            <w:pPr>
              <w:pStyle w:val="BodyTextIndent"/>
              <w:ind w:right="113" w:firstLine="0"/>
              <w:rPr>
                <w:i/>
                <w:iCs/>
                <w:sz w:val="22"/>
                <w:szCs w:val="16"/>
                <w:lang w:val="en-GB"/>
              </w:rPr>
            </w:pPr>
            <w:r w:rsidRPr="0034114E">
              <w:rPr>
                <w:i/>
                <w:iCs/>
                <w:sz w:val="22"/>
                <w:szCs w:val="16"/>
                <w:lang w:val="en-GB"/>
              </w:rPr>
              <w:t>Financial and insurance activities</w:t>
            </w:r>
          </w:p>
        </w:tc>
        <w:tc>
          <w:tcPr>
            <w:tcW w:w="2949" w:type="dxa"/>
          </w:tcPr>
          <w:p w14:paraId="60C893A6" w14:textId="7F630E56" w:rsidR="004877F6" w:rsidRPr="0013690E" w:rsidRDefault="0034114E" w:rsidP="005524F8">
            <w:pPr>
              <w:pStyle w:val="BodyTextIndent"/>
              <w:ind w:right="113" w:firstLine="0"/>
              <w:jc w:val="left"/>
              <w:rPr>
                <w:i/>
                <w:iCs/>
                <w:sz w:val="22"/>
                <w:szCs w:val="16"/>
                <w:lang w:val="en-GB"/>
              </w:rPr>
            </w:pPr>
            <w:r>
              <w:rPr>
                <w:i/>
                <w:iCs/>
                <w:sz w:val="22"/>
                <w:szCs w:val="16"/>
                <w:lang w:val="en-GB"/>
              </w:rPr>
              <w:t>7.7</w:t>
            </w:r>
            <w:r w:rsidR="004877F6" w:rsidRPr="0013690E">
              <w:rPr>
                <w:i/>
                <w:iCs/>
                <w:sz w:val="22"/>
                <w:szCs w:val="16"/>
                <w:lang w:val="en-GB"/>
              </w:rPr>
              <w:t>%</w:t>
            </w:r>
          </w:p>
        </w:tc>
      </w:tr>
      <w:tr w:rsidR="0034114E" w14:paraId="24907209" w14:textId="77777777" w:rsidTr="00893ED8">
        <w:trPr>
          <w:trHeight w:val="149"/>
        </w:trPr>
        <w:tc>
          <w:tcPr>
            <w:tcW w:w="5807" w:type="dxa"/>
          </w:tcPr>
          <w:p w14:paraId="1D82F012" w14:textId="270B7E99" w:rsidR="0034114E" w:rsidRPr="0034114E" w:rsidRDefault="0034114E" w:rsidP="00540F4A">
            <w:pPr>
              <w:pStyle w:val="BodyTextIndent"/>
              <w:ind w:right="113" w:firstLine="0"/>
              <w:rPr>
                <w:i/>
                <w:iCs/>
                <w:sz w:val="22"/>
                <w:szCs w:val="16"/>
                <w:lang w:val="en-GB"/>
              </w:rPr>
            </w:pPr>
            <w:r w:rsidRPr="0034114E">
              <w:rPr>
                <w:i/>
                <w:iCs/>
                <w:sz w:val="22"/>
                <w:szCs w:val="16"/>
                <w:lang w:val="en-GB"/>
              </w:rPr>
              <w:t>Manufacturing</w:t>
            </w:r>
          </w:p>
        </w:tc>
        <w:tc>
          <w:tcPr>
            <w:tcW w:w="2949" w:type="dxa"/>
          </w:tcPr>
          <w:p w14:paraId="4340B5EF" w14:textId="6F0FDAC2" w:rsidR="0034114E" w:rsidRPr="0013690E" w:rsidRDefault="0034114E" w:rsidP="005524F8">
            <w:pPr>
              <w:pStyle w:val="BodyTextIndent"/>
              <w:ind w:right="113" w:firstLine="0"/>
              <w:jc w:val="left"/>
              <w:rPr>
                <w:i/>
                <w:iCs/>
                <w:sz w:val="22"/>
                <w:szCs w:val="16"/>
                <w:lang w:val="en-GB"/>
              </w:rPr>
            </w:pPr>
            <w:r>
              <w:rPr>
                <w:i/>
                <w:iCs/>
                <w:sz w:val="22"/>
                <w:szCs w:val="16"/>
                <w:lang w:val="en-GB"/>
              </w:rPr>
              <w:t>6.3%</w:t>
            </w:r>
          </w:p>
        </w:tc>
      </w:tr>
      <w:tr w:rsidR="0034114E" w14:paraId="401CD5DB" w14:textId="77777777" w:rsidTr="005524F8">
        <w:trPr>
          <w:trHeight w:val="506"/>
        </w:trPr>
        <w:tc>
          <w:tcPr>
            <w:tcW w:w="5807" w:type="dxa"/>
          </w:tcPr>
          <w:p w14:paraId="5B7D743E" w14:textId="427840C6" w:rsidR="0034114E" w:rsidRPr="0034114E" w:rsidRDefault="0034114E" w:rsidP="00540F4A">
            <w:pPr>
              <w:pStyle w:val="BodyTextIndent"/>
              <w:ind w:right="113" w:firstLine="0"/>
              <w:rPr>
                <w:i/>
                <w:iCs/>
                <w:sz w:val="22"/>
                <w:szCs w:val="16"/>
                <w:lang w:val="en-GB"/>
              </w:rPr>
            </w:pPr>
            <w:r w:rsidRPr="0034114E">
              <w:rPr>
                <w:i/>
                <w:iCs/>
                <w:sz w:val="22"/>
                <w:szCs w:val="16"/>
                <w:lang w:val="en-GB"/>
              </w:rPr>
              <w:t>Wholesale and retail trade; repair of motor vehicles and motorcycles</w:t>
            </w:r>
          </w:p>
        </w:tc>
        <w:tc>
          <w:tcPr>
            <w:tcW w:w="2949" w:type="dxa"/>
          </w:tcPr>
          <w:p w14:paraId="76E16641" w14:textId="4E4840A2" w:rsidR="0034114E" w:rsidRDefault="0034114E" w:rsidP="005524F8">
            <w:pPr>
              <w:pStyle w:val="BodyTextIndent"/>
              <w:ind w:right="113" w:firstLine="0"/>
              <w:jc w:val="left"/>
              <w:rPr>
                <w:i/>
                <w:iCs/>
                <w:sz w:val="22"/>
                <w:szCs w:val="16"/>
                <w:lang w:val="en-GB"/>
              </w:rPr>
            </w:pPr>
            <w:r>
              <w:rPr>
                <w:i/>
                <w:iCs/>
                <w:sz w:val="22"/>
                <w:szCs w:val="16"/>
                <w:lang w:val="en-GB"/>
              </w:rPr>
              <w:t>5.4%</w:t>
            </w:r>
          </w:p>
        </w:tc>
      </w:tr>
      <w:tr w:rsidR="00FA5401" w14:paraId="2DC64DA9" w14:textId="77777777" w:rsidTr="00893ED8">
        <w:trPr>
          <w:trHeight w:val="246"/>
        </w:trPr>
        <w:tc>
          <w:tcPr>
            <w:tcW w:w="5807" w:type="dxa"/>
          </w:tcPr>
          <w:p w14:paraId="21A12B11" w14:textId="6E1A165D" w:rsidR="00FA5401" w:rsidRPr="0034114E" w:rsidRDefault="00FA5401" w:rsidP="00540F4A">
            <w:pPr>
              <w:pStyle w:val="BodyTextIndent"/>
              <w:ind w:right="113" w:firstLine="0"/>
              <w:rPr>
                <w:i/>
                <w:iCs/>
                <w:sz w:val="22"/>
                <w:szCs w:val="16"/>
                <w:lang w:val="en-GB"/>
              </w:rPr>
            </w:pPr>
            <w:r w:rsidRPr="00FA5401">
              <w:rPr>
                <w:i/>
                <w:iCs/>
                <w:sz w:val="22"/>
                <w:szCs w:val="16"/>
                <w:lang w:val="en-GB"/>
              </w:rPr>
              <w:t>Accommodation and food service activities</w:t>
            </w:r>
          </w:p>
        </w:tc>
        <w:tc>
          <w:tcPr>
            <w:tcW w:w="2949" w:type="dxa"/>
          </w:tcPr>
          <w:p w14:paraId="3EFDE851" w14:textId="735219D3" w:rsidR="00FA5401" w:rsidRDefault="00FA5401" w:rsidP="005524F8">
            <w:pPr>
              <w:pStyle w:val="BodyTextIndent"/>
              <w:ind w:right="113" w:firstLine="0"/>
              <w:jc w:val="left"/>
              <w:rPr>
                <w:i/>
                <w:iCs/>
                <w:sz w:val="22"/>
                <w:szCs w:val="16"/>
                <w:lang w:val="en-GB"/>
              </w:rPr>
            </w:pPr>
            <w:r>
              <w:rPr>
                <w:i/>
                <w:iCs/>
                <w:sz w:val="22"/>
                <w:szCs w:val="16"/>
                <w:lang w:val="en-GB"/>
              </w:rPr>
              <w:t>4.5%</w:t>
            </w:r>
          </w:p>
        </w:tc>
      </w:tr>
      <w:tr w:rsidR="00B238E4" w14:paraId="05673DA4" w14:textId="77777777" w:rsidTr="005524F8">
        <w:trPr>
          <w:trHeight w:val="408"/>
        </w:trPr>
        <w:tc>
          <w:tcPr>
            <w:tcW w:w="5807" w:type="dxa"/>
          </w:tcPr>
          <w:p w14:paraId="347AA6E2" w14:textId="0BED243B" w:rsidR="00B238E4" w:rsidRPr="00FA5401" w:rsidRDefault="00B238E4" w:rsidP="00540F4A">
            <w:pPr>
              <w:pStyle w:val="BodyTextIndent"/>
              <w:ind w:right="113" w:firstLine="0"/>
              <w:rPr>
                <w:i/>
                <w:iCs/>
                <w:sz w:val="22"/>
                <w:szCs w:val="16"/>
                <w:lang w:val="en-GB"/>
              </w:rPr>
            </w:pPr>
            <w:r w:rsidRPr="00B238E4">
              <w:rPr>
                <w:i/>
                <w:iCs/>
                <w:sz w:val="22"/>
                <w:szCs w:val="16"/>
                <w:lang w:val="en-GB"/>
              </w:rPr>
              <w:t>Public administration and defence; compulsory social security</w:t>
            </w:r>
          </w:p>
        </w:tc>
        <w:tc>
          <w:tcPr>
            <w:tcW w:w="2949" w:type="dxa"/>
          </w:tcPr>
          <w:p w14:paraId="60610770" w14:textId="01FF8929" w:rsidR="00B238E4" w:rsidRDefault="00B238E4" w:rsidP="005524F8">
            <w:pPr>
              <w:pStyle w:val="BodyTextIndent"/>
              <w:ind w:right="113" w:firstLine="0"/>
              <w:jc w:val="left"/>
              <w:rPr>
                <w:i/>
                <w:iCs/>
                <w:sz w:val="22"/>
                <w:szCs w:val="16"/>
                <w:lang w:val="en-GB"/>
              </w:rPr>
            </w:pPr>
            <w:r>
              <w:rPr>
                <w:i/>
                <w:iCs/>
                <w:sz w:val="22"/>
                <w:szCs w:val="16"/>
                <w:lang w:val="en-GB"/>
              </w:rPr>
              <w:t>2.1%</w:t>
            </w:r>
          </w:p>
        </w:tc>
      </w:tr>
    </w:tbl>
    <w:p w14:paraId="22547351" w14:textId="6486269E" w:rsidR="00F54096" w:rsidRPr="008B188F" w:rsidRDefault="006B3C66" w:rsidP="00F54096">
      <w:pPr>
        <w:pStyle w:val="BodyTextIndent"/>
        <w:ind w:right="113" w:firstLine="0"/>
        <w:rPr>
          <w:sz w:val="22"/>
          <w:szCs w:val="16"/>
          <w:lang w:val="en-GB"/>
        </w:rPr>
      </w:pPr>
      <w:r>
        <w:rPr>
          <w:sz w:val="22"/>
          <w:szCs w:val="16"/>
          <w:lang w:val="en-GB"/>
        </w:rPr>
        <w:t xml:space="preserve"> </w:t>
      </w:r>
    </w:p>
    <w:p w14:paraId="42CA517F" w14:textId="77777777" w:rsidR="002A533D" w:rsidRPr="008B188F" w:rsidRDefault="002A533D" w:rsidP="002A533D">
      <w:pPr>
        <w:pStyle w:val="BodyTextIndent"/>
        <w:ind w:right="113" w:firstLine="0"/>
        <w:rPr>
          <w:sz w:val="16"/>
          <w:szCs w:val="16"/>
          <w:lang w:val="en-GB"/>
        </w:rPr>
      </w:pPr>
    </w:p>
    <w:p w14:paraId="1E671629" w14:textId="5DE44F54" w:rsidR="00565168" w:rsidRPr="008B188F" w:rsidRDefault="002A533D" w:rsidP="002A533D">
      <w:pPr>
        <w:pStyle w:val="BodyTextIndent"/>
        <w:ind w:right="113" w:firstLine="0"/>
        <w:rPr>
          <w:sz w:val="22"/>
          <w:szCs w:val="16"/>
          <w:lang w:val="en-GB"/>
        </w:rPr>
      </w:pPr>
      <w:r w:rsidRPr="008B188F">
        <w:rPr>
          <w:b/>
        </w:rPr>
        <w:br w:type="page"/>
      </w:r>
    </w:p>
    <w:bookmarkEnd w:id="0"/>
    <w:p w14:paraId="7A0390C9" w14:textId="184D911A" w:rsidR="009C3955" w:rsidRDefault="007A3CCE" w:rsidP="007C55AD">
      <w:pPr>
        <w:pStyle w:val="BodyTextIndent"/>
        <w:ind w:right="113" w:firstLine="0"/>
        <w:rPr>
          <w:sz w:val="22"/>
          <w:szCs w:val="16"/>
          <w:lang w:val="en-GB"/>
        </w:rPr>
      </w:pPr>
      <w:r w:rsidRPr="008B188F">
        <w:rPr>
          <w:sz w:val="22"/>
          <w:szCs w:val="16"/>
          <w:lang w:val="en-GB"/>
        </w:rPr>
        <w:lastRenderedPageBreak/>
        <w:t xml:space="preserve"> </w:t>
      </w:r>
    </w:p>
    <w:p w14:paraId="081E3A0C" w14:textId="28F964CF" w:rsidR="004D66BE" w:rsidRPr="008B188F" w:rsidRDefault="004D66BE">
      <w:pPr>
        <w:rPr>
          <w:b/>
          <w:lang w:eastAsia="x-none"/>
        </w:rPr>
      </w:pPr>
    </w:p>
    <w:p w14:paraId="2ACEA5F9" w14:textId="4B283672" w:rsidR="00267109" w:rsidRPr="00267109" w:rsidRDefault="00267109" w:rsidP="004A3AC1">
      <w:pPr>
        <w:pStyle w:val="BodyTextIndent"/>
        <w:spacing w:line="264" w:lineRule="auto"/>
        <w:ind w:right="113" w:firstLine="0"/>
        <w:jc w:val="center"/>
        <w:rPr>
          <w:sz w:val="22"/>
          <w:szCs w:val="22"/>
          <w:lang w:val="en-GB"/>
        </w:rPr>
      </w:pPr>
      <w:r w:rsidRPr="00267109">
        <w:rPr>
          <w:sz w:val="22"/>
          <w:szCs w:val="22"/>
          <w:lang w:val="en-GB"/>
        </w:rPr>
        <w:t>2</w:t>
      </w:r>
    </w:p>
    <w:p w14:paraId="655DF2E4" w14:textId="3BFC2D9D" w:rsidR="00F21324" w:rsidRDefault="00F21324" w:rsidP="00F21324">
      <w:pPr>
        <w:pStyle w:val="BodyTextIndent"/>
        <w:spacing w:line="264" w:lineRule="auto"/>
        <w:ind w:right="113" w:firstLine="0"/>
        <w:jc w:val="center"/>
        <w:rPr>
          <w:b/>
          <w:sz w:val="22"/>
          <w:szCs w:val="22"/>
          <w:lang w:val="en-GB"/>
        </w:rPr>
      </w:pPr>
      <w:bookmarkStart w:id="1" w:name="_Hlk106882493"/>
    </w:p>
    <w:p w14:paraId="3A057E5E" w14:textId="079601BC" w:rsidR="00F21324" w:rsidRPr="00807420" w:rsidRDefault="00F21324" w:rsidP="00F21324">
      <w:pPr>
        <w:pStyle w:val="BodyTextIndent"/>
        <w:spacing w:line="264" w:lineRule="auto"/>
        <w:ind w:right="113" w:firstLine="0"/>
        <w:jc w:val="center"/>
        <w:rPr>
          <w:b/>
          <w:sz w:val="22"/>
          <w:szCs w:val="22"/>
          <w:lang w:val="en-GB"/>
        </w:rPr>
      </w:pPr>
      <w:r w:rsidRPr="00807420">
        <w:rPr>
          <w:b/>
          <w:sz w:val="22"/>
          <w:szCs w:val="22"/>
          <w:lang w:val="en-GB"/>
        </w:rPr>
        <w:t xml:space="preserve">Chart 1: % Change in </w:t>
      </w:r>
      <w:r w:rsidR="00F64631">
        <w:rPr>
          <w:b/>
          <w:sz w:val="22"/>
          <w:szCs w:val="22"/>
          <w:lang w:val="en-GB"/>
        </w:rPr>
        <w:t>Wage Rate Index</w:t>
      </w:r>
      <w:r w:rsidRPr="00807420">
        <w:rPr>
          <w:b/>
          <w:sz w:val="22"/>
          <w:szCs w:val="22"/>
          <w:lang w:val="en-GB"/>
        </w:rPr>
        <w:t xml:space="preserve"> from</w:t>
      </w:r>
    </w:p>
    <w:p w14:paraId="7FCDB8FB" w14:textId="78B092BC" w:rsidR="00F21324" w:rsidRDefault="00C35223" w:rsidP="00F21324">
      <w:pPr>
        <w:pStyle w:val="BodyTextIndent"/>
        <w:ind w:left="567" w:right="113" w:hanging="567"/>
        <w:jc w:val="center"/>
        <w:rPr>
          <w:b/>
          <w:sz w:val="22"/>
          <w:szCs w:val="22"/>
          <w:lang w:val="en-GB"/>
        </w:rPr>
      </w:pPr>
      <w:r>
        <w:rPr>
          <w:b/>
          <w:sz w:val="22"/>
          <w:szCs w:val="22"/>
          <w:lang w:val="en-GB"/>
        </w:rPr>
        <w:t>2</w:t>
      </w:r>
      <w:r>
        <w:rPr>
          <w:b/>
          <w:sz w:val="22"/>
          <w:szCs w:val="22"/>
          <w:vertAlign w:val="superscript"/>
          <w:lang w:val="en-GB"/>
        </w:rPr>
        <w:t>nd</w:t>
      </w:r>
      <w:r w:rsidR="00F21324" w:rsidRPr="00807420">
        <w:rPr>
          <w:b/>
          <w:sz w:val="22"/>
          <w:szCs w:val="22"/>
          <w:vertAlign w:val="superscript"/>
          <w:lang w:val="en-GB"/>
        </w:rPr>
        <w:t xml:space="preserve"> </w:t>
      </w:r>
      <w:r w:rsidR="00F21324" w:rsidRPr="00807420">
        <w:rPr>
          <w:b/>
          <w:sz w:val="22"/>
          <w:szCs w:val="22"/>
          <w:lang w:val="en-GB"/>
        </w:rPr>
        <w:t>Quarter 202</w:t>
      </w:r>
      <w:r w:rsidR="002D4CBA">
        <w:rPr>
          <w:b/>
          <w:sz w:val="22"/>
          <w:szCs w:val="22"/>
          <w:lang w:val="en-GB"/>
        </w:rPr>
        <w:t>4</w:t>
      </w:r>
      <w:r w:rsidR="00F21324" w:rsidRPr="00807420">
        <w:rPr>
          <w:b/>
          <w:sz w:val="22"/>
          <w:szCs w:val="22"/>
          <w:lang w:val="en-GB"/>
        </w:rPr>
        <w:t xml:space="preserve"> to </w:t>
      </w:r>
      <w:r>
        <w:rPr>
          <w:b/>
          <w:sz w:val="22"/>
          <w:szCs w:val="22"/>
          <w:lang w:val="en-GB"/>
        </w:rPr>
        <w:t>3</w:t>
      </w:r>
      <w:r>
        <w:rPr>
          <w:b/>
          <w:sz w:val="22"/>
          <w:szCs w:val="22"/>
          <w:vertAlign w:val="superscript"/>
          <w:lang w:val="en-GB"/>
        </w:rPr>
        <w:t>rd</w:t>
      </w:r>
      <w:r w:rsidR="00F21324" w:rsidRPr="00807420">
        <w:rPr>
          <w:b/>
          <w:sz w:val="22"/>
          <w:szCs w:val="22"/>
          <w:lang w:val="en-GB"/>
        </w:rPr>
        <w:t xml:space="preserve"> Quarter 202</w:t>
      </w:r>
      <w:r w:rsidR="00E74718">
        <w:rPr>
          <w:b/>
          <w:sz w:val="22"/>
          <w:szCs w:val="22"/>
          <w:lang w:val="en-GB"/>
        </w:rPr>
        <w:t>4</w:t>
      </w:r>
    </w:p>
    <w:p w14:paraId="08888D8E" w14:textId="24C4C977" w:rsidR="00274734" w:rsidRDefault="00274734" w:rsidP="00F21324">
      <w:pPr>
        <w:pStyle w:val="BodyTextIndent"/>
        <w:ind w:left="567" w:right="113" w:hanging="567"/>
        <w:jc w:val="center"/>
        <w:rPr>
          <w:sz w:val="22"/>
          <w:szCs w:val="22"/>
          <w:lang w:val="en-GB"/>
        </w:rPr>
      </w:pPr>
    </w:p>
    <w:p w14:paraId="7918499E" w14:textId="6A64E6FB" w:rsidR="00C34A06" w:rsidRDefault="006D5092" w:rsidP="004F5AD0">
      <w:pPr>
        <w:pStyle w:val="BodyTextIndent"/>
        <w:ind w:left="567" w:right="113" w:hanging="567"/>
        <w:jc w:val="center"/>
        <w:rPr>
          <w:sz w:val="22"/>
          <w:szCs w:val="22"/>
          <w:lang w:val="en-GB"/>
        </w:rPr>
      </w:pPr>
      <w:r w:rsidRPr="006D5092">
        <w:rPr>
          <w:noProof/>
        </w:rPr>
        <w:drawing>
          <wp:inline distT="0" distB="0" distL="0" distR="0" wp14:anchorId="3BFE1CA0" wp14:editId="691A8170">
            <wp:extent cx="5814060" cy="41910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814060" cy="4191000"/>
                    </a:xfrm>
                    <a:prstGeom prst="rect">
                      <a:avLst/>
                    </a:prstGeom>
                    <a:ln>
                      <a:noFill/>
                    </a:ln>
                  </pic:spPr>
                </pic:pic>
              </a:graphicData>
            </a:graphic>
          </wp:inline>
        </w:drawing>
      </w:r>
    </w:p>
    <w:p w14:paraId="257F2C66" w14:textId="2012F496" w:rsidR="00C34A06" w:rsidRDefault="00C34A06" w:rsidP="00F21324">
      <w:pPr>
        <w:pStyle w:val="BodyTextIndent"/>
        <w:ind w:left="567" w:right="113" w:hanging="567"/>
        <w:jc w:val="center"/>
        <w:rPr>
          <w:sz w:val="22"/>
          <w:szCs w:val="22"/>
          <w:lang w:val="en-GB"/>
        </w:rPr>
      </w:pPr>
    </w:p>
    <w:p w14:paraId="4B3FA68F" w14:textId="5C6C9167" w:rsidR="006D5092" w:rsidRDefault="006D5092" w:rsidP="00F21324">
      <w:pPr>
        <w:pStyle w:val="BodyTextIndent"/>
        <w:ind w:left="567" w:right="113" w:hanging="567"/>
        <w:jc w:val="center"/>
        <w:rPr>
          <w:sz w:val="22"/>
          <w:szCs w:val="22"/>
          <w:lang w:val="en-GB"/>
        </w:rPr>
      </w:pPr>
    </w:p>
    <w:p w14:paraId="3D1E14A8" w14:textId="7B6DB770" w:rsidR="0015122E" w:rsidRDefault="0077503D" w:rsidP="004D66BE">
      <w:pPr>
        <w:pStyle w:val="BodyTextIndent"/>
        <w:spacing w:line="270" w:lineRule="atLeast"/>
        <w:ind w:right="115" w:firstLine="0"/>
        <w:rPr>
          <w:sz w:val="22"/>
          <w:szCs w:val="22"/>
          <w:lang w:val="en-GB"/>
        </w:rPr>
      </w:pPr>
      <w:bookmarkStart w:id="2" w:name="OLE_LINK2"/>
      <w:bookmarkStart w:id="3" w:name="OLE_LINK3"/>
      <w:r w:rsidRPr="008B188F">
        <w:rPr>
          <w:sz w:val="22"/>
          <w:szCs w:val="24"/>
          <w:lang w:val="en-GB"/>
        </w:rPr>
        <w:t xml:space="preserve">The </w:t>
      </w:r>
      <w:r w:rsidR="00F64631">
        <w:rPr>
          <w:sz w:val="22"/>
          <w:szCs w:val="22"/>
          <w:lang w:val="en-GB"/>
        </w:rPr>
        <w:t>Wage Rate Index</w:t>
      </w:r>
      <w:r w:rsidRPr="008B188F">
        <w:rPr>
          <w:sz w:val="22"/>
          <w:szCs w:val="22"/>
          <w:lang w:val="en-GB"/>
        </w:rPr>
        <w:t xml:space="preserve"> for the </w:t>
      </w:r>
      <w:r w:rsidR="00FF2D96">
        <w:rPr>
          <w:sz w:val="22"/>
          <w:szCs w:val="22"/>
          <w:lang w:val="en-GB"/>
        </w:rPr>
        <w:t>G</w:t>
      </w:r>
      <w:r w:rsidRPr="00425709">
        <w:rPr>
          <w:sz w:val="22"/>
          <w:szCs w:val="22"/>
          <w:lang w:val="en-GB"/>
        </w:rPr>
        <w:t xml:space="preserve">eneral </w:t>
      </w:r>
      <w:r w:rsidR="00FF2D96">
        <w:rPr>
          <w:sz w:val="22"/>
          <w:szCs w:val="22"/>
          <w:lang w:val="en-GB"/>
        </w:rPr>
        <w:t>G</w:t>
      </w:r>
      <w:r w:rsidRPr="00AA3F6C">
        <w:rPr>
          <w:sz w:val="22"/>
          <w:szCs w:val="22"/>
          <w:lang w:val="en-GB"/>
        </w:rPr>
        <w:t>overnment sector</w:t>
      </w:r>
      <w:r w:rsidR="00E74611" w:rsidRPr="008B188F">
        <w:rPr>
          <w:sz w:val="22"/>
          <w:szCs w:val="22"/>
          <w:lang w:val="en-GB"/>
        </w:rPr>
        <w:t>,</w:t>
      </w:r>
      <w:r w:rsidR="00AA2D59" w:rsidRPr="008B188F">
        <w:rPr>
          <w:sz w:val="22"/>
          <w:szCs w:val="22"/>
          <w:lang w:val="en-GB"/>
        </w:rPr>
        <w:t xml:space="preserve"> </w:t>
      </w:r>
      <w:r w:rsidRPr="008B188F">
        <w:rPr>
          <w:sz w:val="22"/>
          <w:szCs w:val="22"/>
          <w:lang w:val="en-GB"/>
        </w:rPr>
        <w:t>compris</w:t>
      </w:r>
      <w:r w:rsidR="00580BA2" w:rsidRPr="008B188F">
        <w:rPr>
          <w:sz w:val="22"/>
          <w:szCs w:val="22"/>
          <w:lang w:val="en-GB"/>
        </w:rPr>
        <w:t xml:space="preserve">ing </w:t>
      </w:r>
      <w:r w:rsidR="00B84ED3">
        <w:rPr>
          <w:sz w:val="22"/>
          <w:szCs w:val="22"/>
          <w:lang w:val="en-GB"/>
        </w:rPr>
        <w:t>M</w:t>
      </w:r>
      <w:r w:rsidRPr="008B188F">
        <w:rPr>
          <w:sz w:val="22"/>
          <w:szCs w:val="22"/>
          <w:lang w:val="en-GB"/>
        </w:rPr>
        <w:t>inistries</w:t>
      </w:r>
      <w:bookmarkEnd w:id="1"/>
      <w:r w:rsidRPr="008B188F">
        <w:rPr>
          <w:sz w:val="22"/>
          <w:szCs w:val="22"/>
          <w:lang w:val="en-GB"/>
        </w:rPr>
        <w:t xml:space="preserve">, </w:t>
      </w:r>
      <w:r w:rsidR="00B84ED3">
        <w:rPr>
          <w:sz w:val="22"/>
          <w:szCs w:val="22"/>
          <w:lang w:val="en-GB"/>
        </w:rPr>
        <w:t>G</w:t>
      </w:r>
      <w:r w:rsidRPr="008B188F">
        <w:rPr>
          <w:sz w:val="22"/>
          <w:szCs w:val="22"/>
          <w:lang w:val="en-GB"/>
        </w:rPr>
        <w:t>overnment department</w:t>
      </w:r>
      <w:r w:rsidR="00B827B4" w:rsidRPr="008B188F">
        <w:rPr>
          <w:sz w:val="22"/>
          <w:szCs w:val="22"/>
          <w:lang w:val="en-GB"/>
        </w:rPr>
        <w:t>s</w:t>
      </w:r>
      <w:r w:rsidRPr="008B188F">
        <w:rPr>
          <w:sz w:val="22"/>
          <w:szCs w:val="22"/>
          <w:lang w:val="en-GB"/>
        </w:rPr>
        <w:t xml:space="preserve"> and agencies operating under them, municipalities,</w:t>
      </w:r>
      <w:r w:rsidR="004D0F1E" w:rsidRPr="008B188F">
        <w:rPr>
          <w:sz w:val="22"/>
          <w:szCs w:val="22"/>
          <w:lang w:val="en-GB"/>
        </w:rPr>
        <w:t xml:space="preserve"> </w:t>
      </w:r>
      <w:r w:rsidRPr="008B188F">
        <w:rPr>
          <w:sz w:val="22"/>
          <w:szCs w:val="22"/>
          <w:lang w:val="en-GB"/>
        </w:rPr>
        <w:t>district councils and Rodrigues Regional Assembly</w:t>
      </w:r>
      <w:r w:rsidR="00DD0DB9">
        <w:rPr>
          <w:sz w:val="22"/>
          <w:szCs w:val="22"/>
          <w:lang w:val="en-GB"/>
        </w:rPr>
        <w:t xml:space="preserve"> </w:t>
      </w:r>
      <w:r w:rsidR="00480730">
        <w:rPr>
          <w:sz w:val="22"/>
          <w:szCs w:val="22"/>
          <w:lang w:val="en-GB"/>
        </w:rPr>
        <w:t>in</w:t>
      </w:r>
      <w:r w:rsidR="00D70AC8">
        <w:rPr>
          <w:sz w:val="22"/>
          <w:szCs w:val="22"/>
          <w:lang w:val="en-GB"/>
        </w:rPr>
        <w:t xml:space="preserve">creased by </w:t>
      </w:r>
      <w:r w:rsidR="00480730">
        <w:rPr>
          <w:sz w:val="22"/>
          <w:szCs w:val="22"/>
          <w:lang w:val="en-GB"/>
        </w:rPr>
        <w:t>2</w:t>
      </w:r>
      <w:r w:rsidR="00D70AC8">
        <w:rPr>
          <w:sz w:val="22"/>
          <w:szCs w:val="22"/>
          <w:lang w:val="en-GB"/>
        </w:rPr>
        <w:t>.</w:t>
      </w:r>
      <w:r w:rsidR="00480730">
        <w:rPr>
          <w:sz w:val="22"/>
          <w:szCs w:val="22"/>
          <w:lang w:val="en-GB"/>
        </w:rPr>
        <w:t>5</w:t>
      </w:r>
      <w:r w:rsidR="00D70AC8">
        <w:rPr>
          <w:sz w:val="22"/>
          <w:szCs w:val="22"/>
          <w:lang w:val="en-GB"/>
        </w:rPr>
        <w:t xml:space="preserve">% </w:t>
      </w:r>
      <w:r w:rsidR="00D525FE">
        <w:rPr>
          <w:sz w:val="22"/>
          <w:szCs w:val="22"/>
          <w:lang w:val="en-GB"/>
        </w:rPr>
        <w:t xml:space="preserve">or </w:t>
      </w:r>
      <w:r w:rsidR="00480730">
        <w:rPr>
          <w:sz w:val="22"/>
          <w:szCs w:val="22"/>
          <w:lang w:val="en-GB"/>
        </w:rPr>
        <w:t>2</w:t>
      </w:r>
      <w:r w:rsidR="00D525FE">
        <w:rPr>
          <w:sz w:val="22"/>
          <w:szCs w:val="22"/>
          <w:lang w:val="en-GB"/>
        </w:rPr>
        <w:t>.</w:t>
      </w:r>
      <w:r w:rsidR="00480730">
        <w:rPr>
          <w:sz w:val="22"/>
          <w:szCs w:val="22"/>
          <w:lang w:val="en-GB"/>
        </w:rPr>
        <w:t>9</w:t>
      </w:r>
      <w:r w:rsidR="00D525FE">
        <w:rPr>
          <w:sz w:val="22"/>
          <w:szCs w:val="22"/>
          <w:lang w:val="en-GB"/>
        </w:rPr>
        <w:t xml:space="preserve"> point</w:t>
      </w:r>
      <w:r w:rsidR="00E74718">
        <w:rPr>
          <w:sz w:val="22"/>
          <w:szCs w:val="22"/>
          <w:lang w:val="en-GB"/>
        </w:rPr>
        <w:t>s</w:t>
      </w:r>
      <w:r w:rsidR="00D525FE">
        <w:rPr>
          <w:sz w:val="22"/>
          <w:szCs w:val="22"/>
          <w:lang w:val="en-GB"/>
        </w:rPr>
        <w:t xml:space="preserve"> </w:t>
      </w:r>
      <w:r w:rsidR="00D70AC8">
        <w:rPr>
          <w:sz w:val="22"/>
          <w:szCs w:val="22"/>
          <w:lang w:val="en-GB"/>
        </w:rPr>
        <w:t>to reach 1</w:t>
      </w:r>
      <w:r w:rsidR="00E74718">
        <w:rPr>
          <w:sz w:val="22"/>
          <w:szCs w:val="22"/>
          <w:lang w:val="en-GB"/>
        </w:rPr>
        <w:t>1</w:t>
      </w:r>
      <w:r w:rsidR="00480730">
        <w:rPr>
          <w:sz w:val="22"/>
          <w:szCs w:val="22"/>
          <w:lang w:val="en-GB"/>
        </w:rPr>
        <w:t>8</w:t>
      </w:r>
      <w:r w:rsidR="00D70AC8">
        <w:rPr>
          <w:sz w:val="22"/>
          <w:szCs w:val="22"/>
          <w:lang w:val="en-GB"/>
        </w:rPr>
        <w:t>.</w:t>
      </w:r>
      <w:r w:rsidR="00480730">
        <w:rPr>
          <w:sz w:val="22"/>
          <w:szCs w:val="22"/>
          <w:lang w:val="en-GB"/>
        </w:rPr>
        <w:t>0</w:t>
      </w:r>
      <w:r w:rsidR="00D70AC8">
        <w:rPr>
          <w:sz w:val="22"/>
          <w:szCs w:val="22"/>
          <w:lang w:val="en-GB"/>
        </w:rPr>
        <w:t xml:space="preserve"> in </w:t>
      </w:r>
      <w:r w:rsidR="00C35223">
        <w:rPr>
          <w:sz w:val="22"/>
          <w:szCs w:val="22"/>
          <w:lang w:val="en-GB"/>
        </w:rPr>
        <w:t>third</w:t>
      </w:r>
      <w:r w:rsidR="00D70AC8">
        <w:rPr>
          <w:sz w:val="22"/>
          <w:szCs w:val="22"/>
          <w:lang w:val="en-GB"/>
        </w:rPr>
        <w:t xml:space="preserve"> quarter</w:t>
      </w:r>
      <w:r w:rsidR="007C55AD">
        <w:rPr>
          <w:sz w:val="22"/>
          <w:szCs w:val="22"/>
          <w:lang w:val="en-GB"/>
        </w:rPr>
        <w:t xml:space="preserve"> </w:t>
      </w:r>
      <w:r w:rsidR="00751504">
        <w:rPr>
          <w:sz w:val="22"/>
          <w:szCs w:val="22"/>
          <w:lang w:val="en-GB"/>
        </w:rPr>
        <w:t>202</w:t>
      </w:r>
      <w:r w:rsidR="00E74718">
        <w:rPr>
          <w:sz w:val="22"/>
          <w:szCs w:val="22"/>
          <w:lang w:val="en-GB"/>
        </w:rPr>
        <w:t>4</w:t>
      </w:r>
      <w:r w:rsidR="00D70AC8">
        <w:rPr>
          <w:sz w:val="22"/>
          <w:szCs w:val="22"/>
          <w:lang w:val="en-GB"/>
        </w:rPr>
        <w:t>, from 1</w:t>
      </w:r>
      <w:r w:rsidR="00D910A6">
        <w:rPr>
          <w:sz w:val="22"/>
          <w:szCs w:val="22"/>
          <w:lang w:val="en-GB"/>
        </w:rPr>
        <w:t>15</w:t>
      </w:r>
      <w:r w:rsidR="00D70AC8">
        <w:rPr>
          <w:sz w:val="22"/>
          <w:szCs w:val="22"/>
          <w:lang w:val="en-GB"/>
        </w:rPr>
        <w:t>.</w:t>
      </w:r>
      <w:r w:rsidR="00480730">
        <w:rPr>
          <w:sz w:val="22"/>
          <w:szCs w:val="22"/>
          <w:lang w:val="en-GB"/>
        </w:rPr>
        <w:t>1</w:t>
      </w:r>
      <w:r w:rsidR="00DD0DB9">
        <w:rPr>
          <w:sz w:val="22"/>
          <w:szCs w:val="22"/>
          <w:lang w:val="en-GB"/>
        </w:rPr>
        <w:t xml:space="preserve"> </w:t>
      </w:r>
      <w:r w:rsidR="00E3475B">
        <w:rPr>
          <w:sz w:val="22"/>
          <w:szCs w:val="22"/>
          <w:lang w:val="en-GB"/>
        </w:rPr>
        <w:t xml:space="preserve">in </w:t>
      </w:r>
      <w:r w:rsidR="00C35223">
        <w:rPr>
          <w:sz w:val="22"/>
          <w:szCs w:val="22"/>
          <w:lang w:val="en-GB"/>
        </w:rPr>
        <w:t>second</w:t>
      </w:r>
      <w:r w:rsidR="00E3475B">
        <w:rPr>
          <w:sz w:val="22"/>
          <w:szCs w:val="22"/>
          <w:lang w:val="en-GB"/>
        </w:rPr>
        <w:t xml:space="preserve"> quarter 202</w:t>
      </w:r>
      <w:r w:rsidR="00D910A6">
        <w:rPr>
          <w:sz w:val="22"/>
          <w:szCs w:val="22"/>
          <w:lang w:val="en-GB"/>
        </w:rPr>
        <w:t>4</w:t>
      </w:r>
      <w:r w:rsidR="000225F6">
        <w:rPr>
          <w:sz w:val="22"/>
          <w:szCs w:val="22"/>
          <w:lang w:val="en-GB"/>
        </w:rPr>
        <w:t>.</w:t>
      </w:r>
    </w:p>
    <w:p w14:paraId="7591DAAB" w14:textId="77777777" w:rsidR="00751504" w:rsidRDefault="00751504" w:rsidP="004D66BE">
      <w:pPr>
        <w:pStyle w:val="BodyTextIndent"/>
        <w:spacing w:line="270" w:lineRule="atLeast"/>
        <w:ind w:right="115" w:firstLine="0"/>
        <w:rPr>
          <w:sz w:val="22"/>
          <w:szCs w:val="22"/>
          <w:lang w:val="en-GB"/>
        </w:rPr>
      </w:pPr>
    </w:p>
    <w:p w14:paraId="063EA039" w14:textId="61E73A1C" w:rsidR="00BE49A6" w:rsidRDefault="00751504" w:rsidP="004D66BE">
      <w:pPr>
        <w:pStyle w:val="BodyTextIndent"/>
        <w:spacing w:line="270" w:lineRule="atLeast"/>
        <w:ind w:right="115" w:firstLine="0"/>
        <w:rPr>
          <w:sz w:val="22"/>
          <w:szCs w:val="22"/>
          <w:lang w:val="en-GB"/>
        </w:rPr>
      </w:pPr>
      <w:r w:rsidRPr="008B188F">
        <w:rPr>
          <w:sz w:val="22"/>
          <w:szCs w:val="22"/>
          <w:lang w:val="en-GB"/>
        </w:rPr>
        <w:t>C</w:t>
      </w:r>
      <w:r w:rsidRPr="008B188F">
        <w:rPr>
          <w:sz w:val="22"/>
          <w:szCs w:val="22"/>
          <w:lang w:val="en-GB" w:eastAsia="en-US"/>
        </w:rPr>
        <w:t xml:space="preserve">ompared to </w:t>
      </w:r>
      <w:r w:rsidR="00C35223">
        <w:rPr>
          <w:sz w:val="22"/>
          <w:szCs w:val="22"/>
          <w:lang w:val="en-GB" w:eastAsia="en-US"/>
        </w:rPr>
        <w:t>third</w:t>
      </w:r>
      <w:r w:rsidRPr="008B188F">
        <w:rPr>
          <w:sz w:val="22"/>
          <w:szCs w:val="22"/>
          <w:lang w:val="en-GB" w:eastAsia="en-US"/>
        </w:rPr>
        <w:t xml:space="preserve"> quarter 202</w:t>
      </w:r>
      <w:r w:rsidR="00E74718">
        <w:rPr>
          <w:sz w:val="22"/>
          <w:szCs w:val="22"/>
          <w:lang w:val="en-GB" w:eastAsia="en-US"/>
        </w:rPr>
        <w:t>3</w:t>
      </w:r>
      <w:r w:rsidRPr="008B188F">
        <w:rPr>
          <w:sz w:val="22"/>
          <w:szCs w:val="22"/>
          <w:lang w:val="en-GB" w:eastAsia="en-US"/>
        </w:rPr>
        <w:t>, the index, which stood at 1</w:t>
      </w:r>
      <w:r>
        <w:rPr>
          <w:sz w:val="22"/>
          <w:szCs w:val="22"/>
          <w:lang w:val="en-GB" w:eastAsia="en-US"/>
        </w:rPr>
        <w:t>0</w:t>
      </w:r>
      <w:r w:rsidR="00E74718">
        <w:rPr>
          <w:sz w:val="22"/>
          <w:szCs w:val="22"/>
          <w:lang w:val="en-GB" w:eastAsia="en-US"/>
        </w:rPr>
        <w:t>7</w:t>
      </w:r>
      <w:r w:rsidRPr="008B188F">
        <w:rPr>
          <w:sz w:val="22"/>
          <w:szCs w:val="22"/>
          <w:lang w:val="en-GB" w:eastAsia="en-US"/>
        </w:rPr>
        <w:t>.</w:t>
      </w:r>
      <w:r w:rsidR="00480730">
        <w:rPr>
          <w:sz w:val="22"/>
          <w:szCs w:val="22"/>
          <w:lang w:val="en-GB" w:eastAsia="en-US"/>
        </w:rPr>
        <w:t>0</w:t>
      </w:r>
      <w:r w:rsidRPr="008B188F">
        <w:rPr>
          <w:sz w:val="22"/>
          <w:szCs w:val="22"/>
          <w:lang w:val="en-GB" w:eastAsia="en-US"/>
        </w:rPr>
        <w:t xml:space="preserve">, increased by </w:t>
      </w:r>
      <w:r w:rsidR="00480730">
        <w:rPr>
          <w:sz w:val="22"/>
          <w:szCs w:val="22"/>
          <w:lang w:val="en-GB" w:eastAsia="en-US"/>
        </w:rPr>
        <w:t>10</w:t>
      </w:r>
      <w:r w:rsidRPr="008B188F">
        <w:rPr>
          <w:sz w:val="22"/>
          <w:szCs w:val="22"/>
          <w:lang w:val="en-GB" w:eastAsia="en-US"/>
        </w:rPr>
        <w:t>.</w:t>
      </w:r>
      <w:r w:rsidR="00480730">
        <w:rPr>
          <w:sz w:val="22"/>
          <w:szCs w:val="22"/>
          <w:lang w:val="en-GB" w:eastAsia="en-US"/>
        </w:rPr>
        <w:t>3</w:t>
      </w:r>
      <w:r w:rsidRPr="008B188F">
        <w:rPr>
          <w:sz w:val="22"/>
          <w:szCs w:val="22"/>
          <w:lang w:val="en-GB" w:eastAsia="en-US"/>
        </w:rPr>
        <w:t xml:space="preserve">% or </w:t>
      </w:r>
      <w:r w:rsidR="00480730">
        <w:rPr>
          <w:sz w:val="22"/>
          <w:szCs w:val="22"/>
          <w:lang w:val="en-GB" w:eastAsia="en-US"/>
        </w:rPr>
        <w:t>11</w:t>
      </w:r>
      <w:r>
        <w:rPr>
          <w:sz w:val="22"/>
          <w:szCs w:val="22"/>
          <w:lang w:val="en-GB" w:eastAsia="en-US"/>
        </w:rPr>
        <w:t>.</w:t>
      </w:r>
      <w:r w:rsidR="00480730">
        <w:rPr>
          <w:sz w:val="22"/>
          <w:szCs w:val="22"/>
          <w:lang w:val="en-GB" w:eastAsia="en-US"/>
        </w:rPr>
        <w:t>0</w:t>
      </w:r>
      <w:r w:rsidRPr="008B188F">
        <w:rPr>
          <w:sz w:val="22"/>
          <w:szCs w:val="22"/>
          <w:lang w:val="en-GB" w:eastAsia="en-US"/>
        </w:rPr>
        <w:t xml:space="preserve"> point</w:t>
      </w:r>
      <w:r>
        <w:rPr>
          <w:sz w:val="22"/>
          <w:szCs w:val="22"/>
          <w:lang w:val="en-GB" w:eastAsia="en-US"/>
        </w:rPr>
        <w:t>s</w:t>
      </w:r>
      <w:r w:rsidRPr="008B188F">
        <w:rPr>
          <w:sz w:val="22"/>
          <w:szCs w:val="22"/>
          <w:lang w:val="en-GB" w:eastAsia="en-US"/>
        </w:rPr>
        <w:t>.</w:t>
      </w:r>
    </w:p>
    <w:p w14:paraId="460B34B1" w14:textId="1A017CBC" w:rsidR="00E778C4" w:rsidRPr="008B188F" w:rsidRDefault="006E7797" w:rsidP="001B64C9">
      <w:pPr>
        <w:pStyle w:val="BodyTextIndent"/>
        <w:spacing w:line="270" w:lineRule="atLeast"/>
        <w:ind w:right="115" w:firstLine="0"/>
        <w:rPr>
          <w:sz w:val="22"/>
          <w:szCs w:val="22"/>
          <w:lang w:val="en-GB"/>
        </w:rPr>
      </w:pPr>
      <w:r w:rsidRPr="008B188F">
        <w:rPr>
          <w:sz w:val="22"/>
          <w:szCs w:val="22"/>
          <w:lang w:val="en-GB" w:eastAsia="en-US"/>
        </w:rPr>
        <w:t>This</w:t>
      </w:r>
      <w:r w:rsidR="00B827B4" w:rsidRPr="008B188F">
        <w:rPr>
          <w:sz w:val="22"/>
          <w:szCs w:val="22"/>
          <w:lang w:val="en-GB"/>
        </w:rPr>
        <w:t xml:space="preserve"> sector</w:t>
      </w:r>
      <w:r w:rsidR="00482A96" w:rsidRPr="008B188F">
        <w:rPr>
          <w:sz w:val="22"/>
          <w:szCs w:val="22"/>
          <w:lang w:val="en-GB"/>
        </w:rPr>
        <w:t xml:space="preserve"> </w:t>
      </w:r>
      <w:r w:rsidR="00B827B4" w:rsidRPr="008B188F">
        <w:rPr>
          <w:sz w:val="22"/>
          <w:szCs w:val="22"/>
          <w:lang w:val="en-GB"/>
        </w:rPr>
        <w:t>accounts for around 3</w:t>
      </w:r>
      <w:r w:rsidR="00002B89" w:rsidRPr="008B188F">
        <w:rPr>
          <w:sz w:val="22"/>
          <w:szCs w:val="22"/>
          <w:lang w:val="en-GB"/>
        </w:rPr>
        <w:t>4</w:t>
      </w:r>
      <w:r w:rsidR="00B827B4" w:rsidRPr="008B188F">
        <w:rPr>
          <w:sz w:val="22"/>
          <w:szCs w:val="22"/>
          <w:lang w:val="en-GB"/>
        </w:rPr>
        <w:t>% of the total weight of the</w:t>
      </w:r>
      <w:r w:rsidR="005D12DD" w:rsidRPr="008B188F">
        <w:rPr>
          <w:sz w:val="22"/>
          <w:szCs w:val="22"/>
          <w:lang w:val="en-GB"/>
        </w:rPr>
        <w:t xml:space="preserve"> </w:t>
      </w:r>
      <w:r w:rsidR="00F64631">
        <w:rPr>
          <w:sz w:val="22"/>
          <w:szCs w:val="22"/>
          <w:lang w:val="en-GB"/>
        </w:rPr>
        <w:t>Wage Rate Index</w:t>
      </w:r>
      <w:r w:rsidR="005A3303" w:rsidRPr="008B188F">
        <w:rPr>
          <w:sz w:val="22"/>
          <w:szCs w:val="22"/>
          <w:lang w:val="en-GB"/>
        </w:rPr>
        <w:t>.</w:t>
      </w:r>
      <w:r w:rsidR="005D12DD" w:rsidRPr="008B188F">
        <w:rPr>
          <w:sz w:val="22"/>
          <w:szCs w:val="22"/>
          <w:lang w:val="en-GB"/>
        </w:rPr>
        <w:t xml:space="preserve"> </w:t>
      </w:r>
      <w:bookmarkEnd w:id="2"/>
    </w:p>
    <w:bookmarkEnd w:id="3"/>
    <w:p w14:paraId="36F144F7" w14:textId="610CD1AC" w:rsidR="006471C2" w:rsidRDefault="006471C2" w:rsidP="00212426">
      <w:pPr>
        <w:pStyle w:val="BodyTextIndent"/>
        <w:spacing w:line="270" w:lineRule="atLeast"/>
        <w:ind w:right="115" w:firstLine="0"/>
        <w:jc w:val="left"/>
        <w:rPr>
          <w:sz w:val="22"/>
          <w:szCs w:val="22"/>
          <w:lang w:val="en-GB"/>
        </w:rPr>
      </w:pPr>
    </w:p>
    <w:p w14:paraId="3124C133" w14:textId="1E006391" w:rsidR="00656BD1" w:rsidRPr="008B188F" w:rsidRDefault="00656BD1" w:rsidP="00656BD1">
      <w:pPr>
        <w:pStyle w:val="BodyTextIndent"/>
        <w:ind w:left="284" w:right="115" w:hanging="284"/>
        <w:rPr>
          <w:b/>
          <w:sz w:val="22"/>
          <w:szCs w:val="22"/>
          <w:lang w:val="en-GB"/>
        </w:rPr>
      </w:pPr>
      <w:r w:rsidRPr="008B188F">
        <w:rPr>
          <w:b/>
          <w:sz w:val="22"/>
          <w:szCs w:val="22"/>
          <w:lang w:val="en-GB"/>
        </w:rPr>
        <w:t>4</w:t>
      </w:r>
      <w:r w:rsidRPr="008B188F">
        <w:rPr>
          <w:sz w:val="22"/>
          <w:szCs w:val="22"/>
          <w:lang w:val="en-GB"/>
        </w:rPr>
        <w:t xml:space="preserve">. </w:t>
      </w:r>
      <w:r w:rsidRPr="008B188F">
        <w:rPr>
          <w:b/>
          <w:sz w:val="22"/>
          <w:szCs w:val="22"/>
          <w:lang w:val="en-GB"/>
        </w:rPr>
        <w:t xml:space="preserve">Movement of the sub-indices, </w:t>
      </w:r>
      <w:r w:rsidR="00C35223">
        <w:rPr>
          <w:b/>
          <w:sz w:val="22"/>
          <w:szCs w:val="22"/>
          <w:lang w:val="en-GB"/>
        </w:rPr>
        <w:t>3</w:t>
      </w:r>
      <w:r w:rsidR="00C35223">
        <w:rPr>
          <w:b/>
          <w:sz w:val="22"/>
          <w:szCs w:val="22"/>
          <w:vertAlign w:val="superscript"/>
          <w:lang w:val="en-GB"/>
        </w:rPr>
        <w:t>rd</w:t>
      </w:r>
      <w:r w:rsidRPr="008B188F">
        <w:rPr>
          <w:b/>
          <w:sz w:val="22"/>
          <w:szCs w:val="22"/>
          <w:lang w:val="en-GB"/>
        </w:rPr>
        <w:t xml:space="preserve"> Quarter 202</w:t>
      </w:r>
      <w:r w:rsidR="00E74718">
        <w:rPr>
          <w:b/>
          <w:sz w:val="22"/>
          <w:szCs w:val="22"/>
          <w:lang w:val="en-GB"/>
        </w:rPr>
        <w:t>3</w:t>
      </w:r>
      <w:r w:rsidRPr="008B188F">
        <w:rPr>
          <w:b/>
          <w:sz w:val="22"/>
          <w:szCs w:val="22"/>
          <w:lang w:val="en-GB"/>
        </w:rPr>
        <w:t xml:space="preserve"> to </w:t>
      </w:r>
      <w:r w:rsidR="00C35223">
        <w:rPr>
          <w:b/>
          <w:sz w:val="22"/>
          <w:szCs w:val="22"/>
          <w:lang w:val="en-GB"/>
        </w:rPr>
        <w:t>3</w:t>
      </w:r>
      <w:r w:rsidR="00C35223">
        <w:rPr>
          <w:b/>
          <w:sz w:val="22"/>
          <w:szCs w:val="22"/>
          <w:vertAlign w:val="superscript"/>
          <w:lang w:val="en-GB"/>
        </w:rPr>
        <w:t>rd</w:t>
      </w:r>
      <w:r w:rsidRPr="008B188F">
        <w:rPr>
          <w:b/>
          <w:sz w:val="22"/>
          <w:szCs w:val="22"/>
          <w:lang w:val="en-GB"/>
        </w:rPr>
        <w:t xml:space="preserve"> Quarter 202</w:t>
      </w:r>
      <w:r w:rsidR="00E74718">
        <w:rPr>
          <w:b/>
          <w:sz w:val="22"/>
          <w:szCs w:val="22"/>
          <w:lang w:val="en-GB"/>
        </w:rPr>
        <w:t>4</w:t>
      </w:r>
    </w:p>
    <w:p w14:paraId="6A147CA5" w14:textId="77777777" w:rsidR="00656BD1" w:rsidRPr="008B188F" w:rsidRDefault="00656BD1" w:rsidP="00656BD1">
      <w:pPr>
        <w:pStyle w:val="BodyTextIndent"/>
        <w:ind w:right="113" w:firstLine="0"/>
        <w:rPr>
          <w:sz w:val="22"/>
          <w:szCs w:val="22"/>
          <w:lang w:val="en-GB"/>
        </w:rPr>
      </w:pPr>
    </w:p>
    <w:p w14:paraId="2EFEABD8" w14:textId="507CF546" w:rsidR="00656BD1" w:rsidRDefault="00656BD1" w:rsidP="00656BD1">
      <w:pPr>
        <w:pStyle w:val="BodyTextIndent"/>
        <w:ind w:right="115" w:firstLine="0"/>
        <w:rPr>
          <w:sz w:val="22"/>
          <w:szCs w:val="22"/>
          <w:lang w:val="en-GB"/>
        </w:rPr>
      </w:pPr>
      <w:r w:rsidRPr="008B188F">
        <w:rPr>
          <w:sz w:val="22"/>
          <w:szCs w:val="24"/>
          <w:lang w:val="en-GB"/>
        </w:rPr>
        <w:t xml:space="preserve">Table 3 compares the indices for the </w:t>
      </w:r>
      <w:r w:rsidR="00C35223">
        <w:rPr>
          <w:sz w:val="22"/>
          <w:szCs w:val="24"/>
          <w:lang w:val="en-GB"/>
        </w:rPr>
        <w:t>third</w:t>
      </w:r>
      <w:r w:rsidRPr="008B188F">
        <w:rPr>
          <w:sz w:val="22"/>
          <w:szCs w:val="24"/>
          <w:lang w:val="en-GB"/>
        </w:rPr>
        <w:t xml:space="preserve"> quarter of 202</w:t>
      </w:r>
      <w:r w:rsidR="00E74718">
        <w:rPr>
          <w:sz w:val="22"/>
          <w:szCs w:val="24"/>
          <w:lang w:val="en-GB"/>
        </w:rPr>
        <w:t>4</w:t>
      </w:r>
      <w:r w:rsidRPr="008B188F">
        <w:rPr>
          <w:sz w:val="22"/>
          <w:szCs w:val="24"/>
          <w:lang w:val="en-GB"/>
        </w:rPr>
        <w:t xml:space="preserve"> with those </w:t>
      </w:r>
      <w:r>
        <w:rPr>
          <w:sz w:val="22"/>
          <w:szCs w:val="24"/>
          <w:lang w:val="en-GB"/>
        </w:rPr>
        <w:t>of</w:t>
      </w:r>
      <w:r w:rsidRPr="008B188F">
        <w:rPr>
          <w:sz w:val="22"/>
          <w:szCs w:val="24"/>
          <w:lang w:val="en-GB"/>
        </w:rPr>
        <w:t xml:space="preserve"> the corresponding quarter of 202</w:t>
      </w:r>
      <w:r w:rsidR="00E74718">
        <w:rPr>
          <w:sz w:val="22"/>
          <w:szCs w:val="24"/>
          <w:lang w:val="en-GB"/>
        </w:rPr>
        <w:t>3</w:t>
      </w:r>
      <w:r w:rsidRPr="008B188F">
        <w:rPr>
          <w:sz w:val="22"/>
          <w:szCs w:val="24"/>
          <w:lang w:val="en-GB"/>
        </w:rPr>
        <w:t>.</w:t>
      </w:r>
      <w:r w:rsidRPr="008B188F">
        <w:rPr>
          <w:sz w:val="22"/>
          <w:szCs w:val="22"/>
          <w:lang w:val="en-GB"/>
        </w:rPr>
        <w:t xml:space="preserve"> </w:t>
      </w:r>
    </w:p>
    <w:p w14:paraId="7B135881" w14:textId="77777777" w:rsidR="00656BD1" w:rsidRPr="008B188F" w:rsidRDefault="00656BD1" w:rsidP="00656BD1">
      <w:pPr>
        <w:pStyle w:val="BodyTextIndent"/>
        <w:ind w:right="115" w:firstLine="0"/>
        <w:rPr>
          <w:sz w:val="22"/>
          <w:szCs w:val="22"/>
          <w:lang w:val="en-GB"/>
        </w:rPr>
      </w:pPr>
    </w:p>
    <w:p w14:paraId="3037414E" w14:textId="77777777" w:rsidR="00656BD1" w:rsidRPr="008B188F" w:rsidRDefault="00656BD1" w:rsidP="00656BD1">
      <w:pPr>
        <w:pStyle w:val="BodyTextIndent"/>
        <w:ind w:right="113" w:firstLine="0"/>
        <w:rPr>
          <w:sz w:val="22"/>
          <w:szCs w:val="24"/>
          <w:lang w:val="en-GB"/>
        </w:rPr>
      </w:pPr>
      <w:r w:rsidRPr="008B188F">
        <w:rPr>
          <w:sz w:val="22"/>
          <w:szCs w:val="22"/>
          <w:lang w:val="en-GB"/>
        </w:rPr>
        <w:t xml:space="preserve">Main increases were registered in the following industry groups:  </w:t>
      </w:r>
    </w:p>
    <w:p w14:paraId="52D10B4D" w14:textId="77777777" w:rsidR="00656BD1" w:rsidRPr="008B188F" w:rsidRDefault="00656BD1" w:rsidP="00656BD1">
      <w:pPr>
        <w:pStyle w:val="BodyTextIndent"/>
        <w:ind w:right="113" w:firstLine="0"/>
        <w:rPr>
          <w:sz w:val="16"/>
          <w:szCs w:val="16"/>
          <w:lang w:val="en-GB"/>
        </w:rPr>
      </w:pPr>
      <w:r w:rsidRPr="008B188F">
        <w:rPr>
          <w:sz w:val="22"/>
          <w:szCs w:val="24"/>
          <w:lang w:val="en-GB"/>
        </w:rPr>
        <w:t xml:space="preserve"> </w:t>
      </w:r>
    </w:p>
    <w:p w14:paraId="03975EE7" w14:textId="77777777" w:rsidR="006D1BE5" w:rsidRDefault="006D1BE5" w:rsidP="00212426">
      <w:pPr>
        <w:pStyle w:val="BodyTextIndent"/>
        <w:spacing w:line="270" w:lineRule="atLeast"/>
        <w:ind w:right="115" w:firstLine="0"/>
        <w:jc w:val="left"/>
        <w:rPr>
          <w:sz w:val="22"/>
          <w:szCs w:val="22"/>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5"/>
        <w:gridCol w:w="1560"/>
      </w:tblGrid>
      <w:tr w:rsidR="006D1BE5" w14:paraId="61C4C0CD" w14:textId="77777777" w:rsidTr="0093287C">
        <w:tc>
          <w:tcPr>
            <w:tcW w:w="5665" w:type="dxa"/>
          </w:tcPr>
          <w:p w14:paraId="3CCD53BF" w14:textId="5EC67080" w:rsidR="006D1BE5" w:rsidRPr="00D81B4A" w:rsidRDefault="00085D25" w:rsidP="00212426">
            <w:pPr>
              <w:pStyle w:val="BodyTextIndent"/>
              <w:spacing w:line="270" w:lineRule="atLeast"/>
              <w:ind w:right="115" w:firstLine="0"/>
              <w:jc w:val="left"/>
              <w:rPr>
                <w:i/>
                <w:iCs/>
                <w:sz w:val="22"/>
                <w:szCs w:val="22"/>
                <w:lang w:val="en-GB"/>
              </w:rPr>
            </w:pPr>
            <w:r w:rsidRPr="00D81B4A">
              <w:rPr>
                <w:i/>
                <w:iCs/>
                <w:sz w:val="22"/>
                <w:szCs w:val="22"/>
                <w:lang w:val="en-GB"/>
              </w:rPr>
              <w:t>Manufacturing</w:t>
            </w:r>
          </w:p>
        </w:tc>
        <w:tc>
          <w:tcPr>
            <w:tcW w:w="1560" w:type="dxa"/>
          </w:tcPr>
          <w:p w14:paraId="2C12A15A" w14:textId="3C6922F5" w:rsidR="006D1BE5" w:rsidRPr="00D81B4A" w:rsidRDefault="004D3032" w:rsidP="00212426">
            <w:pPr>
              <w:pStyle w:val="BodyTextIndent"/>
              <w:spacing w:line="270" w:lineRule="atLeast"/>
              <w:ind w:right="115" w:firstLine="0"/>
              <w:jc w:val="left"/>
              <w:rPr>
                <w:i/>
                <w:iCs/>
                <w:sz w:val="22"/>
                <w:szCs w:val="22"/>
                <w:lang w:val="en-GB"/>
              </w:rPr>
            </w:pPr>
            <w:r>
              <w:rPr>
                <w:i/>
                <w:iCs/>
                <w:sz w:val="22"/>
                <w:szCs w:val="22"/>
                <w:lang w:val="en-GB"/>
              </w:rPr>
              <w:t>30</w:t>
            </w:r>
            <w:r w:rsidR="006D1BE5" w:rsidRPr="00D81B4A">
              <w:rPr>
                <w:i/>
                <w:iCs/>
                <w:sz w:val="22"/>
                <w:szCs w:val="22"/>
                <w:lang w:val="en-GB"/>
              </w:rPr>
              <w:t>.</w:t>
            </w:r>
            <w:r>
              <w:rPr>
                <w:i/>
                <w:iCs/>
                <w:sz w:val="22"/>
                <w:szCs w:val="22"/>
                <w:lang w:val="en-GB"/>
              </w:rPr>
              <w:t>6</w:t>
            </w:r>
            <w:r w:rsidR="006D1BE5" w:rsidRPr="00D81B4A">
              <w:rPr>
                <w:i/>
                <w:iCs/>
                <w:sz w:val="22"/>
                <w:szCs w:val="22"/>
                <w:lang w:val="en-GB"/>
              </w:rPr>
              <w:t>%</w:t>
            </w:r>
          </w:p>
        </w:tc>
      </w:tr>
      <w:tr w:rsidR="006D1BE5" w14:paraId="11AD1296" w14:textId="77777777" w:rsidTr="0093287C">
        <w:tc>
          <w:tcPr>
            <w:tcW w:w="5665" w:type="dxa"/>
          </w:tcPr>
          <w:p w14:paraId="542560C6" w14:textId="43FC2AAC" w:rsidR="006D1BE5" w:rsidRPr="00D81B4A" w:rsidRDefault="00D910A6" w:rsidP="00212426">
            <w:pPr>
              <w:pStyle w:val="BodyTextIndent"/>
              <w:spacing w:line="270" w:lineRule="atLeast"/>
              <w:ind w:right="115" w:firstLine="0"/>
              <w:jc w:val="left"/>
              <w:rPr>
                <w:i/>
                <w:iCs/>
                <w:sz w:val="22"/>
                <w:szCs w:val="22"/>
                <w:lang w:val="en-GB"/>
              </w:rPr>
            </w:pPr>
            <w:r w:rsidRPr="00D81B4A">
              <w:rPr>
                <w:i/>
                <w:iCs/>
                <w:sz w:val="22"/>
                <w:szCs w:val="22"/>
                <w:lang w:val="en-GB"/>
              </w:rPr>
              <w:t>Administrative and support service activities</w:t>
            </w:r>
          </w:p>
        </w:tc>
        <w:tc>
          <w:tcPr>
            <w:tcW w:w="1560" w:type="dxa"/>
          </w:tcPr>
          <w:p w14:paraId="38FE5FC6" w14:textId="16F76EAE" w:rsidR="006D1BE5" w:rsidRPr="00D81B4A" w:rsidRDefault="004D3032" w:rsidP="00212426">
            <w:pPr>
              <w:pStyle w:val="BodyTextIndent"/>
              <w:spacing w:line="270" w:lineRule="atLeast"/>
              <w:ind w:right="115" w:firstLine="0"/>
              <w:jc w:val="left"/>
              <w:rPr>
                <w:i/>
                <w:iCs/>
                <w:sz w:val="22"/>
                <w:szCs w:val="22"/>
                <w:lang w:val="en-GB"/>
              </w:rPr>
            </w:pPr>
            <w:r>
              <w:rPr>
                <w:i/>
                <w:iCs/>
                <w:sz w:val="22"/>
                <w:szCs w:val="22"/>
                <w:lang w:val="en-GB"/>
              </w:rPr>
              <w:t>22</w:t>
            </w:r>
            <w:r w:rsidR="006D1BE5" w:rsidRPr="00D81B4A">
              <w:rPr>
                <w:i/>
                <w:iCs/>
                <w:sz w:val="22"/>
                <w:szCs w:val="22"/>
                <w:lang w:val="en-GB"/>
              </w:rPr>
              <w:t>.</w:t>
            </w:r>
            <w:r>
              <w:rPr>
                <w:i/>
                <w:iCs/>
                <w:sz w:val="22"/>
                <w:szCs w:val="22"/>
                <w:lang w:val="en-GB"/>
              </w:rPr>
              <w:t>3</w:t>
            </w:r>
            <w:r w:rsidR="006D1BE5" w:rsidRPr="00D81B4A">
              <w:rPr>
                <w:i/>
                <w:iCs/>
                <w:sz w:val="22"/>
                <w:szCs w:val="22"/>
                <w:lang w:val="en-GB"/>
              </w:rPr>
              <w:t>%</w:t>
            </w:r>
          </w:p>
        </w:tc>
      </w:tr>
      <w:tr w:rsidR="006D1BE5" w14:paraId="03D45A04" w14:textId="77777777" w:rsidTr="0093287C">
        <w:tc>
          <w:tcPr>
            <w:tcW w:w="5665" w:type="dxa"/>
          </w:tcPr>
          <w:p w14:paraId="37AECE4C" w14:textId="79CDB80F" w:rsidR="006D1BE5" w:rsidRPr="00D81B4A" w:rsidRDefault="008D3538" w:rsidP="00212426">
            <w:pPr>
              <w:pStyle w:val="BodyTextIndent"/>
              <w:spacing w:line="270" w:lineRule="atLeast"/>
              <w:ind w:right="115" w:firstLine="0"/>
              <w:jc w:val="left"/>
              <w:rPr>
                <w:i/>
                <w:iCs/>
                <w:sz w:val="22"/>
                <w:szCs w:val="22"/>
                <w:lang w:val="en-GB"/>
              </w:rPr>
            </w:pPr>
            <w:r w:rsidRPr="00D81B4A">
              <w:rPr>
                <w:i/>
                <w:iCs/>
                <w:sz w:val="22"/>
                <w:szCs w:val="22"/>
                <w:lang w:val="en-GB"/>
              </w:rPr>
              <w:t>Accommodation and food service activities</w:t>
            </w:r>
          </w:p>
        </w:tc>
        <w:tc>
          <w:tcPr>
            <w:tcW w:w="1560" w:type="dxa"/>
          </w:tcPr>
          <w:p w14:paraId="482D103A" w14:textId="13FF9146" w:rsidR="006D1BE5" w:rsidRPr="00D81B4A" w:rsidRDefault="00EF2281" w:rsidP="00212426">
            <w:pPr>
              <w:pStyle w:val="BodyTextIndent"/>
              <w:spacing w:line="270" w:lineRule="atLeast"/>
              <w:ind w:right="115" w:firstLine="0"/>
              <w:jc w:val="left"/>
              <w:rPr>
                <w:i/>
                <w:iCs/>
                <w:sz w:val="22"/>
                <w:szCs w:val="22"/>
                <w:lang w:val="en-GB"/>
              </w:rPr>
            </w:pPr>
            <w:r>
              <w:rPr>
                <w:i/>
                <w:iCs/>
                <w:sz w:val="22"/>
                <w:szCs w:val="22"/>
                <w:lang w:val="en-GB"/>
              </w:rPr>
              <w:t>20.8</w:t>
            </w:r>
            <w:r w:rsidR="006D1BE5" w:rsidRPr="00D81B4A">
              <w:rPr>
                <w:i/>
                <w:iCs/>
                <w:sz w:val="22"/>
                <w:szCs w:val="22"/>
                <w:lang w:val="en-GB"/>
              </w:rPr>
              <w:t>%</w:t>
            </w:r>
          </w:p>
        </w:tc>
      </w:tr>
      <w:tr w:rsidR="006D1BE5" w14:paraId="02D047B9" w14:textId="77777777" w:rsidTr="0093287C">
        <w:tc>
          <w:tcPr>
            <w:tcW w:w="5665" w:type="dxa"/>
          </w:tcPr>
          <w:p w14:paraId="048DEFDF" w14:textId="4FEB6146" w:rsidR="006D1BE5" w:rsidRPr="00D81B4A" w:rsidRDefault="00EF2281" w:rsidP="00212426">
            <w:pPr>
              <w:pStyle w:val="BodyTextIndent"/>
              <w:spacing w:line="270" w:lineRule="atLeast"/>
              <w:ind w:right="115" w:firstLine="0"/>
              <w:jc w:val="left"/>
              <w:rPr>
                <w:i/>
                <w:iCs/>
                <w:sz w:val="22"/>
                <w:szCs w:val="22"/>
                <w:lang w:val="en-GB"/>
              </w:rPr>
            </w:pPr>
            <w:r w:rsidRPr="00EF2281">
              <w:rPr>
                <w:i/>
                <w:iCs/>
                <w:sz w:val="22"/>
                <w:szCs w:val="22"/>
                <w:lang w:val="en-GB"/>
              </w:rPr>
              <w:t>Wholesale and retail trade; repair of motor vehicles and motorcycles</w:t>
            </w:r>
          </w:p>
        </w:tc>
        <w:tc>
          <w:tcPr>
            <w:tcW w:w="1560" w:type="dxa"/>
          </w:tcPr>
          <w:p w14:paraId="5437FC20" w14:textId="0DC670A1" w:rsidR="006D1BE5" w:rsidRPr="00D81B4A" w:rsidRDefault="00EF2281" w:rsidP="00212426">
            <w:pPr>
              <w:pStyle w:val="BodyTextIndent"/>
              <w:spacing w:line="270" w:lineRule="atLeast"/>
              <w:ind w:right="115" w:firstLine="0"/>
              <w:jc w:val="left"/>
              <w:rPr>
                <w:i/>
                <w:iCs/>
                <w:sz w:val="22"/>
                <w:szCs w:val="22"/>
                <w:lang w:val="en-GB"/>
              </w:rPr>
            </w:pPr>
            <w:r>
              <w:rPr>
                <w:i/>
                <w:iCs/>
                <w:sz w:val="22"/>
                <w:szCs w:val="22"/>
                <w:lang w:val="en-GB"/>
              </w:rPr>
              <w:t>19</w:t>
            </w:r>
            <w:r w:rsidR="000D0DB1">
              <w:rPr>
                <w:i/>
                <w:iCs/>
                <w:sz w:val="22"/>
                <w:szCs w:val="22"/>
                <w:lang w:val="en-GB"/>
              </w:rPr>
              <w:t>.</w:t>
            </w:r>
            <w:r>
              <w:rPr>
                <w:i/>
                <w:iCs/>
                <w:sz w:val="22"/>
                <w:szCs w:val="22"/>
                <w:lang w:val="en-GB"/>
              </w:rPr>
              <w:t>7</w:t>
            </w:r>
            <w:r w:rsidR="006D1BE5" w:rsidRPr="00D81B4A">
              <w:rPr>
                <w:i/>
                <w:iCs/>
                <w:sz w:val="22"/>
                <w:szCs w:val="22"/>
                <w:lang w:val="en-GB"/>
              </w:rPr>
              <w:t>%</w:t>
            </w:r>
          </w:p>
        </w:tc>
      </w:tr>
      <w:tr w:rsidR="00FC7F99" w14:paraId="24292147" w14:textId="77777777" w:rsidTr="0093287C">
        <w:tc>
          <w:tcPr>
            <w:tcW w:w="5665" w:type="dxa"/>
          </w:tcPr>
          <w:p w14:paraId="64B11994" w14:textId="707BD821" w:rsidR="00FC7F99" w:rsidRPr="00D81B4A" w:rsidRDefault="00EF2281" w:rsidP="00212426">
            <w:pPr>
              <w:pStyle w:val="BodyTextIndent"/>
              <w:spacing w:line="270" w:lineRule="atLeast"/>
              <w:ind w:right="115" w:firstLine="0"/>
              <w:jc w:val="left"/>
              <w:rPr>
                <w:i/>
                <w:iCs/>
                <w:sz w:val="22"/>
                <w:szCs w:val="22"/>
                <w:lang w:val="en-GB"/>
              </w:rPr>
            </w:pPr>
            <w:r w:rsidRPr="00EF2281">
              <w:rPr>
                <w:i/>
                <w:iCs/>
                <w:sz w:val="22"/>
                <w:szCs w:val="22"/>
                <w:lang w:val="en-GB"/>
              </w:rPr>
              <w:t>Financial and insurance activities</w:t>
            </w:r>
          </w:p>
        </w:tc>
        <w:tc>
          <w:tcPr>
            <w:tcW w:w="1560" w:type="dxa"/>
          </w:tcPr>
          <w:p w14:paraId="792F3C4C" w14:textId="009BBE2D" w:rsidR="00FC7F99" w:rsidRPr="00D81B4A" w:rsidRDefault="00085D25" w:rsidP="00212426">
            <w:pPr>
              <w:pStyle w:val="BodyTextIndent"/>
              <w:spacing w:line="270" w:lineRule="atLeast"/>
              <w:ind w:right="115" w:firstLine="0"/>
              <w:jc w:val="left"/>
              <w:rPr>
                <w:i/>
                <w:iCs/>
                <w:sz w:val="22"/>
                <w:szCs w:val="22"/>
                <w:lang w:val="en-GB"/>
              </w:rPr>
            </w:pPr>
            <w:r w:rsidRPr="00D81B4A">
              <w:rPr>
                <w:i/>
                <w:iCs/>
                <w:sz w:val="22"/>
                <w:szCs w:val="22"/>
                <w:lang w:val="en-GB"/>
              </w:rPr>
              <w:t>1</w:t>
            </w:r>
            <w:r w:rsidR="00EF2281">
              <w:rPr>
                <w:i/>
                <w:iCs/>
                <w:sz w:val="22"/>
                <w:szCs w:val="22"/>
                <w:lang w:val="en-GB"/>
              </w:rPr>
              <w:t>7</w:t>
            </w:r>
            <w:r w:rsidR="00FC7F99" w:rsidRPr="00D81B4A">
              <w:rPr>
                <w:i/>
                <w:iCs/>
                <w:sz w:val="22"/>
                <w:szCs w:val="22"/>
                <w:lang w:val="en-GB"/>
              </w:rPr>
              <w:t>.</w:t>
            </w:r>
            <w:r w:rsidR="00EF2281">
              <w:rPr>
                <w:i/>
                <w:iCs/>
                <w:sz w:val="22"/>
                <w:szCs w:val="22"/>
                <w:lang w:val="en-GB"/>
              </w:rPr>
              <w:t>3</w:t>
            </w:r>
            <w:r w:rsidR="00FC7F99" w:rsidRPr="00D81B4A">
              <w:rPr>
                <w:i/>
                <w:iCs/>
                <w:sz w:val="22"/>
                <w:szCs w:val="22"/>
                <w:lang w:val="en-GB"/>
              </w:rPr>
              <w:t>%</w:t>
            </w:r>
          </w:p>
        </w:tc>
      </w:tr>
      <w:tr w:rsidR="00A45876" w14:paraId="4EEE6DF5" w14:textId="77777777" w:rsidTr="0093287C">
        <w:tc>
          <w:tcPr>
            <w:tcW w:w="5665" w:type="dxa"/>
          </w:tcPr>
          <w:p w14:paraId="7D236B0A" w14:textId="7C1B3140" w:rsidR="00A45876" w:rsidRPr="00D81B4A" w:rsidRDefault="0098436C" w:rsidP="00212426">
            <w:pPr>
              <w:pStyle w:val="BodyTextIndent"/>
              <w:spacing w:line="270" w:lineRule="atLeast"/>
              <w:ind w:right="115" w:firstLine="0"/>
              <w:jc w:val="left"/>
              <w:rPr>
                <w:i/>
                <w:iCs/>
                <w:sz w:val="22"/>
                <w:szCs w:val="22"/>
                <w:lang w:val="en-GB"/>
              </w:rPr>
            </w:pPr>
            <w:r w:rsidRPr="00EF2281">
              <w:rPr>
                <w:i/>
                <w:iCs/>
                <w:sz w:val="22"/>
                <w:szCs w:val="22"/>
                <w:lang w:val="en-GB"/>
              </w:rPr>
              <w:t>Transportation and storage</w:t>
            </w:r>
          </w:p>
        </w:tc>
        <w:tc>
          <w:tcPr>
            <w:tcW w:w="1560" w:type="dxa"/>
          </w:tcPr>
          <w:p w14:paraId="52CE49B4" w14:textId="0206D26F" w:rsidR="00A45876" w:rsidRPr="00D81B4A" w:rsidRDefault="00A45876" w:rsidP="00212426">
            <w:pPr>
              <w:pStyle w:val="BodyTextIndent"/>
              <w:spacing w:line="270" w:lineRule="atLeast"/>
              <w:ind w:right="115" w:firstLine="0"/>
              <w:jc w:val="left"/>
              <w:rPr>
                <w:i/>
                <w:iCs/>
                <w:sz w:val="22"/>
                <w:szCs w:val="22"/>
                <w:lang w:val="en-GB"/>
              </w:rPr>
            </w:pPr>
            <w:r>
              <w:rPr>
                <w:i/>
                <w:iCs/>
                <w:sz w:val="22"/>
                <w:szCs w:val="22"/>
                <w:lang w:val="en-GB"/>
              </w:rPr>
              <w:t>1</w:t>
            </w:r>
            <w:r w:rsidR="0098436C">
              <w:rPr>
                <w:i/>
                <w:iCs/>
                <w:sz w:val="22"/>
                <w:szCs w:val="22"/>
                <w:lang w:val="en-GB"/>
              </w:rPr>
              <w:t>3</w:t>
            </w:r>
            <w:r>
              <w:rPr>
                <w:i/>
                <w:iCs/>
                <w:sz w:val="22"/>
                <w:szCs w:val="22"/>
                <w:lang w:val="en-GB"/>
              </w:rPr>
              <w:t>.</w:t>
            </w:r>
            <w:r w:rsidR="0098436C">
              <w:rPr>
                <w:i/>
                <w:iCs/>
                <w:sz w:val="22"/>
                <w:szCs w:val="22"/>
                <w:lang w:val="en-GB"/>
              </w:rPr>
              <w:t>8</w:t>
            </w:r>
            <w:r>
              <w:rPr>
                <w:i/>
                <w:iCs/>
                <w:sz w:val="22"/>
                <w:szCs w:val="22"/>
                <w:lang w:val="en-GB"/>
              </w:rPr>
              <w:t>%</w:t>
            </w:r>
          </w:p>
        </w:tc>
      </w:tr>
      <w:tr w:rsidR="004435D7" w14:paraId="59DCE298" w14:textId="77777777" w:rsidTr="0093287C">
        <w:tc>
          <w:tcPr>
            <w:tcW w:w="5665" w:type="dxa"/>
          </w:tcPr>
          <w:p w14:paraId="42D0437D" w14:textId="62AF5CE9" w:rsidR="004435D7" w:rsidRPr="00D81B4A" w:rsidRDefault="0098436C" w:rsidP="00212426">
            <w:pPr>
              <w:pStyle w:val="BodyTextIndent"/>
              <w:spacing w:line="270" w:lineRule="atLeast"/>
              <w:ind w:right="115" w:firstLine="0"/>
              <w:jc w:val="left"/>
              <w:rPr>
                <w:i/>
                <w:iCs/>
                <w:sz w:val="22"/>
                <w:szCs w:val="22"/>
                <w:lang w:val="en-GB"/>
              </w:rPr>
            </w:pPr>
            <w:r w:rsidRPr="00EF2281">
              <w:rPr>
                <w:i/>
                <w:iCs/>
                <w:sz w:val="22"/>
                <w:szCs w:val="22"/>
                <w:lang w:val="en-GB"/>
              </w:rPr>
              <w:t>Public administration and defence; compulsory social security</w:t>
            </w:r>
          </w:p>
        </w:tc>
        <w:tc>
          <w:tcPr>
            <w:tcW w:w="1560" w:type="dxa"/>
          </w:tcPr>
          <w:p w14:paraId="4AB9ED99" w14:textId="5ADAE35F" w:rsidR="004435D7" w:rsidRPr="00D81B4A" w:rsidRDefault="0098436C" w:rsidP="00212426">
            <w:pPr>
              <w:pStyle w:val="BodyTextIndent"/>
              <w:spacing w:line="270" w:lineRule="atLeast"/>
              <w:ind w:right="115" w:firstLine="0"/>
              <w:jc w:val="left"/>
              <w:rPr>
                <w:i/>
                <w:iCs/>
                <w:sz w:val="22"/>
                <w:szCs w:val="22"/>
                <w:lang w:val="en-GB"/>
              </w:rPr>
            </w:pPr>
            <w:r>
              <w:rPr>
                <w:i/>
                <w:iCs/>
                <w:sz w:val="22"/>
                <w:szCs w:val="22"/>
                <w:lang w:val="en-GB"/>
              </w:rPr>
              <w:t>11</w:t>
            </w:r>
            <w:r w:rsidR="004435D7" w:rsidRPr="00D81B4A">
              <w:rPr>
                <w:i/>
                <w:iCs/>
                <w:sz w:val="22"/>
                <w:szCs w:val="22"/>
                <w:lang w:val="en-GB"/>
              </w:rPr>
              <w:t>.</w:t>
            </w:r>
            <w:r>
              <w:rPr>
                <w:i/>
                <w:iCs/>
                <w:sz w:val="22"/>
                <w:szCs w:val="22"/>
                <w:lang w:val="en-GB"/>
              </w:rPr>
              <w:t>9</w:t>
            </w:r>
            <w:r w:rsidR="004435D7" w:rsidRPr="00D81B4A">
              <w:rPr>
                <w:i/>
                <w:iCs/>
                <w:sz w:val="22"/>
                <w:szCs w:val="22"/>
                <w:lang w:val="en-GB"/>
              </w:rPr>
              <w:t>%</w:t>
            </w:r>
          </w:p>
        </w:tc>
      </w:tr>
    </w:tbl>
    <w:p w14:paraId="7B60D58A" w14:textId="28557070" w:rsidR="00274734" w:rsidRDefault="00274734" w:rsidP="004B0474">
      <w:pPr>
        <w:pStyle w:val="BodyTextIndent"/>
        <w:ind w:right="113" w:firstLine="0"/>
        <w:rPr>
          <w:sz w:val="22"/>
          <w:szCs w:val="24"/>
          <w:lang w:val="en-GB"/>
        </w:rPr>
      </w:pPr>
    </w:p>
    <w:p w14:paraId="70C74D04" w14:textId="696B9923" w:rsidR="0056493C" w:rsidRDefault="0056493C" w:rsidP="004B0474">
      <w:pPr>
        <w:pStyle w:val="BodyTextIndent"/>
        <w:ind w:right="113" w:firstLine="0"/>
        <w:rPr>
          <w:sz w:val="22"/>
          <w:szCs w:val="24"/>
          <w:lang w:val="en-GB"/>
        </w:rPr>
      </w:pPr>
    </w:p>
    <w:p w14:paraId="5FDEC920" w14:textId="641B7817" w:rsidR="0056493C" w:rsidRDefault="0056493C" w:rsidP="004B0474">
      <w:pPr>
        <w:pStyle w:val="BodyTextIndent"/>
        <w:ind w:right="113" w:firstLine="0"/>
        <w:rPr>
          <w:sz w:val="22"/>
          <w:szCs w:val="24"/>
          <w:lang w:val="en-GB"/>
        </w:rPr>
      </w:pPr>
    </w:p>
    <w:p w14:paraId="0CDAF282" w14:textId="7BE0974D" w:rsidR="006D5092" w:rsidRDefault="006D5092" w:rsidP="004B0474">
      <w:pPr>
        <w:pStyle w:val="BodyTextIndent"/>
        <w:ind w:right="113" w:firstLine="0"/>
        <w:rPr>
          <w:sz w:val="22"/>
          <w:szCs w:val="24"/>
          <w:lang w:val="en-GB"/>
        </w:rPr>
      </w:pPr>
    </w:p>
    <w:p w14:paraId="721968FE" w14:textId="77777777" w:rsidR="006D5092" w:rsidRDefault="006D5092" w:rsidP="004B0474">
      <w:pPr>
        <w:pStyle w:val="BodyTextIndent"/>
        <w:ind w:right="113" w:firstLine="0"/>
        <w:rPr>
          <w:sz w:val="22"/>
          <w:szCs w:val="24"/>
          <w:lang w:val="en-GB"/>
        </w:rPr>
      </w:pPr>
    </w:p>
    <w:p w14:paraId="18AC35C0" w14:textId="2EB811A4" w:rsidR="00127F73" w:rsidRPr="00267109" w:rsidRDefault="00127F73" w:rsidP="00127F73">
      <w:pPr>
        <w:pStyle w:val="BodyTextIndent"/>
        <w:spacing w:line="264" w:lineRule="auto"/>
        <w:ind w:right="113" w:firstLine="0"/>
        <w:jc w:val="center"/>
        <w:rPr>
          <w:sz w:val="22"/>
          <w:szCs w:val="22"/>
          <w:lang w:val="en-GB"/>
        </w:rPr>
      </w:pPr>
      <w:r>
        <w:rPr>
          <w:sz w:val="22"/>
          <w:szCs w:val="22"/>
          <w:lang w:val="en-GB"/>
        </w:rPr>
        <w:t>3</w:t>
      </w:r>
    </w:p>
    <w:p w14:paraId="54BD61C1" w14:textId="51239879" w:rsidR="00926EAB" w:rsidRDefault="00926EAB" w:rsidP="00351BBB">
      <w:pPr>
        <w:pStyle w:val="BodyTextIndent"/>
        <w:ind w:right="115" w:firstLine="0"/>
        <w:jc w:val="left"/>
        <w:rPr>
          <w:sz w:val="22"/>
          <w:szCs w:val="24"/>
          <w:lang w:val="en-GB"/>
        </w:rPr>
      </w:pPr>
    </w:p>
    <w:p w14:paraId="5D9D4002" w14:textId="77777777" w:rsidR="0018601C" w:rsidRDefault="0018601C" w:rsidP="00351BBB">
      <w:pPr>
        <w:pStyle w:val="BodyTextIndent"/>
        <w:ind w:right="115" w:firstLine="0"/>
        <w:jc w:val="left"/>
        <w:rPr>
          <w:sz w:val="22"/>
          <w:szCs w:val="24"/>
          <w:lang w:val="en-GB"/>
        </w:rPr>
      </w:pPr>
    </w:p>
    <w:p w14:paraId="6D63F832" w14:textId="288A3474" w:rsidR="0018601C" w:rsidRPr="008B188F" w:rsidRDefault="0018601C" w:rsidP="0018601C">
      <w:pPr>
        <w:pStyle w:val="BodyTextIndent"/>
        <w:ind w:left="284" w:right="113" w:hanging="284"/>
        <w:rPr>
          <w:b/>
          <w:sz w:val="22"/>
          <w:szCs w:val="24"/>
          <w:lang w:val="en-GB"/>
        </w:rPr>
      </w:pPr>
      <w:r w:rsidRPr="008B188F">
        <w:rPr>
          <w:b/>
          <w:sz w:val="22"/>
          <w:szCs w:val="24"/>
          <w:lang w:val="en-GB"/>
        </w:rPr>
        <w:t>5. Indices for the</w:t>
      </w:r>
      <w:r>
        <w:rPr>
          <w:b/>
          <w:sz w:val="22"/>
          <w:szCs w:val="24"/>
          <w:lang w:val="en-GB"/>
        </w:rPr>
        <w:t xml:space="preserve"> Private and Public sectors</w:t>
      </w:r>
      <w:r w:rsidR="004435D7">
        <w:rPr>
          <w:b/>
          <w:sz w:val="22"/>
          <w:szCs w:val="24"/>
          <w:lang w:val="en-GB"/>
        </w:rPr>
        <w:t>, Q</w:t>
      </w:r>
      <w:r w:rsidR="00C35223">
        <w:rPr>
          <w:b/>
          <w:sz w:val="22"/>
          <w:szCs w:val="24"/>
          <w:lang w:val="en-GB"/>
        </w:rPr>
        <w:t>3</w:t>
      </w:r>
      <w:r w:rsidR="004435D7">
        <w:rPr>
          <w:b/>
          <w:sz w:val="22"/>
          <w:szCs w:val="24"/>
          <w:lang w:val="en-GB"/>
        </w:rPr>
        <w:t xml:space="preserve"> 202</w:t>
      </w:r>
      <w:r w:rsidR="00BE0E3B">
        <w:rPr>
          <w:b/>
          <w:sz w:val="22"/>
          <w:szCs w:val="24"/>
          <w:lang w:val="en-GB"/>
        </w:rPr>
        <w:t>4</w:t>
      </w:r>
    </w:p>
    <w:p w14:paraId="2F35788C" w14:textId="77777777" w:rsidR="0018601C" w:rsidRPr="008B188F" w:rsidRDefault="0018601C" w:rsidP="0018601C">
      <w:pPr>
        <w:pStyle w:val="BodyTextIndent"/>
        <w:ind w:right="113" w:firstLine="0"/>
        <w:rPr>
          <w:sz w:val="22"/>
          <w:szCs w:val="24"/>
          <w:lang w:val="en-GB"/>
        </w:rPr>
      </w:pPr>
    </w:p>
    <w:p w14:paraId="315E595E" w14:textId="1FE5E8AD" w:rsidR="0018601C" w:rsidRPr="008B188F" w:rsidRDefault="0018601C" w:rsidP="0018601C">
      <w:pPr>
        <w:pStyle w:val="BodyTextIndent"/>
        <w:ind w:right="113" w:firstLine="0"/>
        <w:rPr>
          <w:sz w:val="22"/>
          <w:szCs w:val="24"/>
          <w:lang w:val="en-GB"/>
        </w:rPr>
      </w:pPr>
      <w:bookmarkStart w:id="4" w:name="OLE_LINK5"/>
      <w:r w:rsidRPr="008B188F">
        <w:rPr>
          <w:sz w:val="22"/>
          <w:szCs w:val="24"/>
          <w:lang w:val="en-GB"/>
        </w:rPr>
        <w:t xml:space="preserve">The index for the private sector which accounts for around 54% of the total weight of the </w:t>
      </w:r>
      <w:r w:rsidR="00F64631">
        <w:rPr>
          <w:sz w:val="22"/>
          <w:szCs w:val="24"/>
          <w:lang w:val="en-GB"/>
        </w:rPr>
        <w:t>Wage Rate Index</w:t>
      </w:r>
      <w:r w:rsidR="00A15616">
        <w:rPr>
          <w:sz w:val="22"/>
          <w:szCs w:val="24"/>
          <w:lang w:val="en-GB"/>
        </w:rPr>
        <w:t>,</w:t>
      </w:r>
      <w:r w:rsidRPr="008B188F">
        <w:rPr>
          <w:sz w:val="22"/>
          <w:szCs w:val="24"/>
          <w:lang w:val="en-GB"/>
        </w:rPr>
        <w:t xml:space="preserve"> </w:t>
      </w:r>
      <w:bookmarkStart w:id="5" w:name="_Hlk161862429"/>
      <w:r w:rsidRPr="008B188F">
        <w:rPr>
          <w:sz w:val="22"/>
          <w:szCs w:val="24"/>
          <w:lang w:val="en-GB"/>
        </w:rPr>
        <w:t xml:space="preserve">increased by </w:t>
      </w:r>
      <w:r w:rsidR="00480730">
        <w:rPr>
          <w:sz w:val="22"/>
          <w:szCs w:val="24"/>
          <w:lang w:val="en-GB"/>
        </w:rPr>
        <w:t>5</w:t>
      </w:r>
      <w:r w:rsidR="007676AF">
        <w:rPr>
          <w:sz w:val="22"/>
          <w:szCs w:val="24"/>
          <w:lang w:val="en-GB"/>
        </w:rPr>
        <w:t>.</w:t>
      </w:r>
      <w:r w:rsidR="00480730">
        <w:rPr>
          <w:sz w:val="22"/>
          <w:szCs w:val="24"/>
          <w:lang w:val="en-GB"/>
        </w:rPr>
        <w:t>2</w:t>
      </w:r>
      <w:r w:rsidRPr="008B188F">
        <w:rPr>
          <w:sz w:val="22"/>
          <w:szCs w:val="24"/>
          <w:lang w:val="en-GB"/>
        </w:rPr>
        <w:t xml:space="preserve">% or </w:t>
      </w:r>
      <w:r w:rsidR="00480730">
        <w:rPr>
          <w:sz w:val="22"/>
          <w:szCs w:val="24"/>
          <w:lang w:val="en-GB"/>
        </w:rPr>
        <w:t>6</w:t>
      </w:r>
      <w:r w:rsidRPr="008B188F">
        <w:rPr>
          <w:sz w:val="22"/>
          <w:szCs w:val="24"/>
          <w:lang w:val="en-GB"/>
        </w:rPr>
        <w:t>.</w:t>
      </w:r>
      <w:r w:rsidR="00480730">
        <w:rPr>
          <w:sz w:val="22"/>
          <w:szCs w:val="24"/>
          <w:lang w:val="en-GB"/>
        </w:rPr>
        <w:t>7</w:t>
      </w:r>
      <w:r w:rsidR="00711861">
        <w:rPr>
          <w:sz w:val="22"/>
          <w:szCs w:val="24"/>
          <w:lang w:val="en-GB"/>
        </w:rPr>
        <w:t xml:space="preserve"> </w:t>
      </w:r>
      <w:r w:rsidRPr="008B188F">
        <w:rPr>
          <w:sz w:val="22"/>
          <w:szCs w:val="24"/>
          <w:lang w:val="en-GB"/>
        </w:rPr>
        <w:t>point</w:t>
      </w:r>
      <w:r w:rsidR="00480730">
        <w:rPr>
          <w:sz w:val="22"/>
          <w:szCs w:val="24"/>
          <w:lang w:val="en-GB"/>
        </w:rPr>
        <w:t>s</w:t>
      </w:r>
      <w:r w:rsidRPr="008B188F">
        <w:rPr>
          <w:sz w:val="22"/>
          <w:szCs w:val="24"/>
          <w:lang w:val="en-GB"/>
        </w:rPr>
        <w:t xml:space="preserve"> from 1</w:t>
      </w:r>
      <w:r w:rsidR="007B72F3">
        <w:rPr>
          <w:sz w:val="22"/>
          <w:szCs w:val="24"/>
          <w:lang w:val="en-GB"/>
        </w:rPr>
        <w:t>2</w:t>
      </w:r>
      <w:r w:rsidR="00480730">
        <w:rPr>
          <w:sz w:val="22"/>
          <w:szCs w:val="24"/>
          <w:lang w:val="en-GB"/>
        </w:rPr>
        <w:t>9</w:t>
      </w:r>
      <w:r w:rsidRPr="008B188F">
        <w:rPr>
          <w:sz w:val="22"/>
          <w:szCs w:val="24"/>
          <w:lang w:val="en-GB"/>
        </w:rPr>
        <w:t>.</w:t>
      </w:r>
      <w:r w:rsidR="00480730">
        <w:rPr>
          <w:sz w:val="22"/>
          <w:szCs w:val="24"/>
          <w:lang w:val="en-GB"/>
        </w:rPr>
        <w:t>3</w:t>
      </w:r>
      <w:r w:rsidRPr="008B188F">
        <w:rPr>
          <w:sz w:val="22"/>
          <w:szCs w:val="24"/>
          <w:lang w:val="en-GB"/>
        </w:rPr>
        <w:t xml:space="preserve"> in </w:t>
      </w:r>
      <w:r w:rsidR="00C35223">
        <w:rPr>
          <w:sz w:val="22"/>
          <w:szCs w:val="24"/>
          <w:lang w:val="en-GB"/>
        </w:rPr>
        <w:t>second</w:t>
      </w:r>
      <w:r w:rsidRPr="008B188F">
        <w:rPr>
          <w:sz w:val="22"/>
          <w:szCs w:val="24"/>
          <w:lang w:val="en-GB"/>
        </w:rPr>
        <w:t xml:space="preserve"> quarter 202</w:t>
      </w:r>
      <w:r w:rsidR="007B72F3">
        <w:rPr>
          <w:sz w:val="22"/>
          <w:szCs w:val="24"/>
          <w:lang w:val="en-GB"/>
        </w:rPr>
        <w:t>4</w:t>
      </w:r>
      <w:r w:rsidRPr="008B188F">
        <w:rPr>
          <w:sz w:val="22"/>
          <w:szCs w:val="24"/>
          <w:lang w:val="en-GB"/>
        </w:rPr>
        <w:t xml:space="preserve"> to 1</w:t>
      </w:r>
      <w:r w:rsidR="00480730">
        <w:rPr>
          <w:sz w:val="22"/>
          <w:szCs w:val="24"/>
          <w:lang w:val="en-GB"/>
        </w:rPr>
        <w:t>36</w:t>
      </w:r>
      <w:r w:rsidRPr="008B188F">
        <w:rPr>
          <w:sz w:val="22"/>
          <w:szCs w:val="24"/>
          <w:lang w:val="en-GB"/>
        </w:rPr>
        <w:t>.</w:t>
      </w:r>
      <w:r w:rsidR="00480730">
        <w:rPr>
          <w:sz w:val="22"/>
          <w:szCs w:val="24"/>
          <w:lang w:val="en-GB"/>
        </w:rPr>
        <w:t>0</w:t>
      </w:r>
      <w:r w:rsidRPr="008B188F">
        <w:rPr>
          <w:sz w:val="22"/>
          <w:szCs w:val="24"/>
          <w:lang w:val="en-GB"/>
        </w:rPr>
        <w:t xml:space="preserve"> in </w:t>
      </w:r>
      <w:r w:rsidR="00C35223">
        <w:rPr>
          <w:sz w:val="22"/>
          <w:szCs w:val="24"/>
          <w:lang w:val="en-GB"/>
        </w:rPr>
        <w:t>third</w:t>
      </w:r>
      <w:r w:rsidRPr="008B188F">
        <w:rPr>
          <w:sz w:val="22"/>
          <w:szCs w:val="24"/>
          <w:lang w:val="en-GB"/>
        </w:rPr>
        <w:t xml:space="preserve"> quarter 202</w:t>
      </w:r>
      <w:r w:rsidR="00BE0E3B">
        <w:rPr>
          <w:sz w:val="22"/>
          <w:szCs w:val="24"/>
          <w:lang w:val="en-GB"/>
        </w:rPr>
        <w:t>4</w:t>
      </w:r>
      <w:r>
        <w:rPr>
          <w:sz w:val="22"/>
          <w:szCs w:val="24"/>
          <w:lang w:val="en-GB"/>
        </w:rPr>
        <w:t xml:space="preserve"> </w:t>
      </w:r>
      <w:r w:rsidRPr="008B188F">
        <w:rPr>
          <w:sz w:val="22"/>
          <w:szCs w:val="24"/>
          <w:lang w:val="en-GB"/>
        </w:rPr>
        <w:t xml:space="preserve">(Tables </w:t>
      </w:r>
      <w:r w:rsidR="00BE0E3B">
        <w:rPr>
          <w:sz w:val="22"/>
          <w:szCs w:val="24"/>
          <w:lang w:val="en-GB"/>
        </w:rPr>
        <w:t>6</w:t>
      </w:r>
      <w:r w:rsidR="004435D7">
        <w:rPr>
          <w:sz w:val="22"/>
          <w:szCs w:val="24"/>
          <w:lang w:val="en-GB"/>
        </w:rPr>
        <w:t xml:space="preserve"> </w:t>
      </w:r>
      <w:r w:rsidRPr="008B188F">
        <w:rPr>
          <w:sz w:val="22"/>
          <w:szCs w:val="24"/>
          <w:lang w:val="en-GB"/>
        </w:rPr>
        <w:t xml:space="preserve">&amp; </w:t>
      </w:r>
      <w:r w:rsidR="00BE0E3B">
        <w:rPr>
          <w:sz w:val="22"/>
          <w:szCs w:val="24"/>
          <w:lang w:val="en-GB"/>
        </w:rPr>
        <w:t>7</w:t>
      </w:r>
      <w:r w:rsidRPr="008B188F">
        <w:rPr>
          <w:sz w:val="22"/>
          <w:szCs w:val="24"/>
          <w:lang w:val="en-GB"/>
        </w:rPr>
        <w:t>).</w:t>
      </w:r>
    </w:p>
    <w:bookmarkEnd w:id="5"/>
    <w:p w14:paraId="0B974212" w14:textId="77777777" w:rsidR="0018601C" w:rsidRPr="008B188F" w:rsidRDefault="0018601C" w:rsidP="0018601C">
      <w:pPr>
        <w:pStyle w:val="BodyTextIndent"/>
        <w:ind w:right="113" w:firstLine="0"/>
        <w:rPr>
          <w:sz w:val="22"/>
          <w:szCs w:val="24"/>
          <w:lang w:val="en-GB"/>
        </w:rPr>
      </w:pPr>
    </w:p>
    <w:p w14:paraId="44CE54A0" w14:textId="7577C261" w:rsidR="0018601C" w:rsidRPr="008B188F" w:rsidRDefault="0018601C" w:rsidP="0018601C">
      <w:pPr>
        <w:pStyle w:val="BodyTextIndent"/>
        <w:ind w:right="113" w:firstLine="0"/>
        <w:rPr>
          <w:sz w:val="22"/>
          <w:szCs w:val="24"/>
          <w:lang w:val="en-GB"/>
        </w:rPr>
      </w:pPr>
      <w:r w:rsidRPr="008B188F">
        <w:rPr>
          <w:sz w:val="22"/>
          <w:szCs w:val="24"/>
          <w:lang w:val="en-GB"/>
        </w:rPr>
        <w:t xml:space="preserve">Compared to </w:t>
      </w:r>
      <w:r w:rsidR="00C35223">
        <w:rPr>
          <w:sz w:val="22"/>
          <w:szCs w:val="24"/>
          <w:lang w:val="en-GB"/>
        </w:rPr>
        <w:t>third</w:t>
      </w:r>
      <w:r w:rsidRPr="008B188F">
        <w:rPr>
          <w:sz w:val="22"/>
          <w:szCs w:val="24"/>
          <w:lang w:val="en-GB"/>
        </w:rPr>
        <w:t xml:space="preserve"> quarter 202</w:t>
      </w:r>
      <w:r w:rsidR="007B72F3">
        <w:rPr>
          <w:sz w:val="22"/>
          <w:szCs w:val="24"/>
          <w:lang w:val="en-GB"/>
        </w:rPr>
        <w:t>3</w:t>
      </w:r>
      <w:r w:rsidRPr="008B188F">
        <w:rPr>
          <w:sz w:val="22"/>
          <w:szCs w:val="24"/>
          <w:lang w:val="en-GB"/>
        </w:rPr>
        <w:t xml:space="preserve">, the index for the private sector, which stood at </w:t>
      </w:r>
      <w:r w:rsidR="001518D4">
        <w:rPr>
          <w:sz w:val="22"/>
          <w:szCs w:val="24"/>
          <w:lang w:val="en-GB"/>
        </w:rPr>
        <w:t>1</w:t>
      </w:r>
      <w:r w:rsidR="00BE0E3B">
        <w:rPr>
          <w:sz w:val="22"/>
          <w:szCs w:val="24"/>
          <w:lang w:val="en-GB"/>
        </w:rPr>
        <w:t>1</w:t>
      </w:r>
      <w:r w:rsidR="00480730">
        <w:rPr>
          <w:sz w:val="22"/>
          <w:szCs w:val="24"/>
          <w:lang w:val="en-GB"/>
        </w:rPr>
        <w:t>5</w:t>
      </w:r>
      <w:r w:rsidR="001518D4">
        <w:rPr>
          <w:sz w:val="22"/>
          <w:szCs w:val="24"/>
          <w:lang w:val="en-GB"/>
        </w:rPr>
        <w:t>.</w:t>
      </w:r>
      <w:r w:rsidR="007B72F3">
        <w:rPr>
          <w:sz w:val="22"/>
          <w:szCs w:val="24"/>
          <w:lang w:val="en-GB"/>
        </w:rPr>
        <w:t>4</w:t>
      </w:r>
      <w:r w:rsidRPr="008B188F">
        <w:rPr>
          <w:sz w:val="22"/>
          <w:szCs w:val="24"/>
          <w:lang w:val="en-GB"/>
        </w:rPr>
        <w:t xml:space="preserve">, increased by </w:t>
      </w:r>
      <w:r w:rsidR="00BE0E3B">
        <w:rPr>
          <w:sz w:val="22"/>
          <w:szCs w:val="24"/>
          <w:lang w:val="en-GB"/>
        </w:rPr>
        <w:t>1</w:t>
      </w:r>
      <w:r w:rsidR="00480730">
        <w:rPr>
          <w:sz w:val="22"/>
          <w:szCs w:val="24"/>
          <w:lang w:val="en-GB"/>
        </w:rPr>
        <w:t>7</w:t>
      </w:r>
      <w:r w:rsidRPr="008B188F">
        <w:rPr>
          <w:sz w:val="22"/>
          <w:szCs w:val="24"/>
          <w:lang w:val="en-GB"/>
        </w:rPr>
        <w:t>.</w:t>
      </w:r>
      <w:r w:rsidR="00480730">
        <w:rPr>
          <w:sz w:val="22"/>
          <w:szCs w:val="24"/>
          <w:lang w:val="en-GB"/>
        </w:rPr>
        <w:t>9</w:t>
      </w:r>
      <w:r w:rsidRPr="008B188F">
        <w:rPr>
          <w:sz w:val="22"/>
          <w:szCs w:val="24"/>
          <w:lang w:val="en-GB"/>
        </w:rPr>
        <w:t xml:space="preserve">% or </w:t>
      </w:r>
      <w:r w:rsidR="00480730">
        <w:rPr>
          <w:sz w:val="22"/>
          <w:szCs w:val="24"/>
          <w:lang w:val="en-GB"/>
        </w:rPr>
        <w:t>20</w:t>
      </w:r>
      <w:r w:rsidRPr="008B188F">
        <w:rPr>
          <w:sz w:val="22"/>
          <w:szCs w:val="24"/>
          <w:lang w:val="en-GB"/>
        </w:rPr>
        <w:t>.</w:t>
      </w:r>
      <w:r w:rsidR="00480730">
        <w:rPr>
          <w:sz w:val="22"/>
          <w:szCs w:val="24"/>
          <w:lang w:val="en-GB"/>
        </w:rPr>
        <w:t>6</w:t>
      </w:r>
      <w:r w:rsidRPr="008B188F">
        <w:rPr>
          <w:sz w:val="22"/>
          <w:szCs w:val="24"/>
          <w:lang w:val="en-GB"/>
        </w:rPr>
        <w:t xml:space="preserve"> points (Table </w:t>
      </w:r>
      <w:r w:rsidR="00BE0E3B">
        <w:rPr>
          <w:sz w:val="22"/>
          <w:szCs w:val="24"/>
          <w:lang w:val="en-GB"/>
        </w:rPr>
        <w:t>8</w:t>
      </w:r>
      <w:r w:rsidRPr="008B188F">
        <w:rPr>
          <w:sz w:val="22"/>
          <w:szCs w:val="24"/>
          <w:lang w:val="en-GB"/>
        </w:rPr>
        <w:t>).</w:t>
      </w:r>
    </w:p>
    <w:bookmarkEnd w:id="4"/>
    <w:p w14:paraId="3A915EC8" w14:textId="77777777" w:rsidR="0018601C" w:rsidRPr="008B188F" w:rsidRDefault="0018601C" w:rsidP="0018601C">
      <w:pPr>
        <w:pStyle w:val="BodyTextIndent"/>
        <w:ind w:right="113" w:firstLine="0"/>
        <w:rPr>
          <w:sz w:val="22"/>
          <w:szCs w:val="24"/>
          <w:lang w:val="en-GB"/>
        </w:rPr>
      </w:pPr>
    </w:p>
    <w:p w14:paraId="7741D561" w14:textId="1B8EBD2F" w:rsidR="00A15616" w:rsidRPr="008B188F" w:rsidRDefault="0018601C" w:rsidP="00A15616">
      <w:pPr>
        <w:pStyle w:val="BodyTextIndent"/>
        <w:ind w:right="113" w:firstLine="0"/>
        <w:rPr>
          <w:sz w:val="22"/>
          <w:szCs w:val="24"/>
          <w:lang w:val="en-GB"/>
        </w:rPr>
      </w:pPr>
      <w:bookmarkStart w:id="6" w:name="OLE_LINK4"/>
      <w:r w:rsidRPr="008B188F">
        <w:rPr>
          <w:sz w:val="22"/>
          <w:szCs w:val="24"/>
          <w:lang w:val="en-GB"/>
        </w:rPr>
        <w:t xml:space="preserve">The index for the public sector which comprises </w:t>
      </w:r>
      <w:r w:rsidR="003200F1">
        <w:rPr>
          <w:sz w:val="22"/>
          <w:szCs w:val="24"/>
          <w:lang w:val="en-GB"/>
        </w:rPr>
        <w:t>G</w:t>
      </w:r>
      <w:r w:rsidRPr="008B188F">
        <w:rPr>
          <w:sz w:val="22"/>
          <w:szCs w:val="24"/>
          <w:lang w:val="en-GB"/>
        </w:rPr>
        <w:t xml:space="preserve">eneral </w:t>
      </w:r>
      <w:r w:rsidR="003200F1">
        <w:rPr>
          <w:sz w:val="22"/>
          <w:szCs w:val="24"/>
          <w:lang w:val="en-GB"/>
        </w:rPr>
        <w:t>G</w:t>
      </w:r>
      <w:r w:rsidRPr="008B188F">
        <w:rPr>
          <w:sz w:val="22"/>
          <w:szCs w:val="24"/>
          <w:lang w:val="en-GB"/>
        </w:rPr>
        <w:t xml:space="preserve">overnment and public enterprises and accounting for around 46% of the </w:t>
      </w:r>
      <w:r w:rsidR="00F64631">
        <w:rPr>
          <w:sz w:val="22"/>
          <w:szCs w:val="24"/>
          <w:lang w:val="en-GB"/>
        </w:rPr>
        <w:t>Wage Rate Index</w:t>
      </w:r>
      <w:bookmarkEnd w:id="6"/>
      <w:r w:rsidR="00A15616">
        <w:rPr>
          <w:sz w:val="22"/>
          <w:szCs w:val="24"/>
          <w:lang w:val="en-GB"/>
        </w:rPr>
        <w:t>,</w:t>
      </w:r>
      <w:r w:rsidR="00A15616" w:rsidRPr="00A15616">
        <w:rPr>
          <w:sz w:val="22"/>
          <w:szCs w:val="24"/>
          <w:lang w:val="en-GB"/>
        </w:rPr>
        <w:t xml:space="preserve"> </w:t>
      </w:r>
      <w:r w:rsidR="00480730">
        <w:rPr>
          <w:sz w:val="22"/>
          <w:szCs w:val="24"/>
          <w:lang w:val="en-GB"/>
        </w:rPr>
        <w:t>in</w:t>
      </w:r>
      <w:r w:rsidR="00A15616" w:rsidRPr="008B188F">
        <w:rPr>
          <w:sz w:val="22"/>
          <w:szCs w:val="24"/>
          <w:lang w:val="en-GB"/>
        </w:rPr>
        <w:t xml:space="preserve">creased by </w:t>
      </w:r>
      <w:r w:rsidR="00480730">
        <w:rPr>
          <w:sz w:val="22"/>
          <w:szCs w:val="24"/>
          <w:lang w:val="en-GB"/>
        </w:rPr>
        <w:t>2</w:t>
      </w:r>
      <w:r w:rsidR="00A15616">
        <w:rPr>
          <w:sz w:val="22"/>
          <w:szCs w:val="24"/>
          <w:lang w:val="en-GB"/>
        </w:rPr>
        <w:t>.</w:t>
      </w:r>
      <w:r w:rsidR="00480730">
        <w:rPr>
          <w:sz w:val="22"/>
          <w:szCs w:val="24"/>
          <w:lang w:val="en-GB"/>
        </w:rPr>
        <w:t>4</w:t>
      </w:r>
      <w:r w:rsidR="00A15616" w:rsidRPr="008B188F">
        <w:rPr>
          <w:sz w:val="22"/>
          <w:szCs w:val="24"/>
          <w:lang w:val="en-GB"/>
        </w:rPr>
        <w:t xml:space="preserve">% or </w:t>
      </w:r>
      <w:r w:rsidR="00480730">
        <w:rPr>
          <w:sz w:val="22"/>
          <w:szCs w:val="24"/>
          <w:lang w:val="en-GB"/>
        </w:rPr>
        <w:t>2</w:t>
      </w:r>
      <w:r w:rsidR="00A15616" w:rsidRPr="008B188F">
        <w:rPr>
          <w:sz w:val="22"/>
          <w:szCs w:val="24"/>
          <w:lang w:val="en-GB"/>
        </w:rPr>
        <w:t>.</w:t>
      </w:r>
      <w:r w:rsidR="00480730">
        <w:rPr>
          <w:sz w:val="22"/>
          <w:szCs w:val="24"/>
          <w:lang w:val="en-GB"/>
        </w:rPr>
        <w:t>8</w:t>
      </w:r>
      <w:r w:rsidR="00A15616">
        <w:rPr>
          <w:sz w:val="22"/>
          <w:szCs w:val="24"/>
          <w:lang w:val="en-GB"/>
        </w:rPr>
        <w:t xml:space="preserve"> </w:t>
      </w:r>
      <w:r w:rsidR="00A15616" w:rsidRPr="008B188F">
        <w:rPr>
          <w:sz w:val="22"/>
          <w:szCs w:val="24"/>
          <w:lang w:val="en-GB"/>
        </w:rPr>
        <w:t>point</w:t>
      </w:r>
      <w:r w:rsidR="00480730">
        <w:rPr>
          <w:sz w:val="22"/>
          <w:szCs w:val="24"/>
          <w:lang w:val="en-GB"/>
        </w:rPr>
        <w:t>s</w:t>
      </w:r>
      <w:r w:rsidR="00A15616" w:rsidRPr="008B188F">
        <w:rPr>
          <w:sz w:val="22"/>
          <w:szCs w:val="24"/>
          <w:lang w:val="en-GB"/>
        </w:rPr>
        <w:t xml:space="preserve"> from 1</w:t>
      </w:r>
      <w:r w:rsidR="00480730">
        <w:rPr>
          <w:sz w:val="22"/>
          <w:szCs w:val="24"/>
          <w:lang w:val="en-GB"/>
        </w:rPr>
        <w:t>17</w:t>
      </w:r>
      <w:r w:rsidR="00A15616" w:rsidRPr="008B188F">
        <w:rPr>
          <w:sz w:val="22"/>
          <w:szCs w:val="24"/>
          <w:lang w:val="en-GB"/>
        </w:rPr>
        <w:t>.</w:t>
      </w:r>
      <w:r w:rsidR="00480730">
        <w:rPr>
          <w:sz w:val="22"/>
          <w:szCs w:val="24"/>
          <w:lang w:val="en-GB"/>
        </w:rPr>
        <w:t>1</w:t>
      </w:r>
      <w:r w:rsidR="00A15616" w:rsidRPr="008B188F">
        <w:rPr>
          <w:sz w:val="22"/>
          <w:szCs w:val="24"/>
          <w:lang w:val="en-GB"/>
        </w:rPr>
        <w:t xml:space="preserve"> in </w:t>
      </w:r>
      <w:r w:rsidR="00C35223">
        <w:rPr>
          <w:sz w:val="22"/>
          <w:szCs w:val="24"/>
          <w:lang w:val="en-GB"/>
        </w:rPr>
        <w:t>second</w:t>
      </w:r>
      <w:r w:rsidR="00A15616" w:rsidRPr="008B188F">
        <w:rPr>
          <w:sz w:val="22"/>
          <w:szCs w:val="24"/>
          <w:lang w:val="en-GB"/>
        </w:rPr>
        <w:t xml:space="preserve"> quarter 20</w:t>
      </w:r>
      <w:r w:rsidR="007B72F3">
        <w:rPr>
          <w:sz w:val="22"/>
          <w:szCs w:val="24"/>
          <w:lang w:val="en-GB"/>
        </w:rPr>
        <w:t>24</w:t>
      </w:r>
      <w:r w:rsidR="00A15616" w:rsidRPr="008B188F">
        <w:rPr>
          <w:sz w:val="22"/>
          <w:szCs w:val="24"/>
          <w:lang w:val="en-GB"/>
        </w:rPr>
        <w:t xml:space="preserve"> to 1</w:t>
      </w:r>
      <w:r w:rsidR="00BE0E3B">
        <w:rPr>
          <w:sz w:val="22"/>
          <w:szCs w:val="24"/>
          <w:lang w:val="en-GB"/>
        </w:rPr>
        <w:t>1</w:t>
      </w:r>
      <w:r w:rsidR="00480730">
        <w:rPr>
          <w:sz w:val="22"/>
          <w:szCs w:val="24"/>
          <w:lang w:val="en-GB"/>
        </w:rPr>
        <w:t>9</w:t>
      </w:r>
      <w:r w:rsidR="00A15616" w:rsidRPr="008B188F">
        <w:rPr>
          <w:sz w:val="22"/>
          <w:szCs w:val="24"/>
          <w:lang w:val="en-GB"/>
        </w:rPr>
        <w:t>.</w:t>
      </w:r>
      <w:r w:rsidR="00480730">
        <w:rPr>
          <w:sz w:val="22"/>
          <w:szCs w:val="24"/>
          <w:lang w:val="en-GB"/>
        </w:rPr>
        <w:t>9</w:t>
      </w:r>
      <w:r w:rsidR="00A15616" w:rsidRPr="008B188F">
        <w:rPr>
          <w:sz w:val="22"/>
          <w:szCs w:val="24"/>
          <w:lang w:val="en-GB"/>
        </w:rPr>
        <w:t xml:space="preserve"> in </w:t>
      </w:r>
      <w:r w:rsidR="00C35223">
        <w:rPr>
          <w:sz w:val="22"/>
          <w:szCs w:val="24"/>
          <w:lang w:val="en-GB"/>
        </w:rPr>
        <w:t>third</w:t>
      </w:r>
      <w:r w:rsidR="00A15616" w:rsidRPr="008B188F">
        <w:rPr>
          <w:sz w:val="22"/>
          <w:szCs w:val="24"/>
          <w:lang w:val="en-GB"/>
        </w:rPr>
        <w:t xml:space="preserve"> quarter 202</w:t>
      </w:r>
      <w:r w:rsidR="00BE0E3B">
        <w:rPr>
          <w:sz w:val="22"/>
          <w:szCs w:val="24"/>
          <w:lang w:val="en-GB"/>
        </w:rPr>
        <w:t>4</w:t>
      </w:r>
      <w:r w:rsidR="00A15616">
        <w:rPr>
          <w:sz w:val="22"/>
          <w:szCs w:val="24"/>
          <w:lang w:val="en-GB"/>
        </w:rPr>
        <w:t xml:space="preserve"> </w:t>
      </w:r>
      <w:r w:rsidR="00A15616" w:rsidRPr="008B188F">
        <w:rPr>
          <w:sz w:val="22"/>
          <w:szCs w:val="24"/>
          <w:lang w:val="en-GB"/>
        </w:rPr>
        <w:t xml:space="preserve">(Tables </w:t>
      </w:r>
      <w:r w:rsidR="00BE0E3B">
        <w:rPr>
          <w:sz w:val="22"/>
          <w:szCs w:val="24"/>
          <w:lang w:val="en-GB"/>
        </w:rPr>
        <w:t>9</w:t>
      </w:r>
      <w:r w:rsidR="00A15616">
        <w:rPr>
          <w:sz w:val="22"/>
          <w:szCs w:val="24"/>
          <w:lang w:val="en-GB"/>
        </w:rPr>
        <w:t xml:space="preserve"> </w:t>
      </w:r>
      <w:r w:rsidR="00A15616" w:rsidRPr="008B188F">
        <w:rPr>
          <w:sz w:val="22"/>
          <w:szCs w:val="24"/>
          <w:lang w:val="en-GB"/>
        </w:rPr>
        <w:t xml:space="preserve">&amp; </w:t>
      </w:r>
      <w:r w:rsidR="00A15616">
        <w:rPr>
          <w:sz w:val="22"/>
          <w:szCs w:val="24"/>
          <w:lang w:val="en-GB"/>
        </w:rPr>
        <w:t>1</w:t>
      </w:r>
      <w:r w:rsidR="00BE0E3B">
        <w:rPr>
          <w:sz w:val="22"/>
          <w:szCs w:val="24"/>
          <w:lang w:val="en-GB"/>
        </w:rPr>
        <w:t>0</w:t>
      </w:r>
      <w:r w:rsidR="00A15616" w:rsidRPr="008B188F">
        <w:rPr>
          <w:sz w:val="22"/>
          <w:szCs w:val="24"/>
          <w:lang w:val="en-GB"/>
        </w:rPr>
        <w:t>).</w:t>
      </w:r>
    </w:p>
    <w:p w14:paraId="47349CDC" w14:textId="33A3E1D3" w:rsidR="0018601C" w:rsidRPr="008B188F" w:rsidRDefault="0018601C" w:rsidP="0018601C">
      <w:pPr>
        <w:pStyle w:val="BodyTextIndent"/>
        <w:ind w:right="113" w:firstLine="0"/>
        <w:rPr>
          <w:sz w:val="22"/>
          <w:szCs w:val="24"/>
          <w:lang w:val="en-GB"/>
        </w:rPr>
      </w:pPr>
    </w:p>
    <w:p w14:paraId="48726DE0" w14:textId="4A014501" w:rsidR="0018601C" w:rsidRDefault="0018601C" w:rsidP="0018601C">
      <w:pPr>
        <w:pStyle w:val="BodyTextIndent"/>
        <w:ind w:right="113" w:firstLine="0"/>
        <w:rPr>
          <w:sz w:val="22"/>
          <w:szCs w:val="24"/>
          <w:lang w:val="en-GB"/>
        </w:rPr>
      </w:pPr>
      <w:r w:rsidRPr="008B188F">
        <w:rPr>
          <w:sz w:val="22"/>
          <w:szCs w:val="24"/>
          <w:lang w:val="en-GB"/>
        </w:rPr>
        <w:t xml:space="preserve">Compared to </w:t>
      </w:r>
      <w:r w:rsidR="00C35223">
        <w:rPr>
          <w:sz w:val="22"/>
          <w:szCs w:val="24"/>
          <w:lang w:val="en-GB"/>
        </w:rPr>
        <w:t>third</w:t>
      </w:r>
      <w:r w:rsidRPr="008B188F">
        <w:rPr>
          <w:sz w:val="22"/>
          <w:szCs w:val="24"/>
          <w:lang w:val="en-GB"/>
        </w:rPr>
        <w:t xml:space="preserve"> quarter 202</w:t>
      </w:r>
      <w:r w:rsidR="00BE0E3B">
        <w:rPr>
          <w:sz w:val="22"/>
          <w:szCs w:val="24"/>
          <w:lang w:val="en-GB"/>
        </w:rPr>
        <w:t>3</w:t>
      </w:r>
      <w:r w:rsidRPr="008B188F">
        <w:rPr>
          <w:sz w:val="22"/>
          <w:szCs w:val="24"/>
          <w:lang w:val="en-GB"/>
        </w:rPr>
        <w:t>, the index for the public sector, which stood at 1</w:t>
      </w:r>
      <w:r w:rsidR="001518D4">
        <w:rPr>
          <w:sz w:val="22"/>
          <w:szCs w:val="24"/>
          <w:lang w:val="en-GB"/>
        </w:rPr>
        <w:t>0</w:t>
      </w:r>
      <w:r w:rsidR="00BE0E3B">
        <w:rPr>
          <w:sz w:val="22"/>
          <w:szCs w:val="24"/>
          <w:lang w:val="en-GB"/>
        </w:rPr>
        <w:t>8</w:t>
      </w:r>
      <w:r w:rsidRPr="008B188F">
        <w:rPr>
          <w:sz w:val="22"/>
          <w:szCs w:val="24"/>
          <w:lang w:val="en-GB"/>
        </w:rPr>
        <w:t>.</w:t>
      </w:r>
      <w:r w:rsidR="00480730">
        <w:rPr>
          <w:sz w:val="22"/>
          <w:szCs w:val="24"/>
          <w:lang w:val="en-GB"/>
        </w:rPr>
        <w:t>7</w:t>
      </w:r>
      <w:r w:rsidRPr="008B188F">
        <w:rPr>
          <w:sz w:val="22"/>
          <w:szCs w:val="24"/>
          <w:lang w:val="en-GB"/>
        </w:rPr>
        <w:t xml:space="preserve">, increased by </w:t>
      </w:r>
      <w:r w:rsidR="00480730">
        <w:rPr>
          <w:sz w:val="22"/>
          <w:szCs w:val="24"/>
          <w:lang w:val="en-GB"/>
        </w:rPr>
        <w:t>10</w:t>
      </w:r>
      <w:r w:rsidRPr="008B188F">
        <w:rPr>
          <w:sz w:val="22"/>
          <w:szCs w:val="24"/>
          <w:lang w:val="en-GB"/>
        </w:rPr>
        <w:t>.</w:t>
      </w:r>
      <w:r w:rsidR="00480730">
        <w:rPr>
          <w:sz w:val="22"/>
          <w:szCs w:val="24"/>
          <w:lang w:val="en-GB"/>
        </w:rPr>
        <w:t>3</w:t>
      </w:r>
      <w:r w:rsidRPr="008B188F">
        <w:rPr>
          <w:sz w:val="22"/>
          <w:szCs w:val="24"/>
          <w:lang w:val="en-GB"/>
        </w:rPr>
        <w:t xml:space="preserve">% or </w:t>
      </w:r>
      <w:r w:rsidR="00480730">
        <w:rPr>
          <w:sz w:val="22"/>
          <w:szCs w:val="24"/>
          <w:lang w:val="en-GB"/>
        </w:rPr>
        <w:t>11</w:t>
      </w:r>
      <w:r w:rsidRPr="008B188F">
        <w:rPr>
          <w:sz w:val="22"/>
          <w:szCs w:val="24"/>
          <w:lang w:val="en-GB"/>
        </w:rPr>
        <w:t>.</w:t>
      </w:r>
      <w:r w:rsidR="00480730">
        <w:rPr>
          <w:sz w:val="22"/>
          <w:szCs w:val="24"/>
          <w:lang w:val="en-GB"/>
        </w:rPr>
        <w:t>2</w:t>
      </w:r>
      <w:r w:rsidRPr="008B188F">
        <w:rPr>
          <w:sz w:val="22"/>
          <w:szCs w:val="24"/>
          <w:lang w:val="en-GB"/>
        </w:rPr>
        <w:t xml:space="preserve"> points (Table 1</w:t>
      </w:r>
      <w:r w:rsidR="00BE0E3B">
        <w:rPr>
          <w:sz w:val="22"/>
          <w:szCs w:val="24"/>
          <w:lang w:val="en-GB"/>
        </w:rPr>
        <w:t>1</w:t>
      </w:r>
      <w:r w:rsidRPr="008B188F">
        <w:rPr>
          <w:sz w:val="22"/>
          <w:szCs w:val="24"/>
          <w:lang w:val="en-GB"/>
        </w:rPr>
        <w:t>).</w:t>
      </w:r>
    </w:p>
    <w:p w14:paraId="456D19C2" w14:textId="0581F987" w:rsidR="00E44A79" w:rsidRDefault="00E44A79" w:rsidP="0018601C">
      <w:pPr>
        <w:pStyle w:val="BodyTextIndent"/>
        <w:ind w:right="113" w:firstLine="0"/>
        <w:rPr>
          <w:sz w:val="22"/>
          <w:szCs w:val="24"/>
          <w:lang w:val="en-GB"/>
        </w:rPr>
      </w:pPr>
    </w:p>
    <w:p w14:paraId="2232D72C" w14:textId="77777777" w:rsidR="00E44A79" w:rsidRDefault="00E44A79" w:rsidP="0018601C">
      <w:pPr>
        <w:pStyle w:val="BodyTextIndent"/>
        <w:ind w:right="113" w:firstLine="0"/>
        <w:rPr>
          <w:sz w:val="22"/>
          <w:szCs w:val="24"/>
          <w:lang w:val="en-GB"/>
        </w:rPr>
      </w:pPr>
    </w:p>
    <w:p w14:paraId="135334C3" w14:textId="77777777" w:rsidR="00690883" w:rsidRDefault="00690883" w:rsidP="00926EAB">
      <w:pPr>
        <w:pStyle w:val="BodyTextIndent"/>
        <w:ind w:left="142" w:right="115" w:firstLine="0"/>
        <w:jc w:val="left"/>
        <w:rPr>
          <w:sz w:val="22"/>
          <w:szCs w:val="24"/>
          <w:lang w:val="en-GB"/>
        </w:rPr>
      </w:pPr>
    </w:p>
    <w:p w14:paraId="3FA8EE8E" w14:textId="5B4DD41D" w:rsidR="005F399D" w:rsidRPr="008B188F" w:rsidRDefault="001E20EF" w:rsidP="005F399D">
      <w:pPr>
        <w:pStyle w:val="BodyTextIndent"/>
        <w:ind w:right="115" w:firstLine="0"/>
        <w:jc w:val="left"/>
        <w:rPr>
          <w:b/>
          <w:sz w:val="22"/>
          <w:szCs w:val="24"/>
          <w:lang w:val="en-GB"/>
        </w:rPr>
      </w:pPr>
      <w:r>
        <w:rPr>
          <w:b/>
          <w:sz w:val="22"/>
          <w:szCs w:val="24"/>
          <w:lang w:val="en-GB"/>
        </w:rPr>
        <w:t xml:space="preserve"> </w:t>
      </w:r>
      <w:r w:rsidR="006E4B92">
        <w:rPr>
          <w:b/>
          <w:sz w:val="22"/>
          <w:szCs w:val="24"/>
          <w:lang w:val="en-GB"/>
        </w:rPr>
        <w:t>6</w:t>
      </w:r>
      <w:r w:rsidR="005F399D">
        <w:rPr>
          <w:b/>
          <w:sz w:val="22"/>
          <w:szCs w:val="24"/>
          <w:lang w:val="en-GB"/>
        </w:rPr>
        <w:t>.</w:t>
      </w:r>
      <w:r w:rsidR="005F399D" w:rsidRPr="008B188F">
        <w:rPr>
          <w:b/>
          <w:sz w:val="22"/>
          <w:szCs w:val="24"/>
          <w:lang w:val="en-GB"/>
        </w:rPr>
        <w:t xml:space="preserve"> Past trend</w:t>
      </w:r>
    </w:p>
    <w:p w14:paraId="4ED497B9" w14:textId="77777777" w:rsidR="005F399D" w:rsidRPr="008B188F" w:rsidRDefault="005F399D" w:rsidP="005F399D">
      <w:pPr>
        <w:pStyle w:val="BodyTextIndent"/>
        <w:ind w:right="115" w:firstLine="0"/>
        <w:rPr>
          <w:b/>
          <w:sz w:val="8"/>
          <w:szCs w:val="8"/>
          <w:lang w:val="en-GB"/>
        </w:rPr>
      </w:pPr>
    </w:p>
    <w:p w14:paraId="4CCD81C0" w14:textId="77777777" w:rsidR="005F399D" w:rsidRPr="008B188F" w:rsidRDefault="005F399D" w:rsidP="005F399D">
      <w:pPr>
        <w:pStyle w:val="BodyTextIndent"/>
        <w:ind w:right="113" w:firstLine="0"/>
        <w:rPr>
          <w:b/>
          <w:sz w:val="8"/>
          <w:szCs w:val="8"/>
          <w:lang w:val="en-GB"/>
        </w:rPr>
      </w:pPr>
    </w:p>
    <w:p w14:paraId="02F79206" w14:textId="352E9CE9" w:rsidR="005F399D" w:rsidRPr="008B188F" w:rsidRDefault="005F399D" w:rsidP="004D66BE">
      <w:pPr>
        <w:pStyle w:val="BodyTextIndent"/>
        <w:ind w:right="54" w:firstLine="0"/>
        <w:rPr>
          <w:sz w:val="22"/>
          <w:szCs w:val="24"/>
          <w:lang w:val="en-GB"/>
        </w:rPr>
      </w:pPr>
      <w:r w:rsidRPr="008B188F">
        <w:rPr>
          <w:sz w:val="22"/>
          <w:szCs w:val="24"/>
          <w:lang w:val="en-GB"/>
        </w:rPr>
        <w:t xml:space="preserve">Table </w:t>
      </w:r>
      <w:r w:rsidR="006E4B92">
        <w:rPr>
          <w:sz w:val="22"/>
          <w:szCs w:val="24"/>
          <w:lang w:val="en-GB"/>
        </w:rPr>
        <w:t>4</w:t>
      </w:r>
      <w:r w:rsidRPr="008B188F">
        <w:rPr>
          <w:sz w:val="22"/>
          <w:szCs w:val="24"/>
          <w:lang w:val="en-GB"/>
        </w:rPr>
        <w:t xml:space="preserve"> presents the quarterly indices from first quarter 20</w:t>
      </w:r>
      <w:r w:rsidR="00C4655E">
        <w:rPr>
          <w:sz w:val="22"/>
          <w:szCs w:val="24"/>
          <w:lang w:val="en-GB"/>
        </w:rPr>
        <w:t>12</w:t>
      </w:r>
      <w:r w:rsidRPr="008B188F">
        <w:rPr>
          <w:sz w:val="22"/>
          <w:szCs w:val="24"/>
          <w:lang w:val="en-GB"/>
        </w:rPr>
        <w:t xml:space="preserve"> to </w:t>
      </w:r>
      <w:r w:rsidR="00C35223">
        <w:rPr>
          <w:sz w:val="22"/>
          <w:szCs w:val="24"/>
          <w:lang w:val="en-GB"/>
        </w:rPr>
        <w:t>third</w:t>
      </w:r>
      <w:r w:rsidRPr="008B188F">
        <w:rPr>
          <w:sz w:val="22"/>
          <w:szCs w:val="24"/>
          <w:lang w:val="en-GB"/>
        </w:rPr>
        <w:t xml:space="preserve"> quarter 202</w:t>
      </w:r>
      <w:r w:rsidR="006E4B92">
        <w:rPr>
          <w:sz w:val="22"/>
          <w:szCs w:val="24"/>
          <w:lang w:val="en-GB"/>
        </w:rPr>
        <w:t>4</w:t>
      </w:r>
      <w:r w:rsidRPr="008B188F">
        <w:rPr>
          <w:sz w:val="22"/>
          <w:szCs w:val="24"/>
          <w:lang w:val="en-GB"/>
        </w:rPr>
        <w:t xml:space="preserve"> with different </w:t>
      </w:r>
      <w:r w:rsidR="001E20EF">
        <w:rPr>
          <w:sz w:val="22"/>
          <w:szCs w:val="24"/>
          <w:lang w:val="en-GB"/>
        </w:rPr>
        <w:t xml:space="preserve">      </w:t>
      </w:r>
      <w:r w:rsidRPr="008B188F">
        <w:rPr>
          <w:sz w:val="22"/>
          <w:szCs w:val="24"/>
          <w:lang w:val="en-GB"/>
        </w:rPr>
        <w:t>base periods. As from 20</w:t>
      </w:r>
      <w:r w:rsidR="00C4655E">
        <w:rPr>
          <w:sz w:val="22"/>
          <w:szCs w:val="24"/>
          <w:lang w:val="en-GB"/>
        </w:rPr>
        <w:t>22</w:t>
      </w:r>
      <w:r w:rsidRPr="008B188F">
        <w:rPr>
          <w:sz w:val="22"/>
          <w:szCs w:val="24"/>
          <w:lang w:val="en-GB"/>
        </w:rPr>
        <w:t>, the base period is fourth quarter 20</w:t>
      </w:r>
      <w:r w:rsidR="00C4655E">
        <w:rPr>
          <w:sz w:val="22"/>
          <w:szCs w:val="24"/>
          <w:lang w:val="en-GB"/>
        </w:rPr>
        <w:t>21</w:t>
      </w:r>
      <w:r w:rsidRPr="008B188F">
        <w:rPr>
          <w:sz w:val="22"/>
          <w:szCs w:val="24"/>
          <w:lang w:val="en-GB"/>
        </w:rPr>
        <w:t xml:space="preserve">. </w:t>
      </w:r>
    </w:p>
    <w:p w14:paraId="6EA9998A" w14:textId="77777777" w:rsidR="005F399D" w:rsidRPr="008B188F" w:rsidRDefault="005F399D" w:rsidP="004D66BE">
      <w:pPr>
        <w:pStyle w:val="BodyTextIndent"/>
        <w:ind w:right="57" w:firstLine="0"/>
        <w:rPr>
          <w:sz w:val="22"/>
          <w:szCs w:val="24"/>
          <w:lang w:val="en-GB"/>
        </w:rPr>
      </w:pPr>
    </w:p>
    <w:p w14:paraId="7B742729" w14:textId="68005FEB" w:rsidR="005F399D" w:rsidRPr="008B188F" w:rsidRDefault="005F399D" w:rsidP="004D66BE">
      <w:pPr>
        <w:pStyle w:val="BodyTextIndent"/>
        <w:ind w:right="113" w:firstLine="0"/>
        <w:rPr>
          <w:sz w:val="22"/>
          <w:szCs w:val="24"/>
          <w:lang w:val="en-GB"/>
        </w:rPr>
      </w:pPr>
      <w:r w:rsidRPr="008B188F">
        <w:rPr>
          <w:sz w:val="22"/>
          <w:szCs w:val="24"/>
          <w:lang w:val="en-GB"/>
        </w:rPr>
        <w:t>To enable comparison between the two series, chain link series</w:t>
      </w:r>
      <w:r>
        <w:rPr>
          <w:sz w:val="22"/>
          <w:szCs w:val="24"/>
          <w:lang w:val="en-GB"/>
        </w:rPr>
        <w:t>,</w:t>
      </w:r>
      <w:r w:rsidRPr="008B188F">
        <w:rPr>
          <w:sz w:val="22"/>
          <w:szCs w:val="24"/>
          <w:lang w:val="en-GB"/>
        </w:rPr>
        <w:t xml:space="preserve"> with fourth quarter 20</w:t>
      </w:r>
      <w:r w:rsidR="00C4655E">
        <w:rPr>
          <w:sz w:val="22"/>
          <w:szCs w:val="24"/>
          <w:lang w:val="en-GB"/>
        </w:rPr>
        <w:t>21</w:t>
      </w:r>
      <w:r w:rsidRPr="008B188F">
        <w:rPr>
          <w:sz w:val="22"/>
          <w:szCs w:val="24"/>
          <w:lang w:val="en-GB"/>
        </w:rPr>
        <w:t xml:space="preserve"> as base</w:t>
      </w:r>
      <w:r>
        <w:rPr>
          <w:sz w:val="22"/>
          <w:szCs w:val="24"/>
          <w:lang w:val="en-GB"/>
        </w:rPr>
        <w:t>,</w:t>
      </w:r>
      <w:r w:rsidRPr="008B188F">
        <w:rPr>
          <w:sz w:val="22"/>
          <w:szCs w:val="24"/>
          <w:lang w:val="en-GB"/>
        </w:rPr>
        <w:t xml:space="preserve"> ha</w:t>
      </w:r>
      <w:r>
        <w:rPr>
          <w:sz w:val="22"/>
          <w:szCs w:val="24"/>
          <w:lang w:val="en-GB"/>
        </w:rPr>
        <w:t xml:space="preserve">ve </w:t>
      </w:r>
      <w:r w:rsidRPr="008B188F">
        <w:rPr>
          <w:sz w:val="22"/>
          <w:szCs w:val="24"/>
          <w:lang w:val="en-GB"/>
        </w:rPr>
        <w:t xml:space="preserve">been worked out and </w:t>
      </w:r>
      <w:r>
        <w:rPr>
          <w:sz w:val="22"/>
          <w:szCs w:val="24"/>
          <w:lang w:val="en-GB"/>
        </w:rPr>
        <w:t>are</w:t>
      </w:r>
      <w:r w:rsidRPr="008B188F">
        <w:rPr>
          <w:sz w:val="22"/>
          <w:szCs w:val="24"/>
          <w:lang w:val="en-GB"/>
        </w:rPr>
        <w:t xml:space="preserve"> provided in Table </w:t>
      </w:r>
      <w:r w:rsidR="006E4B92">
        <w:rPr>
          <w:sz w:val="22"/>
          <w:szCs w:val="24"/>
          <w:lang w:val="en-GB"/>
        </w:rPr>
        <w:t>5</w:t>
      </w:r>
      <w:r w:rsidRPr="008B188F">
        <w:rPr>
          <w:sz w:val="22"/>
          <w:szCs w:val="24"/>
          <w:lang w:val="en-GB"/>
        </w:rPr>
        <w:t>.</w:t>
      </w:r>
    </w:p>
    <w:p w14:paraId="320F538B" w14:textId="77777777" w:rsidR="005F399D" w:rsidRPr="008B188F" w:rsidRDefault="005F399D" w:rsidP="004D66BE">
      <w:pPr>
        <w:pStyle w:val="BodyTextIndent"/>
        <w:ind w:right="113" w:firstLine="0"/>
        <w:rPr>
          <w:sz w:val="22"/>
          <w:szCs w:val="24"/>
          <w:lang w:val="en-GB"/>
        </w:rPr>
      </w:pPr>
    </w:p>
    <w:p w14:paraId="1104DAE2" w14:textId="0F6798FF" w:rsidR="005F399D" w:rsidRDefault="005F399D" w:rsidP="004D66BE">
      <w:pPr>
        <w:pStyle w:val="BodyTextIndent"/>
        <w:ind w:right="113" w:firstLine="0"/>
        <w:rPr>
          <w:sz w:val="22"/>
          <w:szCs w:val="24"/>
          <w:lang w:val="en-GB"/>
        </w:rPr>
      </w:pPr>
      <w:r w:rsidRPr="008B188F">
        <w:rPr>
          <w:sz w:val="22"/>
          <w:szCs w:val="22"/>
          <w:lang w:val="en-GB"/>
        </w:rPr>
        <w:t xml:space="preserve">Chart 2 </w:t>
      </w:r>
      <w:r w:rsidRPr="008B188F">
        <w:rPr>
          <w:sz w:val="22"/>
          <w:szCs w:val="24"/>
          <w:lang w:val="en-GB"/>
        </w:rPr>
        <w:t xml:space="preserve">depicts the trend of the quarterly </w:t>
      </w:r>
      <w:r w:rsidR="00F64631">
        <w:rPr>
          <w:sz w:val="22"/>
          <w:szCs w:val="24"/>
          <w:lang w:val="en-GB"/>
        </w:rPr>
        <w:t>Wage Rate Index</w:t>
      </w:r>
      <w:r w:rsidRPr="008B188F">
        <w:rPr>
          <w:sz w:val="22"/>
          <w:szCs w:val="24"/>
          <w:lang w:val="en-GB"/>
        </w:rPr>
        <w:t xml:space="preserve"> from 201</w:t>
      </w:r>
      <w:r w:rsidR="00842476">
        <w:rPr>
          <w:sz w:val="22"/>
          <w:szCs w:val="24"/>
          <w:lang w:val="en-GB"/>
        </w:rPr>
        <w:t>8</w:t>
      </w:r>
      <w:r w:rsidRPr="008B188F">
        <w:rPr>
          <w:sz w:val="22"/>
          <w:szCs w:val="24"/>
          <w:lang w:val="en-GB"/>
        </w:rPr>
        <w:t xml:space="preserve"> to 202</w:t>
      </w:r>
      <w:r w:rsidR="006E4B92">
        <w:rPr>
          <w:sz w:val="22"/>
          <w:szCs w:val="24"/>
          <w:lang w:val="en-GB"/>
        </w:rPr>
        <w:t>4</w:t>
      </w:r>
      <w:r w:rsidRPr="008B188F">
        <w:rPr>
          <w:sz w:val="22"/>
          <w:szCs w:val="24"/>
          <w:lang w:val="en-GB"/>
        </w:rPr>
        <w:t xml:space="preserve"> using fourth quarter 20</w:t>
      </w:r>
      <w:r w:rsidR="00C4655E">
        <w:rPr>
          <w:sz w:val="22"/>
          <w:szCs w:val="24"/>
          <w:lang w:val="en-GB"/>
        </w:rPr>
        <w:t>21</w:t>
      </w:r>
      <w:r w:rsidRPr="008B188F">
        <w:rPr>
          <w:sz w:val="22"/>
          <w:szCs w:val="24"/>
          <w:lang w:val="en-GB"/>
        </w:rPr>
        <w:t xml:space="preserve"> as base period. It shows a general upward movement in the index throughout the period up to </w:t>
      </w:r>
      <w:r w:rsidR="000B2B34">
        <w:rPr>
          <w:sz w:val="22"/>
          <w:szCs w:val="24"/>
          <w:lang w:val="en-GB"/>
        </w:rPr>
        <w:t>f</w:t>
      </w:r>
      <w:r w:rsidR="006E4B92">
        <w:rPr>
          <w:sz w:val="22"/>
          <w:szCs w:val="24"/>
          <w:lang w:val="en-GB"/>
        </w:rPr>
        <w:t>irst</w:t>
      </w:r>
      <w:r w:rsidRPr="008B188F">
        <w:rPr>
          <w:sz w:val="22"/>
          <w:szCs w:val="24"/>
          <w:lang w:val="en-GB"/>
        </w:rPr>
        <w:t xml:space="preserve"> quarter 202</w:t>
      </w:r>
      <w:r w:rsidR="006E4B92">
        <w:rPr>
          <w:sz w:val="22"/>
          <w:szCs w:val="24"/>
          <w:lang w:val="en-GB"/>
        </w:rPr>
        <w:t>4</w:t>
      </w:r>
      <w:r w:rsidRPr="008B188F">
        <w:rPr>
          <w:sz w:val="22"/>
          <w:szCs w:val="24"/>
          <w:lang w:val="en-GB"/>
        </w:rPr>
        <w:t xml:space="preserve"> except for a decline in second quarter 2020. </w:t>
      </w:r>
    </w:p>
    <w:p w14:paraId="0979081A" w14:textId="03388798" w:rsidR="0018601C" w:rsidRDefault="0018601C" w:rsidP="004D66BE">
      <w:pPr>
        <w:pStyle w:val="BodyTextIndent"/>
        <w:ind w:right="113" w:firstLine="0"/>
        <w:rPr>
          <w:sz w:val="22"/>
          <w:szCs w:val="24"/>
          <w:lang w:val="en-GB"/>
        </w:rPr>
      </w:pPr>
    </w:p>
    <w:p w14:paraId="2AB683E6" w14:textId="36EED271" w:rsidR="0018601C" w:rsidRDefault="0018601C" w:rsidP="004D66BE">
      <w:pPr>
        <w:pStyle w:val="BodyTextIndent"/>
        <w:ind w:right="113" w:firstLine="0"/>
        <w:rPr>
          <w:sz w:val="22"/>
          <w:szCs w:val="24"/>
          <w:lang w:val="en-GB"/>
        </w:rPr>
      </w:pPr>
    </w:p>
    <w:p w14:paraId="6280ED0C" w14:textId="0A4FDC61" w:rsidR="00B80240" w:rsidRPr="008B188F" w:rsidRDefault="00B80240" w:rsidP="00B80240">
      <w:pPr>
        <w:jc w:val="center"/>
        <w:rPr>
          <w:b/>
          <w:sz w:val="21"/>
          <w:szCs w:val="21"/>
        </w:rPr>
      </w:pPr>
      <w:r w:rsidRPr="008B188F">
        <w:rPr>
          <w:b/>
          <w:sz w:val="21"/>
          <w:szCs w:val="21"/>
        </w:rPr>
        <w:t xml:space="preserve">Chart 2 - </w:t>
      </w:r>
      <w:r w:rsidR="00F64631">
        <w:rPr>
          <w:b/>
          <w:sz w:val="21"/>
          <w:szCs w:val="21"/>
        </w:rPr>
        <w:t>Wage Rate Index</w:t>
      </w:r>
      <w:r w:rsidRPr="008B188F">
        <w:rPr>
          <w:b/>
          <w:sz w:val="21"/>
          <w:szCs w:val="21"/>
        </w:rPr>
        <w:t>,</w:t>
      </w:r>
    </w:p>
    <w:p w14:paraId="0712CD4A" w14:textId="7B04E64A" w:rsidR="00B80240" w:rsidRPr="008B188F" w:rsidRDefault="00B80240" w:rsidP="00B80240">
      <w:pPr>
        <w:jc w:val="center"/>
        <w:rPr>
          <w:b/>
          <w:sz w:val="21"/>
          <w:szCs w:val="21"/>
        </w:rPr>
      </w:pPr>
      <w:r w:rsidRPr="008B188F">
        <w:rPr>
          <w:b/>
          <w:sz w:val="21"/>
          <w:szCs w:val="21"/>
        </w:rPr>
        <w:t>1</w:t>
      </w:r>
      <w:r w:rsidRPr="008B188F">
        <w:rPr>
          <w:b/>
          <w:sz w:val="21"/>
          <w:szCs w:val="21"/>
          <w:vertAlign w:val="superscript"/>
        </w:rPr>
        <w:t>st</w:t>
      </w:r>
      <w:r w:rsidRPr="008B188F">
        <w:rPr>
          <w:b/>
          <w:sz w:val="21"/>
          <w:szCs w:val="21"/>
        </w:rPr>
        <w:t xml:space="preserve"> quarter 201</w:t>
      </w:r>
      <w:r w:rsidR="00842476">
        <w:rPr>
          <w:b/>
          <w:sz w:val="21"/>
          <w:szCs w:val="21"/>
        </w:rPr>
        <w:t>8</w:t>
      </w:r>
      <w:r w:rsidRPr="008B188F">
        <w:rPr>
          <w:b/>
          <w:sz w:val="21"/>
          <w:szCs w:val="21"/>
        </w:rPr>
        <w:t xml:space="preserve"> – </w:t>
      </w:r>
      <w:r w:rsidR="00C35223">
        <w:rPr>
          <w:b/>
          <w:sz w:val="21"/>
          <w:szCs w:val="21"/>
        </w:rPr>
        <w:t>3</w:t>
      </w:r>
      <w:r w:rsidR="00C35223">
        <w:rPr>
          <w:b/>
          <w:sz w:val="21"/>
          <w:szCs w:val="21"/>
          <w:vertAlign w:val="superscript"/>
        </w:rPr>
        <w:t>rd</w:t>
      </w:r>
      <w:r w:rsidRPr="008B188F">
        <w:rPr>
          <w:b/>
          <w:sz w:val="21"/>
          <w:szCs w:val="21"/>
        </w:rPr>
        <w:t xml:space="preserve"> quarter 202</w:t>
      </w:r>
      <w:r w:rsidR="006E4B92">
        <w:rPr>
          <w:b/>
          <w:sz w:val="21"/>
          <w:szCs w:val="21"/>
        </w:rPr>
        <w:t>4</w:t>
      </w:r>
    </w:p>
    <w:p w14:paraId="55C3E103" w14:textId="157656F3" w:rsidR="00A27352" w:rsidRDefault="00B80240" w:rsidP="00B80240">
      <w:pPr>
        <w:jc w:val="center"/>
        <w:rPr>
          <w:i/>
          <w:sz w:val="21"/>
          <w:szCs w:val="21"/>
        </w:rPr>
      </w:pPr>
      <w:r w:rsidRPr="008B188F">
        <w:rPr>
          <w:i/>
          <w:sz w:val="21"/>
          <w:szCs w:val="21"/>
        </w:rPr>
        <w:t>(Base: fourth quarter 20</w:t>
      </w:r>
      <w:r w:rsidR="00C4655E">
        <w:rPr>
          <w:i/>
          <w:sz w:val="21"/>
          <w:szCs w:val="21"/>
        </w:rPr>
        <w:t>21</w:t>
      </w:r>
      <w:r w:rsidRPr="008B188F">
        <w:rPr>
          <w:i/>
          <w:sz w:val="21"/>
          <w:szCs w:val="21"/>
        </w:rPr>
        <w:t>=100)</w:t>
      </w:r>
    </w:p>
    <w:p w14:paraId="5C78165C" w14:textId="0B6C9497" w:rsidR="00B80240" w:rsidRDefault="00B80240" w:rsidP="00B80240">
      <w:pPr>
        <w:jc w:val="center"/>
      </w:pPr>
    </w:p>
    <w:p w14:paraId="7924FC01" w14:textId="7EBCC67C" w:rsidR="00B642B1" w:rsidRDefault="00F86C8F" w:rsidP="00B80240">
      <w:pPr>
        <w:jc w:val="center"/>
        <w:rPr>
          <w:noProof/>
        </w:rPr>
      </w:pPr>
      <w:r w:rsidRPr="00F86C8F">
        <w:rPr>
          <w:noProof/>
        </w:rPr>
        <w:drawing>
          <wp:inline distT="0" distB="0" distL="0" distR="0" wp14:anchorId="2B17747E" wp14:editId="0F7BCF9C">
            <wp:extent cx="4343400" cy="34385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343400" cy="3438525"/>
                    </a:xfrm>
                    <a:prstGeom prst="rect">
                      <a:avLst/>
                    </a:prstGeom>
                  </pic:spPr>
                </pic:pic>
              </a:graphicData>
            </a:graphic>
          </wp:inline>
        </w:drawing>
      </w:r>
    </w:p>
    <w:p w14:paraId="626ECE19" w14:textId="6CEEB062" w:rsidR="008D5637" w:rsidRDefault="008D5637" w:rsidP="00B80240">
      <w:pPr>
        <w:jc w:val="center"/>
        <w:rPr>
          <w:noProof/>
        </w:rPr>
      </w:pPr>
    </w:p>
    <w:p w14:paraId="6DFF8835" w14:textId="77777777" w:rsidR="00893ED8" w:rsidRDefault="00893ED8" w:rsidP="00B80240">
      <w:pPr>
        <w:jc w:val="center"/>
        <w:rPr>
          <w:noProof/>
        </w:rPr>
      </w:pPr>
    </w:p>
    <w:p w14:paraId="77877DFC" w14:textId="681C6B80" w:rsidR="009565BD" w:rsidRDefault="009565BD" w:rsidP="00B80240">
      <w:pPr>
        <w:jc w:val="center"/>
        <w:rPr>
          <w:noProof/>
        </w:rPr>
      </w:pPr>
      <w:r>
        <w:rPr>
          <w:noProof/>
        </w:rPr>
        <w:t>4</w:t>
      </w:r>
    </w:p>
    <w:p w14:paraId="278766E6" w14:textId="77777777" w:rsidR="009565BD" w:rsidRDefault="009565BD" w:rsidP="00B80240">
      <w:pPr>
        <w:jc w:val="center"/>
        <w:rPr>
          <w:noProof/>
        </w:rPr>
      </w:pPr>
    </w:p>
    <w:p w14:paraId="4444282C" w14:textId="05C5ED77" w:rsidR="00FB7FF7" w:rsidRDefault="00FB7FF7" w:rsidP="00B80240">
      <w:pPr>
        <w:jc w:val="center"/>
        <w:rPr>
          <w:noProof/>
        </w:rPr>
      </w:pPr>
    </w:p>
    <w:p w14:paraId="4516D846" w14:textId="3517346C" w:rsidR="00FE16C1" w:rsidRPr="008B188F" w:rsidRDefault="00952C63" w:rsidP="00351BBB">
      <w:pPr>
        <w:pStyle w:val="BodyTextIndent"/>
        <w:spacing w:line="276" w:lineRule="auto"/>
        <w:ind w:right="113" w:firstLine="0"/>
        <w:jc w:val="left"/>
        <w:rPr>
          <w:b/>
          <w:sz w:val="22"/>
          <w:szCs w:val="22"/>
          <w:lang w:val="en-GB"/>
        </w:rPr>
      </w:pPr>
      <w:r w:rsidRPr="008B188F">
        <w:rPr>
          <w:noProof/>
          <w:lang w:val="en-GB" w:eastAsia="en-GB"/>
        </w:rPr>
        <mc:AlternateContent>
          <mc:Choice Requires="wps">
            <w:drawing>
              <wp:anchor distT="0" distB="0" distL="114300" distR="114300" simplePos="0" relativeHeight="251678720" behindDoc="0" locked="0" layoutInCell="1" allowOverlap="1" wp14:anchorId="18202935" wp14:editId="61C4359B">
                <wp:simplePos x="0" y="0"/>
                <wp:positionH relativeFrom="column">
                  <wp:posOffset>2684145</wp:posOffset>
                </wp:positionH>
                <wp:positionV relativeFrom="paragraph">
                  <wp:posOffset>124460</wp:posOffset>
                </wp:positionV>
                <wp:extent cx="45085" cy="48895"/>
                <wp:effectExtent l="0" t="0" r="0" b="825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85" cy="488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65A6E7" w14:textId="77777777" w:rsidR="00FE16C1" w:rsidRDefault="00FE16C1" w:rsidP="00FE16C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8202935" id="_x0000_t202" coordsize="21600,21600" o:spt="202" path="m,l,21600r21600,l21600,xe">
                <v:stroke joinstyle="miter"/>
                <v:path gradientshapeok="t" o:connecttype="rect"/>
              </v:shapetype>
              <v:shape id="Text Box 2" o:spid="_x0000_s1026" type="#_x0000_t202" style="position:absolute;margin-left:211.35pt;margin-top:9.8pt;width:3.55pt;height:3.8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" stroked="f">
                <v:textbox>
                  <w:txbxContent>
                    <w:p w14:paraId="6D65A6E7" w14:textId="77777777" w:rsidR="00FE16C1" w:rsidRDefault="00FE16C1" w:rsidP="00FE16C1"/>
                  </w:txbxContent>
                </v:textbox>
              </v:shape>
            </w:pict>
          </mc:Fallback>
        </mc:AlternateContent>
      </w:r>
      <w:r w:rsidR="00FE16C1" w:rsidRPr="008B188F">
        <w:rPr>
          <w:b/>
          <w:sz w:val="22"/>
          <w:szCs w:val="22"/>
          <w:lang w:val="en-GB"/>
        </w:rPr>
        <w:t>Statistics Mauritius</w:t>
      </w:r>
    </w:p>
    <w:p w14:paraId="1873E1B4" w14:textId="26DB39BF" w:rsidR="00FE16C1" w:rsidRPr="008B188F" w:rsidRDefault="00FE16C1" w:rsidP="00351BBB">
      <w:pPr>
        <w:spacing w:line="276" w:lineRule="auto"/>
        <w:rPr>
          <w:b/>
          <w:sz w:val="22"/>
          <w:szCs w:val="22"/>
        </w:rPr>
      </w:pPr>
      <w:r w:rsidRPr="008B188F">
        <w:rPr>
          <w:b/>
          <w:sz w:val="22"/>
          <w:szCs w:val="22"/>
        </w:rPr>
        <w:t>Ministry of Finance</w:t>
      </w:r>
    </w:p>
    <w:p w14:paraId="30A67BED" w14:textId="72392A61" w:rsidR="0085484D" w:rsidRPr="008B188F" w:rsidRDefault="00FE16C1" w:rsidP="00351BBB">
      <w:pPr>
        <w:spacing w:line="276" w:lineRule="auto"/>
        <w:rPr>
          <w:b/>
          <w:sz w:val="22"/>
          <w:szCs w:val="22"/>
        </w:rPr>
      </w:pPr>
      <w:r w:rsidRPr="008B188F">
        <w:rPr>
          <w:b/>
          <w:sz w:val="22"/>
          <w:szCs w:val="22"/>
        </w:rPr>
        <w:t>Port Louis</w:t>
      </w:r>
    </w:p>
    <w:p w14:paraId="34817389" w14:textId="32CD2B5B" w:rsidR="00A60DDE" w:rsidRPr="008B188F" w:rsidRDefault="00C35223" w:rsidP="00351BBB">
      <w:pPr>
        <w:spacing w:line="276" w:lineRule="auto"/>
        <w:rPr>
          <w:b/>
          <w:sz w:val="22"/>
          <w:szCs w:val="22"/>
        </w:rPr>
      </w:pPr>
      <w:r>
        <w:rPr>
          <w:b/>
          <w:sz w:val="22"/>
          <w:szCs w:val="22"/>
        </w:rPr>
        <w:t>18</w:t>
      </w:r>
      <w:r w:rsidR="00FB0227">
        <w:rPr>
          <w:b/>
          <w:sz w:val="22"/>
          <w:szCs w:val="22"/>
        </w:rPr>
        <w:t xml:space="preserve"> </w:t>
      </w:r>
      <w:r>
        <w:rPr>
          <w:b/>
          <w:sz w:val="22"/>
          <w:szCs w:val="22"/>
        </w:rPr>
        <w:t>December</w:t>
      </w:r>
      <w:r w:rsidR="00A21A0D" w:rsidRPr="008B188F">
        <w:rPr>
          <w:b/>
          <w:sz w:val="22"/>
          <w:szCs w:val="22"/>
        </w:rPr>
        <w:t xml:space="preserve"> 20</w:t>
      </w:r>
      <w:r w:rsidR="00C13AFC" w:rsidRPr="008B188F">
        <w:rPr>
          <w:b/>
          <w:sz w:val="22"/>
          <w:szCs w:val="22"/>
        </w:rPr>
        <w:t>2</w:t>
      </w:r>
      <w:r w:rsidR="00CC6348">
        <w:rPr>
          <w:b/>
          <w:sz w:val="22"/>
          <w:szCs w:val="22"/>
        </w:rPr>
        <w:t>4</w:t>
      </w:r>
    </w:p>
    <w:p w14:paraId="079241D5" w14:textId="462F3AA0" w:rsidR="00351BBB" w:rsidRPr="008B188F" w:rsidRDefault="0018601C" w:rsidP="00351BBB">
      <w:pPr>
        <w:spacing w:line="276" w:lineRule="auto"/>
        <w:rPr>
          <w:b/>
          <w:sz w:val="22"/>
          <w:szCs w:val="22"/>
        </w:rPr>
      </w:pPr>
      <w:r>
        <w:rPr>
          <w:b/>
          <w:noProof/>
          <w:sz w:val="22"/>
          <w:szCs w:val="22"/>
        </w:rPr>
        <mc:AlternateContent>
          <mc:Choice Requires="wps">
            <w:drawing>
              <wp:anchor distT="0" distB="0" distL="114300" distR="114300" simplePos="0" relativeHeight="251720704" behindDoc="0" locked="0" layoutInCell="1" allowOverlap="1" wp14:anchorId="22026F31" wp14:editId="25FEE8A0">
                <wp:simplePos x="0" y="0"/>
                <wp:positionH relativeFrom="margin">
                  <wp:align>left</wp:align>
                </wp:positionH>
                <wp:positionV relativeFrom="paragraph">
                  <wp:posOffset>68580</wp:posOffset>
                </wp:positionV>
                <wp:extent cx="3724275" cy="1838325"/>
                <wp:effectExtent l="0" t="0" r="28575" b="28575"/>
                <wp:wrapNone/>
                <wp:docPr id="5" name="Text Box 5"/>
                <wp:cNvGraphicFramePr/>
                <a:graphic xmlns:a="http://schemas.openxmlformats.org/drawingml/2006/main">
                  <a:graphicData uri="http://schemas.microsoft.com/office/word/2010/wordprocessingShape">
                    <wps:wsp>
                      <wps:cNvSpPr txBox="1"/>
                      <wps:spPr>
                        <a:xfrm>
                          <a:off x="0" y="0"/>
                          <a:ext cx="3724275" cy="1838325"/>
                        </a:xfrm>
                        <a:prstGeom prst="rect">
                          <a:avLst/>
                        </a:prstGeom>
                        <a:solidFill>
                          <a:schemeClr val="lt1"/>
                        </a:solidFill>
                        <a:ln w="6350">
                          <a:solidFill>
                            <a:prstClr val="black"/>
                          </a:solidFill>
                        </a:ln>
                      </wps:spPr>
                      <wps:txbx>
                        <w:txbxContent>
                          <w:p w14:paraId="3B95BEB3" w14:textId="48E69027" w:rsidR="004B0226" w:rsidRDefault="004B0226">
                            <w:r>
                              <w:t>Contact persons:</w:t>
                            </w:r>
                          </w:p>
                          <w:p w14:paraId="50350800" w14:textId="77777777" w:rsidR="004B0226" w:rsidRDefault="004B0226" w:rsidP="004B0226"/>
                          <w:p w14:paraId="4C1F8EA6" w14:textId="16F8BB72" w:rsidR="004B0226" w:rsidRPr="004B0226" w:rsidRDefault="004B0226" w:rsidP="004B0226">
                            <w:pPr>
                              <w:pStyle w:val="ListParagraph"/>
                              <w:numPr>
                                <w:ilvl w:val="0"/>
                                <w:numId w:val="34"/>
                              </w:numPr>
                              <w:rPr>
                                <w:b/>
                                <w:bCs/>
                              </w:rPr>
                            </w:pPr>
                            <w:r w:rsidRPr="004B0226">
                              <w:rPr>
                                <w:b/>
                                <w:bCs/>
                              </w:rPr>
                              <w:t>Mrs. D. Gangaram</w:t>
                            </w:r>
                            <w:r>
                              <w:rPr>
                                <w:b/>
                                <w:bCs/>
                              </w:rPr>
                              <w:t xml:space="preserve"> </w:t>
                            </w:r>
                            <w:r w:rsidRPr="004B0226">
                              <w:rPr>
                                <w:b/>
                                <w:bCs/>
                              </w:rPr>
                              <w:t>(Statistician</w:t>
                            </w:r>
                            <w:r w:rsidR="00390D35">
                              <w:rPr>
                                <w:b/>
                                <w:bCs/>
                              </w:rPr>
                              <w:t>/Senior Statistician</w:t>
                            </w:r>
                            <w:r w:rsidRPr="004B0226">
                              <w:rPr>
                                <w:b/>
                                <w:bCs/>
                              </w:rPr>
                              <w:t>)</w:t>
                            </w:r>
                          </w:p>
                          <w:p w14:paraId="2D31F7DB" w14:textId="2A1D88BA" w:rsidR="004B0226" w:rsidRPr="004B0226" w:rsidRDefault="004B0226" w:rsidP="00A52057">
                            <w:pPr>
                              <w:pStyle w:val="ListParagraph"/>
                              <w:numPr>
                                <w:ilvl w:val="0"/>
                                <w:numId w:val="34"/>
                              </w:numPr>
                              <w:rPr>
                                <w:b/>
                                <w:bCs/>
                              </w:rPr>
                            </w:pPr>
                            <w:r w:rsidRPr="004B0226">
                              <w:rPr>
                                <w:b/>
                                <w:bCs/>
                              </w:rPr>
                              <w:t>Mrs. S. D. Venkatasami (</w:t>
                            </w:r>
                            <w:r w:rsidR="007B72F3">
                              <w:rPr>
                                <w:b/>
                                <w:bCs/>
                              </w:rPr>
                              <w:t>Temp. Principal Statistical Officer)</w:t>
                            </w:r>
                          </w:p>
                          <w:p w14:paraId="58BD7320" w14:textId="2AC3E9F1" w:rsidR="004B0226" w:rsidRDefault="004B0226" w:rsidP="004B0226">
                            <w:r>
                              <w:t>Labour Unit</w:t>
                            </w:r>
                          </w:p>
                          <w:p w14:paraId="38F289F5" w14:textId="4656F291" w:rsidR="004B0226" w:rsidRDefault="004B0226" w:rsidP="004B0226">
                            <w:r>
                              <w:t>Statistics Mauritius</w:t>
                            </w:r>
                          </w:p>
                          <w:p w14:paraId="10A47F91" w14:textId="66EBE4A1" w:rsidR="004B0226" w:rsidRDefault="004B0226" w:rsidP="004B0226">
                            <w:r>
                              <w:t>LIC Centre</w:t>
                            </w:r>
                          </w:p>
                          <w:p w14:paraId="02AEEBB4" w14:textId="70C532B5" w:rsidR="004B0226" w:rsidRDefault="004B0226" w:rsidP="004B0226">
                            <w:r>
                              <w:t>Port Louis</w:t>
                            </w:r>
                          </w:p>
                          <w:p w14:paraId="583746CF" w14:textId="634E2322" w:rsidR="004B0226" w:rsidRDefault="004B0226" w:rsidP="004B0226">
                            <w:r>
                              <w:t>Tel: 208 1800   Fax: 2130234</w:t>
                            </w:r>
                          </w:p>
                          <w:p w14:paraId="47A6B87A" w14:textId="781CAB8C" w:rsidR="004B0226" w:rsidRDefault="004B0226" w:rsidP="004B0226">
                            <w:r>
                              <w:t xml:space="preserve">Email: </w:t>
                            </w:r>
                            <w:hyperlink r:id="rId10" w:history="1">
                              <w:r w:rsidRPr="00355FEF">
                                <w:rPr>
                                  <w:rStyle w:val="Hyperlink"/>
                                </w:rPr>
                                <w:t>cso_labour@govmu.org</w:t>
                              </w:r>
                            </w:hyperlink>
                          </w:p>
                          <w:p w14:paraId="7EEE0A79" w14:textId="7AE485A0" w:rsidR="004B0226" w:rsidRDefault="004B0226" w:rsidP="004B0226">
                            <w:r>
                              <w:t xml:space="preserve">           cso_quarterlylabour@govmu.org</w:t>
                            </w:r>
                          </w:p>
                          <w:p w14:paraId="40CAFF8C" w14:textId="77777777" w:rsidR="004B0226" w:rsidRDefault="004B0226" w:rsidP="004B022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026F31" id="_x0000_t202" coordsize="21600,21600" o:spt="202" path="m,l,21600r21600,l21600,xe">
                <v:stroke joinstyle="miter"/>
                <v:path gradientshapeok="t" o:connecttype="rect"/>
              </v:shapetype>
              <v:shape id="Text Box 5" o:spid="_x0000_s1027" type="#_x0000_t202" style="position:absolute;margin-left:0;margin-top:5.4pt;width:293.25pt;height:144.75pt;z-index:2517207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" fillcolor="white [3201]" strokeweight=".5pt">
                <v:textbox>
                  <w:txbxContent>
                    <w:p w14:paraId="3B95BEB3" w14:textId="48E69027" w:rsidR="004B0226" w:rsidRDefault="004B0226">
                      <w:r>
                        <w:t>Contact persons:</w:t>
                      </w:r>
                    </w:p>
                    <w:p w14:paraId="50350800" w14:textId="77777777" w:rsidR="004B0226" w:rsidRDefault="004B0226" w:rsidP="004B0226"/>
                    <w:p w14:paraId="4C1F8EA6" w14:textId="16F8BB72" w:rsidR="004B0226" w:rsidRPr="004B0226" w:rsidRDefault="004B0226" w:rsidP="004B0226">
                      <w:pPr>
                        <w:pStyle w:val="ListParagraph"/>
                        <w:numPr>
                          <w:ilvl w:val="0"/>
                          <w:numId w:val="34"/>
                        </w:numPr>
                        <w:rPr>
                          <w:b/>
                          <w:bCs/>
                        </w:rPr>
                      </w:pPr>
                      <w:r w:rsidRPr="004B0226">
                        <w:rPr>
                          <w:b/>
                          <w:bCs/>
                        </w:rPr>
                        <w:t>Mrs. D. Gangaram</w:t>
                      </w:r>
                      <w:r>
                        <w:rPr>
                          <w:b/>
                          <w:bCs/>
                        </w:rPr>
                        <w:t xml:space="preserve"> </w:t>
                      </w:r>
                      <w:r w:rsidRPr="004B0226">
                        <w:rPr>
                          <w:b/>
                          <w:bCs/>
                        </w:rPr>
                        <w:t>(Statistician</w:t>
                      </w:r>
                      <w:r w:rsidR="00390D35">
                        <w:rPr>
                          <w:b/>
                          <w:bCs/>
                        </w:rPr>
                        <w:t>/Senior Statistician</w:t>
                      </w:r>
                      <w:r w:rsidRPr="004B0226">
                        <w:rPr>
                          <w:b/>
                          <w:bCs/>
                        </w:rPr>
                        <w:t>)</w:t>
                      </w:r>
                    </w:p>
                    <w:p w14:paraId="2D31F7DB" w14:textId="2A1D88BA" w:rsidR="004B0226" w:rsidRPr="004B0226" w:rsidRDefault="004B0226" w:rsidP="00A52057">
                      <w:pPr>
                        <w:pStyle w:val="ListParagraph"/>
                        <w:numPr>
                          <w:ilvl w:val="0"/>
                          <w:numId w:val="34"/>
                        </w:numPr>
                        <w:rPr>
                          <w:b/>
                          <w:bCs/>
                        </w:rPr>
                      </w:pPr>
                      <w:r w:rsidRPr="004B0226">
                        <w:rPr>
                          <w:b/>
                          <w:bCs/>
                        </w:rPr>
                        <w:t>Mrs. S. D. Venkatasami (</w:t>
                      </w:r>
                      <w:r w:rsidR="007B72F3">
                        <w:rPr>
                          <w:b/>
                          <w:bCs/>
                        </w:rPr>
                        <w:t>Temp. Principal Statistical Officer)</w:t>
                      </w:r>
                    </w:p>
                    <w:p w14:paraId="58BD7320" w14:textId="2AC3E9F1" w:rsidR="004B0226" w:rsidRDefault="004B0226" w:rsidP="004B0226">
                      <w:r>
                        <w:t>Labour Unit</w:t>
                      </w:r>
                    </w:p>
                    <w:p w14:paraId="38F289F5" w14:textId="4656F291" w:rsidR="004B0226" w:rsidRDefault="004B0226" w:rsidP="004B0226">
                      <w:r>
                        <w:t>Statistics Mauritius</w:t>
                      </w:r>
                    </w:p>
                    <w:p w14:paraId="10A47F91" w14:textId="66EBE4A1" w:rsidR="004B0226" w:rsidRDefault="004B0226" w:rsidP="004B0226">
                      <w:r>
                        <w:t>LIC Centre</w:t>
                      </w:r>
                    </w:p>
                    <w:p w14:paraId="02AEEBB4" w14:textId="70C532B5" w:rsidR="004B0226" w:rsidRDefault="004B0226" w:rsidP="004B0226">
                      <w:r>
                        <w:t>Port Louis</w:t>
                      </w:r>
                    </w:p>
                    <w:p w14:paraId="583746CF" w14:textId="634E2322" w:rsidR="004B0226" w:rsidRDefault="004B0226" w:rsidP="004B0226">
                      <w:r>
                        <w:t>Tel: 208 1800   Fax: 2130234</w:t>
                      </w:r>
                    </w:p>
                    <w:p w14:paraId="47A6B87A" w14:textId="781CAB8C" w:rsidR="004B0226" w:rsidRDefault="004B0226" w:rsidP="004B0226">
                      <w:r>
                        <w:t xml:space="preserve">Email: </w:t>
                      </w:r>
                      <w:hyperlink r:id="rId11" w:history="1">
                        <w:r w:rsidRPr="00355FEF">
                          <w:rPr>
                            <w:rStyle w:val="Hyperlink"/>
                          </w:rPr>
                          <w:t>cso_labour@govmu.org</w:t>
                        </w:r>
                      </w:hyperlink>
                    </w:p>
                    <w:p w14:paraId="7EEE0A79" w14:textId="7AE485A0" w:rsidR="004B0226" w:rsidRDefault="004B0226" w:rsidP="004B0226">
                      <w:r>
                        <w:t xml:space="preserve">           cso_quarterlylabour@govmu.org</w:t>
                      </w:r>
                    </w:p>
                    <w:p w14:paraId="40CAFF8C" w14:textId="77777777" w:rsidR="004B0226" w:rsidRDefault="004B0226" w:rsidP="004B0226"/>
                  </w:txbxContent>
                </v:textbox>
                <w10:wrap anchorx="margin"/>
              </v:shape>
            </w:pict>
          </mc:Fallback>
        </mc:AlternateContent>
      </w:r>
    </w:p>
    <w:p w14:paraId="10F43DF5" w14:textId="3C53B24A" w:rsidR="00351BBB" w:rsidRPr="008B188F" w:rsidRDefault="00351BBB" w:rsidP="00351BBB">
      <w:pPr>
        <w:spacing w:line="276" w:lineRule="auto"/>
        <w:rPr>
          <w:b/>
          <w:sz w:val="22"/>
          <w:szCs w:val="22"/>
        </w:rPr>
      </w:pPr>
    </w:p>
    <w:p w14:paraId="04F98E9D" w14:textId="19210D31" w:rsidR="00E153FC" w:rsidRPr="008B188F" w:rsidRDefault="00E153FC" w:rsidP="00351BBB">
      <w:pPr>
        <w:spacing w:line="276" w:lineRule="auto"/>
        <w:jc w:val="right"/>
        <w:rPr>
          <w:sz w:val="22"/>
          <w:szCs w:val="24"/>
        </w:rPr>
      </w:pPr>
    </w:p>
    <w:p w14:paraId="74E0CFC2" w14:textId="77777777" w:rsidR="0085484D" w:rsidRPr="008B188F" w:rsidRDefault="0085484D" w:rsidP="00351BBB">
      <w:pPr>
        <w:pStyle w:val="BodyTextIndent"/>
        <w:spacing w:line="312" w:lineRule="auto"/>
        <w:ind w:right="113" w:firstLine="0"/>
        <w:jc w:val="right"/>
        <w:rPr>
          <w:sz w:val="22"/>
          <w:szCs w:val="24"/>
          <w:lang w:val="en-GB"/>
        </w:rPr>
      </w:pPr>
    </w:p>
    <w:p w14:paraId="6F8F448D" w14:textId="77777777" w:rsidR="0085484D" w:rsidRPr="008B188F" w:rsidRDefault="0085484D" w:rsidP="00351BBB">
      <w:pPr>
        <w:pStyle w:val="BodyTextIndent"/>
        <w:spacing w:line="312" w:lineRule="auto"/>
        <w:ind w:right="113" w:firstLine="0"/>
        <w:jc w:val="right"/>
        <w:rPr>
          <w:sz w:val="22"/>
          <w:szCs w:val="24"/>
          <w:lang w:val="en-GB"/>
        </w:rPr>
      </w:pPr>
    </w:p>
    <w:p w14:paraId="6645D7D2" w14:textId="77777777" w:rsidR="0085484D" w:rsidRPr="008B188F" w:rsidRDefault="0085484D" w:rsidP="00351BBB">
      <w:pPr>
        <w:pStyle w:val="BodyTextIndent"/>
        <w:spacing w:line="312" w:lineRule="auto"/>
        <w:ind w:right="113" w:firstLine="0"/>
        <w:jc w:val="right"/>
        <w:rPr>
          <w:sz w:val="22"/>
          <w:szCs w:val="24"/>
          <w:lang w:val="en-GB"/>
        </w:rPr>
      </w:pPr>
    </w:p>
    <w:p w14:paraId="20758435" w14:textId="77777777" w:rsidR="00FE16C1" w:rsidRPr="008B188F" w:rsidRDefault="00FE16C1" w:rsidP="00351BBB">
      <w:pPr>
        <w:pStyle w:val="BodyTextIndent"/>
        <w:spacing w:line="312" w:lineRule="auto"/>
        <w:ind w:right="113" w:firstLine="0"/>
        <w:jc w:val="right"/>
        <w:rPr>
          <w:sz w:val="22"/>
          <w:szCs w:val="24"/>
          <w:lang w:val="en-GB"/>
        </w:rPr>
      </w:pPr>
    </w:p>
    <w:p w14:paraId="575DB4D4" w14:textId="612B9C09" w:rsidR="00FE16C1" w:rsidRDefault="00FE16C1" w:rsidP="00351BBB">
      <w:pPr>
        <w:pStyle w:val="BodyTextIndent"/>
        <w:spacing w:line="312" w:lineRule="auto"/>
        <w:ind w:right="113" w:firstLine="0"/>
        <w:jc w:val="right"/>
        <w:rPr>
          <w:sz w:val="22"/>
          <w:szCs w:val="24"/>
          <w:lang w:val="en-GB"/>
        </w:rPr>
      </w:pPr>
    </w:p>
    <w:p w14:paraId="610DFB94" w14:textId="707955B2" w:rsidR="009920E1" w:rsidRDefault="009920E1" w:rsidP="00351BBB">
      <w:pPr>
        <w:pStyle w:val="BodyTextIndent"/>
        <w:spacing w:line="312" w:lineRule="auto"/>
        <w:ind w:right="113" w:firstLine="0"/>
        <w:jc w:val="right"/>
        <w:rPr>
          <w:sz w:val="22"/>
          <w:szCs w:val="24"/>
          <w:lang w:val="en-GB"/>
        </w:rPr>
      </w:pPr>
    </w:p>
    <w:p w14:paraId="0F31D91B" w14:textId="24AE5927" w:rsidR="0018601C" w:rsidRDefault="0018601C" w:rsidP="00127F73">
      <w:pPr>
        <w:jc w:val="center"/>
        <w:rPr>
          <w:sz w:val="28"/>
          <w:szCs w:val="28"/>
        </w:rPr>
      </w:pPr>
    </w:p>
    <w:p w14:paraId="4F9EF1A7" w14:textId="1FA96E42" w:rsidR="00FB7FF7" w:rsidRDefault="00FB7FF7" w:rsidP="00127F73">
      <w:pPr>
        <w:jc w:val="center"/>
        <w:rPr>
          <w:sz w:val="28"/>
          <w:szCs w:val="28"/>
        </w:rPr>
      </w:pPr>
    </w:p>
    <w:p w14:paraId="41F7A49B" w14:textId="5472A4DA" w:rsidR="00FB7FF7" w:rsidRDefault="00FB7FF7" w:rsidP="00127F73">
      <w:pPr>
        <w:jc w:val="center"/>
        <w:rPr>
          <w:sz w:val="28"/>
          <w:szCs w:val="28"/>
        </w:rPr>
      </w:pPr>
    </w:p>
    <w:p w14:paraId="4D2B112B" w14:textId="083E6D86" w:rsidR="00FB7FF7" w:rsidRDefault="00FB7FF7" w:rsidP="00127F73">
      <w:pPr>
        <w:jc w:val="center"/>
        <w:rPr>
          <w:sz w:val="28"/>
          <w:szCs w:val="28"/>
        </w:rPr>
      </w:pPr>
    </w:p>
    <w:p w14:paraId="5DFC6B6B" w14:textId="37B1DB7C" w:rsidR="00FB7FF7" w:rsidRDefault="00FB7FF7" w:rsidP="00127F73">
      <w:pPr>
        <w:jc w:val="center"/>
        <w:rPr>
          <w:sz w:val="28"/>
          <w:szCs w:val="28"/>
        </w:rPr>
      </w:pPr>
    </w:p>
    <w:p w14:paraId="3D3E084D" w14:textId="0FD14D2A" w:rsidR="00FB7FF7" w:rsidRDefault="00FB7FF7" w:rsidP="00127F73">
      <w:pPr>
        <w:jc w:val="center"/>
        <w:rPr>
          <w:sz w:val="28"/>
          <w:szCs w:val="28"/>
        </w:rPr>
      </w:pPr>
    </w:p>
    <w:p w14:paraId="6B89F9E7" w14:textId="27451538" w:rsidR="00FB7FF7" w:rsidRDefault="00FB7FF7" w:rsidP="00127F73">
      <w:pPr>
        <w:jc w:val="center"/>
        <w:rPr>
          <w:sz w:val="28"/>
          <w:szCs w:val="28"/>
        </w:rPr>
      </w:pPr>
    </w:p>
    <w:p w14:paraId="204BDA64" w14:textId="1905E807" w:rsidR="00FB7FF7" w:rsidRDefault="00FB7FF7" w:rsidP="00127F73">
      <w:pPr>
        <w:jc w:val="center"/>
        <w:rPr>
          <w:sz w:val="28"/>
          <w:szCs w:val="28"/>
        </w:rPr>
      </w:pPr>
    </w:p>
    <w:p w14:paraId="12A302C7" w14:textId="12AE428B" w:rsidR="00FB7FF7" w:rsidRDefault="00FB7FF7" w:rsidP="00127F73">
      <w:pPr>
        <w:jc w:val="center"/>
        <w:rPr>
          <w:sz w:val="28"/>
          <w:szCs w:val="28"/>
        </w:rPr>
      </w:pPr>
    </w:p>
    <w:p w14:paraId="423B9574" w14:textId="02E15D82" w:rsidR="00FB7FF7" w:rsidRDefault="00FB7FF7" w:rsidP="00127F73">
      <w:pPr>
        <w:jc w:val="center"/>
        <w:rPr>
          <w:sz w:val="28"/>
          <w:szCs w:val="28"/>
        </w:rPr>
      </w:pPr>
    </w:p>
    <w:p w14:paraId="1ACCF9F4" w14:textId="449DC22F" w:rsidR="00FB7FF7" w:rsidRDefault="00FB7FF7" w:rsidP="00127F73">
      <w:pPr>
        <w:jc w:val="center"/>
        <w:rPr>
          <w:sz w:val="28"/>
          <w:szCs w:val="28"/>
        </w:rPr>
      </w:pPr>
    </w:p>
    <w:p w14:paraId="732F6CEC" w14:textId="7D72907E" w:rsidR="00FB7FF7" w:rsidRDefault="00FB7FF7" w:rsidP="00127F73">
      <w:pPr>
        <w:jc w:val="center"/>
        <w:rPr>
          <w:sz w:val="28"/>
          <w:szCs w:val="28"/>
        </w:rPr>
      </w:pPr>
    </w:p>
    <w:p w14:paraId="2F1E2E3B" w14:textId="33E05C09" w:rsidR="00FB7FF7" w:rsidRDefault="00FB7FF7" w:rsidP="00127F73">
      <w:pPr>
        <w:jc w:val="center"/>
        <w:rPr>
          <w:sz w:val="28"/>
          <w:szCs w:val="28"/>
        </w:rPr>
      </w:pPr>
    </w:p>
    <w:p w14:paraId="41378D80" w14:textId="0B3C453D" w:rsidR="00FB7FF7" w:rsidRDefault="00FB7FF7" w:rsidP="00127F73">
      <w:pPr>
        <w:jc w:val="center"/>
        <w:rPr>
          <w:sz w:val="28"/>
          <w:szCs w:val="28"/>
        </w:rPr>
      </w:pPr>
    </w:p>
    <w:p w14:paraId="2238F18E" w14:textId="7D97977E" w:rsidR="00FB7FF7" w:rsidRDefault="00FB7FF7" w:rsidP="00127F73">
      <w:pPr>
        <w:jc w:val="center"/>
        <w:rPr>
          <w:sz w:val="28"/>
          <w:szCs w:val="28"/>
        </w:rPr>
      </w:pPr>
    </w:p>
    <w:p w14:paraId="3B9BC4D8" w14:textId="61DB66E9" w:rsidR="00FB7FF7" w:rsidRDefault="00FB7FF7" w:rsidP="00127F73">
      <w:pPr>
        <w:jc w:val="center"/>
        <w:rPr>
          <w:sz w:val="28"/>
          <w:szCs w:val="28"/>
        </w:rPr>
      </w:pPr>
    </w:p>
    <w:p w14:paraId="3907EDAF" w14:textId="003621C7" w:rsidR="00FB7FF7" w:rsidRDefault="00FB7FF7" w:rsidP="00127F73">
      <w:pPr>
        <w:jc w:val="center"/>
        <w:rPr>
          <w:sz w:val="28"/>
          <w:szCs w:val="28"/>
        </w:rPr>
      </w:pPr>
    </w:p>
    <w:p w14:paraId="37BA828B" w14:textId="092EF1A2" w:rsidR="00FB7FF7" w:rsidRDefault="00FB7FF7" w:rsidP="00127F73">
      <w:pPr>
        <w:jc w:val="center"/>
        <w:rPr>
          <w:sz w:val="28"/>
          <w:szCs w:val="28"/>
        </w:rPr>
      </w:pPr>
    </w:p>
    <w:p w14:paraId="68F87B43" w14:textId="1F9DA803" w:rsidR="00FB7FF7" w:rsidRDefault="00FB7FF7" w:rsidP="00127F73">
      <w:pPr>
        <w:jc w:val="center"/>
        <w:rPr>
          <w:sz w:val="28"/>
          <w:szCs w:val="28"/>
        </w:rPr>
      </w:pPr>
    </w:p>
    <w:p w14:paraId="7E43396D" w14:textId="73FF0F98" w:rsidR="00FB7FF7" w:rsidRDefault="00FB7FF7" w:rsidP="00127F73">
      <w:pPr>
        <w:jc w:val="center"/>
        <w:rPr>
          <w:sz w:val="28"/>
          <w:szCs w:val="28"/>
        </w:rPr>
      </w:pPr>
    </w:p>
    <w:p w14:paraId="1B0623F2" w14:textId="559DB9C7" w:rsidR="00FB7FF7" w:rsidRDefault="00FB7FF7" w:rsidP="00127F73">
      <w:pPr>
        <w:jc w:val="center"/>
        <w:rPr>
          <w:sz w:val="28"/>
          <w:szCs w:val="28"/>
        </w:rPr>
      </w:pPr>
    </w:p>
    <w:p w14:paraId="1EECF058" w14:textId="02CD2CC6" w:rsidR="00FB7FF7" w:rsidRDefault="00FB7FF7" w:rsidP="00127F73">
      <w:pPr>
        <w:jc w:val="center"/>
        <w:rPr>
          <w:sz w:val="28"/>
          <w:szCs w:val="28"/>
        </w:rPr>
      </w:pPr>
    </w:p>
    <w:p w14:paraId="143B6260" w14:textId="4539CA6E" w:rsidR="00FB7FF7" w:rsidRDefault="00FB7FF7" w:rsidP="00127F73">
      <w:pPr>
        <w:jc w:val="center"/>
        <w:rPr>
          <w:sz w:val="28"/>
          <w:szCs w:val="28"/>
        </w:rPr>
      </w:pPr>
    </w:p>
    <w:p w14:paraId="5517A85D" w14:textId="07A2DFCA" w:rsidR="00FB7FF7" w:rsidRDefault="00FB7FF7" w:rsidP="00127F73">
      <w:pPr>
        <w:jc w:val="center"/>
        <w:rPr>
          <w:sz w:val="28"/>
          <w:szCs w:val="28"/>
        </w:rPr>
      </w:pPr>
    </w:p>
    <w:p w14:paraId="0E70005C" w14:textId="79CA70D5" w:rsidR="00FB7FF7" w:rsidRDefault="00FB7FF7" w:rsidP="00127F73">
      <w:pPr>
        <w:jc w:val="center"/>
        <w:rPr>
          <w:sz w:val="28"/>
          <w:szCs w:val="28"/>
        </w:rPr>
      </w:pPr>
    </w:p>
    <w:p w14:paraId="66578A0C" w14:textId="4757D323" w:rsidR="00FB7FF7" w:rsidRDefault="00FB7FF7" w:rsidP="00127F73">
      <w:pPr>
        <w:jc w:val="center"/>
        <w:rPr>
          <w:sz w:val="28"/>
          <w:szCs w:val="28"/>
        </w:rPr>
      </w:pPr>
    </w:p>
    <w:p w14:paraId="0F4BCB52" w14:textId="69C3C7F4" w:rsidR="00FB7FF7" w:rsidRDefault="00FB7FF7" w:rsidP="00127F73">
      <w:pPr>
        <w:jc w:val="center"/>
        <w:rPr>
          <w:sz w:val="28"/>
          <w:szCs w:val="28"/>
        </w:rPr>
      </w:pPr>
    </w:p>
    <w:p w14:paraId="16DABA34" w14:textId="60261935" w:rsidR="00FB7FF7" w:rsidRDefault="00FB7FF7" w:rsidP="00127F73">
      <w:pPr>
        <w:jc w:val="center"/>
        <w:rPr>
          <w:sz w:val="28"/>
          <w:szCs w:val="28"/>
        </w:rPr>
      </w:pPr>
    </w:p>
    <w:p w14:paraId="30A1E890" w14:textId="4E639BC7" w:rsidR="00FB7FF7" w:rsidRDefault="00FB7FF7" w:rsidP="00127F73">
      <w:pPr>
        <w:jc w:val="center"/>
        <w:rPr>
          <w:sz w:val="28"/>
          <w:szCs w:val="28"/>
        </w:rPr>
      </w:pPr>
    </w:p>
    <w:p w14:paraId="5E5BF55C" w14:textId="08E0C2FC" w:rsidR="00FB7FF7" w:rsidRDefault="00FB7FF7" w:rsidP="00127F73">
      <w:pPr>
        <w:jc w:val="center"/>
        <w:rPr>
          <w:sz w:val="28"/>
          <w:szCs w:val="28"/>
        </w:rPr>
      </w:pPr>
    </w:p>
    <w:p w14:paraId="31A4FAFD" w14:textId="213D93A7" w:rsidR="00FB7FF7" w:rsidRDefault="00FB7FF7" w:rsidP="00127F73">
      <w:pPr>
        <w:jc w:val="center"/>
        <w:rPr>
          <w:sz w:val="28"/>
          <w:szCs w:val="28"/>
        </w:rPr>
      </w:pPr>
    </w:p>
    <w:p w14:paraId="52563C0B" w14:textId="514A4BAF" w:rsidR="00FB7FF7" w:rsidRDefault="00FB7FF7" w:rsidP="00127F73">
      <w:pPr>
        <w:jc w:val="center"/>
        <w:rPr>
          <w:sz w:val="28"/>
          <w:szCs w:val="28"/>
        </w:rPr>
      </w:pPr>
    </w:p>
    <w:p w14:paraId="15E9B835" w14:textId="77777777" w:rsidR="008D5387" w:rsidRDefault="008D5387" w:rsidP="00127F73">
      <w:pPr>
        <w:jc w:val="center"/>
        <w:rPr>
          <w:sz w:val="28"/>
          <w:szCs w:val="28"/>
        </w:rPr>
      </w:pPr>
    </w:p>
    <w:p w14:paraId="13439DE6" w14:textId="77777777" w:rsidR="00F20FCE" w:rsidRDefault="00F20FCE" w:rsidP="00127F73">
      <w:pPr>
        <w:jc w:val="center"/>
        <w:rPr>
          <w:sz w:val="28"/>
          <w:szCs w:val="28"/>
        </w:rPr>
      </w:pPr>
    </w:p>
    <w:p w14:paraId="4D0E885C" w14:textId="5F3BC6B9" w:rsidR="00665972" w:rsidRDefault="00127F73" w:rsidP="00127F73">
      <w:pPr>
        <w:jc w:val="center"/>
        <w:rPr>
          <w:sz w:val="28"/>
          <w:szCs w:val="28"/>
        </w:rPr>
      </w:pPr>
      <w:proofErr w:type="spellStart"/>
      <w:r>
        <w:rPr>
          <w:sz w:val="28"/>
          <w:szCs w:val="28"/>
        </w:rPr>
        <w:t>i</w:t>
      </w:r>
      <w:proofErr w:type="spellEnd"/>
    </w:p>
    <w:p w14:paraId="23AD03D2" w14:textId="77777777" w:rsidR="00665972" w:rsidRDefault="00665972" w:rsidP="00281E58">
      <w:pPr>
        <w:jc w:val="right"/>
        <w:rPr>
          <w:sz w:val="28"/>
          <w:szCs w:val="28"/>
        </w:rPr>
      </w:pPr>
    </w:p>
    <w:p w14:paraId="253DCB4B" w14:textId="3DAB3A74" w:rsidR="008B48F4" w:rsidRPr="00C244B8" w:rsidRDefault="008B48F4" w:rsidP="00C244B8">
      <w:pPr>
        <w:rPr>
          <w:sz w:val="28"/>
          <w:szCs w:val="28"/>
        </w:rPr>
      </w:pPr>
      <w:r w:rsidRPr="008B188F">
        <w:rPr>
          <w:sz w:val="28"/>
          <w:szCs w:val="28"/>
        </w:rPr>
        <w:t xml:space="preserve"> </w:t>
      </w:r>
      <w:r w:rsidR="00C244B8">
        <w:rPr>
          <w:sz w:val="28"/>
          <w:szCs w:val="28"/>
        </w:rPr>
        <w:tab/>
      </w:r>
      <w:r w:rsidR="00C244B8">
        <w:rPr>
          <w:sz w:val="28"/>
          <w:szCs w:val="28"/>
        </w:rPr>
        <w:tab/>
      </w:r>
      <w:r w:rsidR="00C244B8">
        <w:rPr>
          <w:sz w:val="28"/>
          <w:szCs w:val="28"/>
        </w:rPr>
        <w:tab/>
      </w:r>
      <w:r w:rsidR="00C244B8">
        <w:rPr>
          <w:sz w:val="28"/>
          <w:szCs w:val="28"/>
        </w:rPr>
        <w:tab/>
      </w:r>
      <w:r w:rsidR="00C244B8">
        <w:rPr>
          <w:sz w:val="28"/>
          <w:szCs w:val="28"/>
        </w:rPr>
        <w:tab/>
      </w:r>
      <w:r w:rsidR="00C244B8">
        <w:rPr>
          <w:sz w:val="28"/>
          <w:szCs w:val="28"/>
        </w:rPr>
        <w:tab/>
      </w:r>
      <w:r w:rsidR="00C244B8">
        <w:rPr>
          <w:sz w:val="28"/>
          <w:szCs w:val="28"/>
        </w:rPr>
        <w:tab/>
      </w:r>
      <w:r w:rsidR="00C244B8">
        <w:rPr>
          <w:sz w:val="28"/>
          <w:szCs w:val="28"/>
        </w:rPr>
        <w:tab/>
      </w:r>
      <w:r w:rsidRPr="008B188F">
        <w:rPr>
          <w:sz w:val="28"/>
          <w:szCs w:val="28"/>
        </w:rPr>
        <w:t xml:space="preserve">         </w:t>
      </w:r>
      <w:r w:rsidR="00C244B8">
        <w:rPr>
          <w:sz w:val="28"/>
          <w:szCs w:val="28"/>
        </w:rPr>
        <w:t xml:space="preserve">                                     </w:t>
      </w:r>
      <w:r w:rsidRPr="008B188F">
        <w:rPr>
          <w:b/>
          <w:sz w:val="24"/>
          <w:szCs w:val="24"/>
        </w:rPr>
        <w:t>Annex 1</w:t>
      </w:r>
    </w:p>
    <w:p w14:paraId="4EACB7BD" w14:textId="77777777" w:rsidR="008B48F4" w:rsidRPr="008B188F" w:rsidRDefault="008B48F4" w:rsidP="008B48F4">
      <w:pPr>
        <w:jc w:val="center"/>
        <w:rPr>
          <w:sz w:val="28"/>
          <w:szCs w:val="28"/>
        </w:rPr>
      </w:pPr>
    </w:p>
    <w:p w14:paraId="5311B00A" w14:textId="77777777" w:rsidR="008B48F4" w:rsidRPr="008B188F" w:rsidRDefault="008B48F4" w:rsidP="008B48F4">
      <w:pPr>
        <w:jc w:val="center"/>
        <w:rPr>
          <w:b/>
          <w:sz w:val="26"/>
          <w:szCs w:val="26"/>
        </w:rPr>
      </w:pPr>
      <w:r w:rsidRPr="008B188F">
        <w:rPr>
          <w:b/>
          <w:sz w:val="26"/>
          <w:szCs w:val="26"/>
        </w:rPr>
        <w:t>Technical Note</w:t>
      </w:r>
    </w:p>
    <w:p w14:paraId="689B5C6D" w14:textId="77777777" w:rsidR="008B48F4" w:rsidRPr="008B188F" w:rsidRDefault="008B48F4" w:rsidP="008B48F4"/>
    <w:p w14:paraId="2B35B7E9" w14:textId="7B41F105" w:rsidR="008B48F4" w:rsidRPr="008B188F" w:rsidRDefault="008B48F4" w:rsidP="008B48F4">
      <w:pPr>
        <w:jc w:val="center"/>
        <w:rPr>
          <w:b/>
          <w:sz w:val="26"/>
          <w:szCs w:val="26"/>
        </w:rPr>
      </w:pPr>
      <w:r w:rsidRPr="008B188F">
        <w:rPr>
          <w:b/>
          <w:sz w:val="26"/>
          <w:szCs w:val="26"/>
        </w:rPr>
        <w:t xml:space="preserve">Methodology used for the compilation of the </w:t>
      </w:r>
      <w:r w:rsidR="00F64631">
        <w:rPr>
          <w:b/>
          <w:sz w:val="26"/>
          <w:szCs w:val="26"/>
        </w:rPr>
        <w:t>Wage Rate Index</w:t>
      </w:r>
    </w:p>
    <w:p w14:paraId="46DD3837" w14:textId="77777777" w:rsidR="008B48F4" w:rsidRPr="008B188F" w:rsidRDefault="008B48F4" w:rsidP="008B48F4">
      <w:pPr>
        <w:jc w:val="center"/>
        <w:rPr>
          <w:b/>
          <w:sz w:val="28"/>
          <w:szCs w:val="28"/>
        </w:rPr>
      </w:pPr>
    </w:p>
    <w:p w14:paraId="2FC27644" w14:textId="77777777" w:rsidR="008B48F4" w:rsidRPr="008B188F" w:rsidRDefault="008B48F4" w:rsidP="008B48F4">
      <w:pPr>
        <w:numPr>
          <w:ilvl w:val="0"/>
          <w:numId w:val="13"/>
        </w:numPr>
        <w:spacing w:line="300" w:lineRule="atLeast"/>
        <w:jc w:val="both"/>
        <w:rPr>
          <w:b/>
          <w:sz w:val="24"/>
          <w:szCs w:val="24"/>
        </w:rPr>
      </w:pPr>
      <w:r w:rsidRPr="008B188F">
        <w:rPr>
          <w:b/>
          <w:sz w:val="24"/>
          <w:szCs w:val="24"/>
        </w:rPr>
        <w:t>Definition</w:t>
      </w:r>
    </w:p>
    <w:p w14:paraId="523FD1D7" w14:textId="77777777" w:rsidR="008B48F4" w:rsidRPr="008B188F" w:rsidRDefault="008B48F4" w:rsidP="008B48F4">
      <w:pPr>
        <w:spacing w:line="300" w:lineRule="atLeast"/>
        <w:ind w:left="720"/>
        <w:jc w:val="both"/>
        <w:rPr>
          <w:b/>
          <w:sz w:val="16"/>
          <w:szCs w:val="16"/>
        </w:rPr>
      </w:pPr>
    </w:p>
    <w:p w14:paraId="7561F55A" w14:textId="3F731CCD" w:rsidR="008B48F4" w:rsidRPr="008B188F" w:rsidRDefault="008B48F4" w:rsidP="008B48F4">
      <w:pPr>
        <w:spacing w:line="300" w:lineRule="atLeast"/>
        <w:jc w:val="both"/>
        <w:rPr>
          <w:sz w:val="24"/>
          <w:szCs w:val="24"/>
        </w:rPr>
      </w:pPr>
      <w:r w:rsidRPr="008B188F">
        <w:rPr>
          <w:sz w:val="24"/>
          <w:szCs w:val="24"/>
        </w:rPr>
        <w:t xml:space="preserve">The </w:t>
      </w:r>
      <w:r w:rsidR="00F64631">
        <w:rPr>
          <w:sz w:val="24"/>
          <w:szCs w:val="24"/>
        </w:rPr>
        <w:t>Wage Rate Index</w:t>
      </w:r>
      <w:r w:rsidRPr="008B188F">
        <w:rPr>
          <w:sz w:val="24"/>
          <w:szCs w:val="24"/>
        </w:rPr>
        <w:t xml:space="preserve"> (WRI) measures changes in the price of labour, i.e., changes in the average rates actually paid by employers to their employees for work during normal working hours. </w:t>
      </w:r>
    </w:p>
    <w:p w14:paraId="4A0E6C24" w14:textId="77777777" w:rsidR="008B48F4" w:rsidRPr="008B188F" w:rsidRDefault="008B48F4" w:rsidP="008B48F4">
      <w:pPr>
        <w:spacing w:line="300" w:lineRule="atLeast"/>
        <w:jc w:val="both"/>
        <w:rPr>
          <w:b/>
          <w:sz w:val="24"/>
          <w:szCs w:val="24"/>
        </w:rPr>
      </w:pPr>
    </w:p>
    <w:p w14:paraId="26577107" w14:textId="366782EB" w:rsidR="008B48F4" w:rsidRPr="008B188F" w:rsidRDefault="008B48F4" w:rsidP="008B48F4">
      <w:pPr>
        <w:spacing w:line="300" w:lineRule="atLeast"/>
        <w:jc w:val="both"/>
        <w:rPr>
          <w:b/>
          <w:sz w:val="24"/>
          <w:szCs w:val="24"/>
        </w:rPr>
      </w:pPr>
      <w:r w:rsidRPr="008B188F">
        <w:rPr>
          <w:b/>
          <w:sz w:val="24"/>
          <w:szCs w:val="24"/>
        </w:rPr>
        <w:t>2.</w:t>
      </w:r>
      <w:r w:rsidRPr="008B188F">
        <w:rPr>
          <w:b/>
          <w:sz w:val="24"/>
          <w:szCs w:val="24"/>
        </w:rPr>
        <w:tab/>
      </w:r>
      <w:r w:rsidR="006979B0">
        <w:rPr>
          <w:b/>
          <w:sz w:val="24"/>
          <w:szCs w:val="24"/>
        </w:rPr>
        <w:t xml:space="preserve"> Adopted approach</w:t>
      </w:r>
    </w:p>
    <w:p w14:paraId="0397EC1E" w14:textId="77777777" w:rsidR="008B48F4" w:rsidRPr="008B188F" w:rsidRDefault="008B48F4" w:rsidP="008B48F4">
      <w:pPr>
        <w:spacing w:line="300" w:lineRule="atLeast"/>
        <w:jc w:val="both"/>
        <w:rPr>
          <w:b/>
          <w:sz w:val="16"/>
          <w:szCs w:val="16"/>
        </w:rPr>
      </w:pPr>
    </w:p>
    <w:p w14:paraId="7649F4D1" w14:textId="77777777" w:rsidR="008B48F4" w:rsidRPr="008B188F" w:rsidRDefault="008B48F4" w:rsidP="008B48F4">
      <w:pPr>
        <w:pStyle w:val="BodyTextIndent"/>
        <w:spacing w:line="300" w:lineRule="atLeast"/>
        <w:ind w:firstLine="0"/>
        <w:rPr>
          <w:szCs w:val="24"/>
          <w:lang w:val="en-GB"/>
        </w:rPr>
      </w:pPr>
      <w:r w:rsidRPr="008B188F">
        <w:rPr>
          <w:szCs w:val="24"/>
          <w:lang w:val="en-GB"/>
        </w:rPr>
        <w:t xml:space="preserve">To show genuine changes in the price of labour, it would have been necessary for wages of specific workers at specific establishments to be measured over time.  Since this is not possible, the next best approach has been adopted, that is, to follow changes in the wages of groups of employees performing the same jobs.  This gives a measure of changes in wage rates of specific occupations but has the following limitations: </w:t>
      </w:r>
    </w:p>
    <w:p w14:paraId="0E41DF6E" w14:textId="77777777" w:rsidR="008B48F4" w:rsidRPr="008B188F" w:rsidRDefault="008B48F4" w:rsidP="008B48F4">
      <w:pPr>
        <w:spacing w:line="300" w:lineRule="atLeast"/>
        <w:ind w:firstLine="720"/>
        <w:jc w:val="both"/>
        <w:rPr>
          <w:sz w:val="24"/>
          <w:szCs w:val="24"/>
        </w:rPr>
      </w:pPr>
    </w:p>
    <w:p w14:paraId="102528D9" w14:textId="77777777" w:rsidR="008B48F4" w:rsidRPr="008B188F" w:rsidRDefault="008B48F4" w:rsidP="008B48F4">
      <w:pPr>
        <w:numPr>
          <w:ilvl w:val="2"/>
          <w:numId w:val="11"/>
        </w:numPr>
        <w:spacing w:line="300" w:lineRule="atLeast"/>
        <w:jc w:val="both"/>
        <w:rPr>
          <w:sz w:val="24"/>
          <w:szCs w:val="24"/>
        </w:rPr>
      </w:pPr>
      <w:r w:rsidRPr="008B188F">
        <w:rPr>
          <w:sz w:val="24"/>
          <w:szCs w:val="24"/>
        </w:rPr>
        <w:t>any changes in the mix of employees within the selected occupations is bound to affect the calculated rates and hence the corresponding sectoral indices.  Such changes occur, for example, with a new intake of employees in a specific group - when the wages of the new recruits pull down the average wages for the whole group from one period to the next.</w:t>
      </w:r>
    </w:p>
    <w:p w14:paraId="7C9CD4E9" w14:textId="77777777" w:rsidR="008B48F4" w:rsidRPr="008B188F" w:rsidRDefault="008B48F4" w:rsidP="008B48F4">
      <w:pPr>
        <w:tabs>
          <w:tab w:val="left" w:pos="720"/>
        </w:tabs>
        <w:spacing w:line="300" w:lineRule="atLeast"/>
        <w:ind w:left="1440"/>
        <w:jc w:val="both"/>
        <w:rPr>
          <w:sz w:val="16"/>
          <w:szCs w:val="16"/>
        </w:rPr>
      </w:pPr>
    </w:p>
    <w:p w14:paraId="27A0E4CF" w14:textId="77777777" w:rsidR="008B48F4" w:rsidRPr="008B188F" w:rsidRDefault="008B48F4" w:rsidP="008B48F4">
      <w:pPr>
        <w:numPr>
          <w:ilvl w:val="2"/>
          <w:numId w:val="11"/>
        </w:numPr>
        <w:tabs>
          <w:tab w:val="left" w:pos="720"/>
        </w:tabs>
        <w:spacing w:line="300" w:lineRule="atLeast"/>
        <w:jc w:val="both"/>
        <w:rPr>
          <w:sz w:val="24"/>
          <w:szCs w:val="24"/>
        </w:rPr>
      </w:pPr>
      <w:r w:rsidRPr="008B188F">
        <w:rPr>
          <w:sz w:val="24"/>
          <w:szCs w:val="24"/>
        </w:rPr>
        <w:t>wage adjustments resulting from changes in the tasks associated with a particular occupation, which cannot be separated from pure price changes of labour.</w:t>
      </w:r>
    </w:p>
    <w:p w14:paraId="62769DE8" w14:textId="77777777" w:rsidR="008B48F4" w:rsidRPr="008B188F" w:rsidRDefault="008B48F4" w:rsidP="008B48F4">
      <w:pPr>
        <w:pStyle w:val="ListParagraph"/>
        <w:rPr>
          <w:sz w:val="16"/>
          <w:szCs w:val="16"/>
        </w:rPr>
      </w:pPr>
    </w:p>
    <w:p w14:paraId="7B94BCC5" w14:textId="77777777" w:rsidR="008B48F4" w:rsidRPr="008B188F" w:rsidRDefault="008B48F4" w:rsidP="008B48F4">
      <w:pPr>
        <w:pStyle w:val="BlockText"/>
        <w:numPr>
          <w:ilvl w:val="2"/>
          <w:numId w:val="11"/>
        </w:numPr>
        <w:spacing w:line="300" w:lineRule="atLeast"/>
        <w:ind w:right="0"/>
        <w:rPr>
          <w:szCs w:val="24"/>
        </w:rPr>
      </w:pPr>
      <w:r w:rsidRPr="008B188F">
        <w:rPr>
          <w:szCs w:val="24"/>
        </w:rPr>
        <w:t>it is difficult to separate the effects of productivity from the overall change.</w:t>
      </w:r>
    </w:p>
    <w:p w14:paraId="141ADC90" w14:textId="77777777" w:rsidR="008B48F4" w:rsidRPr="008B188F" w:rsidRDefault="008B48F4" w:rsidP="008B48F4">
      <w:pPr>
        <w:pStyle w:val="BodyTextIndent"/>
        <w:spacing w:line="300" w:lineRule="atLeast"/>
        <w:rPr>
          <w:szCs w:val="24"/>
          <w:lang w:val="en-GB"/>
        </w:rPr>
      </w:pPr>
    </w:p>
    <w:p w14:paraId="658C31B0" w14:textId="77777777" w:rsidR="008B48F4" w:rsidRPr="008B188F" w:rsidRDefault="008B48F4" w:rsidP="008B48F4">
      <w:pPr>
        <w:spacing w:line="300" w:lineRule="atLeast"/>
        <w:jc w:val="both"/>
        <w:rPr>
          <w:b/>
          <w:sz w:val="24"/>
          <w:szCs w:val="24"/>
        </w:rPr>
      </w:pPr>
      <w:r w:rsidRPr="008B188F">
        <w:rPr>
          <w:b/>
          <w:sz w:val="24"/>
          <w:szCs w:val="24"/>
        </w:rPr>
        <w:t>3.</w:t>
      </w:r>
      <w:r w:rsidRPr="008B188F">
        <w:rPr>
          <w:b/>
          <w:sz w:val="24"/>
          <w:szCs w:val="24"/>
        </w:rPr>
        <w:tab/>
        <w:t>Coverage</w:t>
      </w:r>
    </w:p>
    <w:p w14:paraId="4E5B21AD" w14:textId="77777777" w:rsidR="008B48F4" w:rsidRPr="008B188F" w:rsidRDefault="008B48F4" w:rsidP="008B48F4">
      <w:pPr>
        <w:spacing w:line="300" w:lineRule="atLeast"/>
        <w:jc w:val="both"/>
        <w:rPr>
          <w:b/>
          <w:sz w:val="16"/>
          <w:szCs w:val="16"/>
        </w:rPr>
      </w:pPr>
    </w:p>
    <w:p w14:paraId="1927C38A" w14:textId="21D3FE2D" w:rsidR="008B48F4" w:rsidRPr="008B188F" w:rsidRDefault="008B48F4" w:rsidP="008B48F4">
      <w:pPr>
        <w:spacing w:line="300" w:lineRule="atLeast"/>
        <w:jc w:val="both"/>
        <w:rPr>
          <w:sz w:val="24"/>
          <w:szCs w:val="24"/>
        </w:rPr>
      </w:pPr>
      <w:r w:rsidRPr="008B188F">
        <w:rPr>
          <w:sz w:val="24"/>
          <w:szCs w:val="24"/>
        </w:rPr>
        <w:t xml:space="preserve">The </w:t>
      </w:r>
      <w:r w:rsidR="00F64631">
        <w:rPr>
          <w:sz w:val="24"/>
          <w:szCs w:val="24"/>
        </w:rPr>
        <w:t>Wage Rate Index</w:t>
      </w:r>
      <w:r w:rsidRPr="008B188F">
        <w:rPr>
          <w:sz w:val="24"/>
          <w:szCs w:val="24"/>
        </w:rPr>
        <w:t xml:space="preserve"> is based on wage rates applicable in ‘large’ establishments only. Employment in these establishments accounted for around 5</w:t>
      </w:r>
      <w:r w:rsidR="00C4655E">
        <w:rPr>
          <w:sz w:val="24"/>
          <w:szCs w:val="24"/>
        </w:rPr>
        <w:t>9</w:t>
      </w:r>
      <w:r w:rsidRPr="008B188F">
        <w:rPr>
          <w:sz w:val="24"/>
          <w:szCs w:val="24"/>
        </w:rPr>
        <w:t>% of total employment in year 20</w:t>
      </w:r>
      <w:r w:rsidR="00C4655E">
        <w:rPr>
          <w:sz w:val="24"/>
          <w:szCs w:val="24"/>
        </w:rPr>
        <w:t>21</w:t>
      </w:r>
      <w:r w:rsidRPr="008B188F">
        <w:rPr>
          <w:sz w:val="24"/>
          <w:szCs w:val="24"/>
        </w:rPr>
        <w:t xml:space="preserve">. ‘Large’ establishments comprise sugar cane plantations of 10 hectares or more; tea plantations of 2 hectares or more; other agricultural and non-agricultural establishments having 10 or more employees as well as General Government Services, </w:t>
      </w:r>
      <w:proofErr w:type="gramStart"/>
      <w:r w:rsidRPr="008B188F">
        <w:rPr>
          <w:sz w:val="24"/>
          <w:szCs w:val="24"/>
        </w:rPr>
        <w:t>i.e.</w:t>
      </w:r>
      <w:proofErr w:type="gramEnd"/>
      <w:r w:rsidRPr="008B188F">
        <w:rPr>
          <w:sz w:val="24"/>
          <w:szCs w:val="24"/>
        </w:rPr>
        <w:t xml:space="preserve"> ministries, government departments and agencies operating under them; municipalities; district councils and Rodrigues Regional Assembly.</w:t>
      </w:r>
    </w:p>
    <w:p w14:paraId="258548DF" w14:textId="77777777" w:rsidR="008B48F4" w:rsidRPr="008B188F" w:rsidRDefault="008B48F4" w:rsidP="008B48F4">
      <w:pPr>
        <w:spacing w:line="300" w:lineRule="atLeast"/>
        <w:jc w:val="both"/>
        <w:rPr>
          <w:sz w:val="16"/>
          <w:szCs w:val="16"/>
        </w:rPr>
      </w:pPr>
    </w:p>
    <w:p w14:paraId="6A4532A5" w14:textId="106AD88E" w:rsidR="008B48F4" w:rsidRDefault="008B48F4" w:rsidP="00EC0EBB">
      <w:pPr>
        <w:jc w:val="both"/>
        <w:rPr>
          <w:sz w:val="24"/>
          <w:szCs w:val="24"/>
        </w:rPr>
      </w:pPr>
      <w:r w:rsidRPr="008B188F">
        <w:rPr>
          <w:sz w:val="24"/>
        </w:rPr>
        <w:t xml:space="preserve">The frame consists of a list of </w:t>
      </w:r>
      <w:r w:rsidR="007474D2">
        <w:rPr>
          <w:sz w:val="24"/>
        </w:rPr>
        <w:t>around 2500</w:t>
      </w:r>
      <w:r w:rsidRPr="008B188F">
        <w:rPr>
          <w:sz w:val="24"/>
        </w:rPr>
        <w:t xml:space="preserve"> ‘large’ establishments</w:t>
      </w:r>
      <w:r w:rsidR="007474D2">
        <w:rPr>
          <w:sz w:val="24"/>
        </w:rPr>
        <w:t xml:space="preserve"> </w:t>
      </w:r>
      <w:r w:rsidRPr="008B188F">
        <w:rPr>
          <w:sz w:val="24"/>
        </w:rPr>
        <w:t>as at March 20</w:t>
      </w:r>
      <w:r w:rsidR="000837EE">
        <w:rPr>
          <w:sz w:val="24"/>
        </w:rPr>
        <w:t>21</w:t>
      </w:r>
      <w:r w:rsidRPr="008B188F">
        <w:rPr>
          <w:sz w:val="24"/>
        </w:rPr>
        <w:t xml:space="preserve">.  Establishments were stratified according to industry and arranged in order of size, i.e., the number of employees, within the industrial group. Within the strata, selection was proportional to size of establishment. A sample of about </w:t>
      </w:r>
      <w:r w:rsidR="000837EE">
        <w:rPr>
          <w:sz w:val="24"/>
        </w:rPr>
        <w:t>12</w:t>
      </w:r>
      <w:r w:rsidRPr="008B188F">
        <w:rPr>
          <w:sz w:val="24"/>
        </w:rPr>
        <w:t xml:space="preserve">% was surveyed, representing some </w:t>
      </w:r>
      <w:r w:rsidR="000837EE">
        <w:rPr>
          <w:sz w:val="24"/>
        </w:rPr>
        <w:t>300</w:t>
      </w:r>
      <w:r w:rsidRPr="008B188F">
        <w:rPr>
          <w:sz w:val="24"/>
        </w:rPr>
        <w:t xml:space="preserve"> establishments. </w:t>
      </w:r>
      <w:r w:rsidRPr="008B188F">
        <w:rPr>
          <w:sz w:val="24"/>
          <w:szCs w:val="24"/>
        </w:rPr>
        <w:t>Time-rated as well as piece-rated wage earners and salaried employees are covered. Apprentices, workers on probation, part-time workers and employees working on a temporary basis are excluded.</w:t>
      </w:r>
    </w:p>
    <w:p w14:paraId="616C353B" w14:textId="0F431199" w:rsidR="00EC0EBB" w:rsidRDefault="00EC0EBB" w:rsidP="00EC0EBB">
      <w:pPr>
        <w:jc w:val="both"/>
        <w:rPr>
          <w:sz w:val="24"/>
          <w:szCs w:val="24"/>
        </w:rPr>
      </w:pPr>
    </w:p>
    <w:p w14:paraId="0314083C" w14:textId="6B1F217F" w:rsidR="00373423" w:rsidRDefault="00373423" w:rsidP="008B48F4">
      <w:pPr>
        <w:spacing w:line="300" w:lineRule="atLeast"/>
        <w:jc w:val="both"/>
        <w:rPr>
          <w:sz w:val="24"/>
          <w:szCs w:val="24"/>
        </w:rPr>
      </w:pPr>
    </w:p>
    <w:p w14:paraId="2454ED4A" w14:textId="240D293E" w:rsidR="00F51128" w:rsidRDefault="00F51128" w:rsidP="008B48F4">
      <w:pPr>
        <w:spacing w:line="300" w:lineRule="atLeast"/>
        <w:jc w:val="both"/>
        <w:rPr>
          <w:sz w:val="24"/>
          <w:szCs w:val="24"/>
        </w:rPr>
      </w:pPr>
    </w:p>
    <w:p w14:paraId="27F3FB34" w14:textId="77777777" w:rsidR="00F20FCE" w:rsidRDefault="00F20FCE" w:rsidP="008B48F4">
      <w:pPr>
        <w:spacing w:line="300" w:lineRule="atLeast"/>
        <w:jc w:val="both"/>
        <w:rPr>
          <w:sz w:val="24"/>
          <w:szCs w:val="24"/>
        </w:rPr>
      </w:pPr>
    </w:p>
    <w:p w14:paraId="15D8328E" w14:textId="77777777" w:rsidR="008B48F4" w:rsidRPr="008B188F" w:rsidRDefault="008B48F4" w:rsidP="008B48F4">
      <w:pPr>
        <w:spacing w:line="300" w:lineRule="atLeast"/>
        <w:jc w:val="both"/>
        <w:rPr>
          <w:b/>
          <w:sz w:val="24"/>
          <w:szCs w:val="24"/>
        </w:rPr>
      </w:pPr>
      <w:r w:rsidRPr="008B188F">
        <w:rPr>
          <w:b/>
          <w:sz w:val="24"/>
          <w:szCs w:val="24"/>
        </w:rPr>
        <w:t xml:space="preserve">4. </w:t>
      </w:r>
      <w:r w:rsidRPr="008B188F">
        <w:rPr>
          <w:b/>
          <w:sz w:val="24"/>
          <w:szCs w:val="24"/>
        </w:rPr>
        <w:tab/>
        <w:t>Sectors covered</w:t>
      </w:r>
    </w:p>
    <w:p w14:paraId="22183C4B" w14:textId="77777777" w:rsidR="008B48F4" w:rsidRPr="008B188F" w:rsidRDefault="008B48F4" w:rsidP="008B48F4">
      <w:pPr>
        <w:spacing w:line="300" w:lineRule="atLeast"/>
        <w:jc w:val="both"/>
        <w:rPr>
          <w:sz w:val="16"/>
          <w:szCs w:val="16"/>
        </w:rPr>
      </w:pPr>
    </w:p>
    <w:p w14:paraId="16CDC065" w14:textId="77777777" w:rsidR="008B48F4" w:rsidRPr="008B188F" w:rsidRDefault="008B48F4" w:rsidP="008B48F4">
      <w:pPr>
        <w:spacing w:line="300" w:lineRule="atLeast"/>
        <w:jc w:val="both"/>
        <w:rPr>
          <w:sz w:val="24"/>
          <w:szCs w:val="24"/>
        </w:rPr>
      </w:pPr>
      <w:r w:rsidRPr="008B188F">
        <w:rPr>
          <w:sz w:val="24"/>
          <w:szCs w:val="24"/>
        </w:rPr>
        <w:t>Indices are disseminated by the Public and Private sectors.</w:t>
      </w:r>
    </w:p>
    <w:p w14:paraId="6E5AB08A" w14:textId="77777777" w:rsidR="008B48F4" w:rsidRPr="008B188F" w:rsidRDefault="008B48F4" w:rsidP="008B48F4">
      <w:pPr>
        <w:spacing w:line="300" w:lineRule="atLeast"/>
        <w:jc w:val="center"/>
        <w:rPr>
          <w:sz w:val="24"/>
          <w:szCs w:val="24"/>
        </w:rPr>
      </w:pPr>
      <w:r w:rsidRPr="008B188F">
        <w:rPr>
          <w:sz w:val="24"/>
          <w:szCs w:val="24"/>
        </w:rPr>
        <w:tab/>
      </w:r>
    </w:p>
    <w:p w14:paraId="283393C6" w14:textId="77777777" w:rsidR="008B48F4" w:rsidRPr="008B188F" w:rsidRDefault="008B48F4" w:rsidP="008B48F4">
      <w:pPr>
        <w:tabs>
          <w:tab w:val="left" w:pos="720"/>
        </w:tabs>
        <w:spacing w:line="300" w:lineRule="atLeast"/>
        <w:jc w:val="both"/>
        <w:rPr>
          <w:sz w:val="24"/>
          <w:szCs w:val="24"/>
        </w:rPr>
      </w:pPr>
      <w:r w:rsidRPr="008B188F">
        <w:rPr>
          <w:sz w:val="24"/>
          <w:szCs w:val="24"/>
        </w:rPr>
        <w:t xml:space="preserve">The </w:t>
      </w:r>
      <w:r w:rsidRPr="008B188F">
        <w:rPr>
          <w:b/>
          <w:sz w:val="24"/>
          <w:szCs w:val="24"/>
        </w:rPr>
        <w:t>Public sector</w:t>
      </w:r>
      <w:r w:rsidRPr="008B188F">
        <w:rPr>
          <w:sz w:val="24"/>
          <w:szCs w:val="24"/>
        </w:rPr>
        <w:t xml:space="preserve"> comprises Ministries, Government departments and agencies operating under them; municipalities; district councils, the Rodrigues Regional Assembly and Public enterprises.</w:t>
      </w:r>
    </w:p>
    <w:p w14:paraId="5DB8CD4C" w14:textId="77777777" w:rsidR="008B48F4" w:rsidRPr="008B188F" w:rsidRDefault="008B48F4" w:rsidP="008B48F4">
      <w:pPr>
        <w:jc w:val="both"/>
        <w:rPr>
          <w:b/>
          <w:sz w:val="24"/>
          <w:szCs w:val="24"/>
        </w:rPr>
      </w:pPr>
    </w:p>
    <w:p w14:paraId="15A8C98F" w14:textId="6CC0945C" w:rsidR="008B48F4" w:rsidRPr="008B188F" w:rsidRDefault="008B48F4" w:rsidP="008B48F4">
      <w:pPr>
        <w:jc w:val="both"/>
        <w:rPr>
          <w:b/>
          <w:sz w:val="24"/>
          <w:szCs w:val="24"/>
        </w:rPr>
      </w:pPr>
      <w:r w:rsidRPr="008B188F">
        <w:rPr>
          <w:b/>
          <w:sz w:val="24"/>
          <w:szCs w:val="24"/>
        </w:rPr>
        <w:t>5.</w:t>
      </w:r>
      <w:r w:rsidRPr="008B188F">
        <w:rPr>
          <w:sz w:val="24"/>
          <w:szCs w:val="24"/>
        </w:rPr>
        <w:tab/>
      </w:r>
      <w:r w:rsidRPr="008B188F">
        <w:rPr>
          <w:b/>
          <w:sz w:val="24"/>
          <w:szCs w:val="24"/>
        </w:rPr>
        <w:t xml:space="preserve">Calculating the </w:t>
      </w:r>
      <w:r w:rsidR="00F64631">
        <w:rPr>
          <w:b/>
          <w:sz w:val="24"/>
          <w:szCs w:val="24"/>
        </w:rPr>
        <w:t>Wage Rate Index</w:t>
      </w:r>
      <w:r w:rsidRPr="008B188F">
        <w:rPr>
          <w:b/>
          <w:sz w:val="24"/>
          <w:szCs w:val="24"/>
        </w:rPr>
        <w:t xml:space="preserve">  </w:t>
      </w:r>
    </w:p>
    <w:p w14:paraId="07492A7A" w14:textId="77777777" w:rsidR="008B48F4" w:rsidRPr="008B188F" w:rsidRDefault="008B48F4" w:rsidP="008B48F4">
      <w:pPr>
        <w:jc w:val="both"/>
        <w:rPr>
          <w:b/>
          <w:sz w:val="16"/>
          <w:szCs w:val="16"/>
        </w:rPr>
      </w:pPr>
    </w:p>
    <w:p w14:paraId="1CEF2E4A" w14:textId="5D6B1C61" w:rsidR="008B48F4" w:rsidRPr="008B188F" w:rsidRDefault="008B48F4" w:rsidP="008B48F4">
      <w:pPr>
        <w:pStyle w:val="BodyText"/>
        <w:jc w:val="both"/>
        <w:rPr>
          <w:sz w:val="24"/>
          <w:szCs w:val="24"/>
        </w:rPr>
      </w:pPr>
      <w:r w:rsidRPr="008B188F">
        <w:rPr>
          <w:sz w:val="24"/>
          <w:szCs w:val="24"/>
        </w:rPr>
        <w:t xml:space="preserve">A </w:t>
      </w:r>
      <w:proofErr w:type="spellStart"/>
      <w:r w:rsidRPr="008B188F">
        <w:rPr>
          <w:sz w:val="24"/>
          <w:szCs w:val="24"/>
        </w:rPr>
        <w:t>Laspeyres</w:t>
      </w:r>
      <w:proofErr w:type="spellEnd"/>
      <w:r w:rsidRPr="008B188F">
        <w:rPr>
          <w:sz w:val="24"/>
          <w:szCs w:val="24"/>
        </w:rPr>
        <w:t xml:space="preserve"> formula is used.  The occupational structure is held constant with reference to the base period of the index, </w:t>
      </w:r>
      <w:proofErr w:type="gramStart"/>
      <w:r w:rsidRPr="008B188F">
        <w:rPr>
          <w:sz w:val="24"/>
          <w:szCs w:val="24"/>
        </w:rPr>
        <w:t>i.e.</w:t>
      </w:r>
      <w:proofErr w:type="gramEnd"/>
      <w:r w:rsidRPr="008B188F">
        <w:rPr>
          <w:sz w:val="24"/>
          <w:szCs w:val="24"/>
        </w:rPr>
        <w:t xml:space="preserve"> December 20</w:t>
      </w:r>
      <w:r w:rsidR="000837EE">
        <w:rPr>
          <w:sz w:val="24"/>
          <w:szCs w:val="24"/>
        </w:rPr>
        <w:t>21</w:t>
      </w:r>
      <w:r w:rsidRPr="008B188F">
        <w:rPr>
          <w:sz w:val="24"/>
          <w:szCs w:val="24"/>
        </w:rPr>
        <w:t xml:space="preserve">. The relative changes in average wage rates are measured at the occupational level and these changes are then weighted to give a combined measure of the change. The following formula is used </w:t>
      </w:r>
    </w:p>
    <w:p w14:paraId="1ECF878E" w14:textId="77777777" w:rsidR="008B48F4" w:rsidRPr="008B188F" w:rsidRDefault="008B48F4" w:rsidP="008B48F4">
      <w:pPr>
        <w:pStyle w:val="BodyText"/>
        <w:jc w:val="both"/>
        <w:rPr>
          <w:sz w:val="24"/>
          <w:szCs w:val="24"/>
        </w:rPr>
      </w:pPr>
    </w:p>
    <w:p w14:paraId="1A900EAE" w14:textId="77777777" w:rsidR="008B48F4" w:rsidRPr="008B188F" w:rsidRDefault="008B48F4" w:rsidP="008B48F4">
      <w:pPr>
        <w:spacing w:line="140" w:lineRule="atLeast"/>
        <w:jc w:val="both"/>
        <w:rPr>
          <w:sz w:val="24"/>
          <w:szCs w:val="24"/>
        </w:rPr>
      </w:pPr>
      <w:r w:rsidRPr="008B188F">
        <w:rPr>
          <w:sz w:val="24"/>
          <w:szCs w:val="24"/>
        </w:rPr>
        <w:t xml:space="preserve">  I</w:t>
      </w:r>
      <w:r w:rsidRPr="008B188F">
        <w:rPr>
          <w:sz w:val="24"/>
          <w:szCs w:val="24"/>
          <w:vertAlign w:val="subscript"/>
        </w:rPr>
        <w:t xml:space="preserve">t   </w:t>
      </w:r>
      <w:r w:rsidRPr="008B188F">
        <w:rPr>
          <w:sz w:val="24"/>
          <w:szCs w:val="24"/>
        </w:rPr>
        <w:t xml:space="preserve">=     </w:t>
      </w:r>
      <w:r w:rsidRPr="008B188F">
        <w:rPr>
          <w:sz w:val="24"/>
          <w:szCs w:val="24"/>
        </w:rPr>
        <w:sym w:font="Symbol" w:char="F053"/>
      </w:r>
      <w:r w:rsidRPr="008B188F">
        <w:rPr>
          <w:sz w:val="24"/>
          <w:szCs w:val="24"/>
        </w:rPr>
        <w:t xml:space="preserve">w </w:t>
      </w:r>
      <w:proofErr w:type="spellStart"/>
      <w:r w:rsidRPr="008B188F">
        <w:rPr>
          <w:sz w:val="24"/>
          <w:szCs w:val="24"/>
          <w:vertAlign w:val="subscript"/>
        </w:rPr>
        <w:t>i</w:t>
      </w:r>
      <w:proofErr w:type="spellEnd"/>
      <w:r w:rsidRPr="008B188F">
        <w:rPr>
          <w:sz w:val="24"/>
          <w:szCs w:val="24"/>
        </w:rPr>
        <w:t xml:space="preserve"> (R </w:t>
      </w:r>
      <w:r w:rsidRPr="008B188F">
        <w:rPr>
          <w:sz w:val="24"/>
          <w:szCs w:val="24"/>
          <w:vertAlign w:val="subscript"/>
        </w:rPr>
        <w:t>i</w:t>
      </w:r>
      <w:r w:rsidRPr="008B188F">
        <w:rPr>
          <w:sz w:val="24"/>
          <w:szCs w:val="24"/>
          <w:vertAlign w:val="superscript"/>
        </w:rPr>
        <w:t>t</w:t>
      </w:r>
      <w:r w:rsidRPr="008B188F">
        <w:rPr>
          <w:sz w:val="24"/>
          <w:szCs w:val="24"/>
        </w:rPr>
        <w:t xml:space="preserve"> / R </w:t>
      </w:r>
      <w:proofErr w:type="gramStart"/>
      <w:r w:rsidRPr="008B188F">
        <w:rPr>
          <w:sz w:val="24"/>
          <w:szCs w:val="24"/>
          <w:vertAlign w:val="subscript"/>
        </w:rPr>
        <w:t>i</w:t>
      </w:r>
      <w:r w:rsidRPr="008B188F">
        <w:rPr>
          <w:sz w:val="24"/>
          <w:szCs w:val="24"/>
          <w:vertAlign w:val="superscript"/>
        </w:rPr>
        <w:t>o</w:t>
      </w:r>
      <w:r w:rsidRPr="008B188F">
        <w:rPr>
          <w:sz w:val="24"/>
          <w:szCs w:val="24"/>
        </w:rPr>
        <w:t xml:space="preserve">)   </w:t>
      </w:r>
      <w:proofErr w:type="gramEnd"/>
      <w:r w:rsidRPr="008B188F">
        <w:rPr>
          <w:sz w:val="24"/>
          <w:szCs w:val="24"/>
        </w:rPr>
        <w:t xml:space="preserve">   X   100</w:t>
      </w:r>
    </w:p>
    <w:p w14:paraId="238FF69D" w14:textId="77777777" w:rsidR="008B48F4" w:rsidRPr="008B188F" w:rsidRDefault="00952C63" w:rsidP="008B48F4">
      <w:pPr>
        <w:tabs>
          <w:tab w:val="left" w:pos="3825"/>
        </w:tabs>
        <w:spacing w:line="140" w:lineRule="atLeast"/>
        <w:jc w:val="both"/>
        <w:rPr>
          <w:sz w:val="24"/>
          <w:szCs w:val="24"/>
        </w:rPr>
      </w:pPr>
      <w:r w:rsidRPr="008B188F">
        <w:rPr>
          <w:noProof/>
          <w:sz w:val="24"/>
          <w:szCs w:val="24"/>
          <w:lang w:eastAsia="en-GB"/>
        </w:rPr>
        <mc:AlternateContent>
          <mc:Choice Requires="wps">
            <w:drawing>
              <wp:anchor distT="4294967292" distB="4294967292" distL="114300" distR="114300" simplePos="0" relativeHeight="251680768" behindDoc="0" locked="0" layoutInCell="1" allowOverlap="1" wp14:anchorId="3C8B1AF6" wp14:editId="3F9636B2">
                <wp:simplePos x="0" y="0"/>
                <wp:positionH relativeFrom="column">
                  <wp:posOffset>552450</wp:posOffset>
                </wp:positionH>
                <wp:positionV relativeFrom="paragraph">
                  <wp:posOffset>121284</wp:posOffset>
                </wp:positionV>
                <wp:extent cx="962025" cy="0"/>
                <wp:effectExtent l="0" t="0" r="28575" b="19050"/>
                <wp:wrapNone/>
                <wp:docPr id="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20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64713AF8" id="Straight Connector 1" o:spid="_x0000_s1026" style="position:absolute;z-index:25168076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3.5pt,9.55pt" to="119.2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"/>
            </w:pict>
          </mc:Fallback>
        </mc:AlternateContent>
      </w:r>
    </w:p>
    <w:p w14:paraId="64F4B0DC" w14:textId="77777777" w:rsidR="008B48F4" w:rsidRPr="008B188F" w:rsidRDefault="008B48F4" w:rsidP="008B48F4">
      <w:pPr>
        <w:spacing w:line="140" w:lineRule="atLeast"/>
        <w:jc w:val="both"/>
        <w:rPr>
          <w:sz w:val="24"/>
          <w:szCs w:val="24"/>
          <w:vertAlign w:val="subscript"/>
        </w:rPr>
      </w:pPr>
      <w:r w:rsidRPr="008B188F">
        <w:rPr>
          <w:sz w:val="24"/>
          <w:szCs w:val="24"/>
        </w:rPr>
        <w:tab/>
        <w:t xml:space="preserve">         </w:t>
      </w:r>
      <w:r w:rsidRPr="008B188F">
        <w:rPr>
          <w:sz w:val="24"/>
          <w:szCs w:val="24"/>
        </w:rPr>
        <w:sym w:font="Symbol" w:char="F053"/>
      </w:r>
      <w:r w:rsidRPr="008B188F">
        <w:rPr>
          <w:sz w:val="24"/>
          <w:szCs w:val="24"/>
        </w:rPr>
        <w:t xml:space="preserve"> w </w:t>
      </w:r>
      <w:proofErr w:type="spellStart"/>
      <w:r w:rsidRPr="008B188F">
        <w:rPr>
          <w:sz w:val="24"/>
          <w:szCs w:val="24"/>
          <w:vertAlign w:val="subscript"/>
        </w:rPr>
        <w:t>i</w:t>
      </w:r>
      <w:proofErr w:type="spellEnd"/>
    </w:p>
    <w:p w14:paraId="1A31E13C" w14:textId="77777777" w:rsidR="008B48F4" w:rsidRPr="008B188F" w:rsidRDefault="008B48F4" w:rsidP="008B48F4">
      <w:pPr>
        <w:tabs>
          <w:tab w:val="left" w:pos="720"/>
        </w:tabs>
        <w:spacing w:line="300" w:lineRule="atLeast"/>
        <w:jc w:val="both"/>
        <w:rPr>
          <w:sz w:val="16"/>
          <w:szCs w:val="16"/>
        </w:rPr>
      </w:pPr>
    </w:p>
    <w:p w14:paraId="069A7133" w14:textId="77777777" w:rsidR="008B48F4" w:rsidRPr="008B188F" w:rsidRDefault="008B48F4" w:rsidP="008B48F4">
      <w:pPr>
        <w:tabs>
          <w:tab w:val="left" w:pos="720"/>
        </w:tabs>
        <w:spacing w:line="300" w:lineRule="atLeast"/>
        <w:jc w:val="both"/>
        <w:rPr>
          <w:sz w:val="24"/>
          <w:szCs w:val="24"/>
        </w:rPr>
      </w:pPr>
      <w:r w:rsidRPr="008B188F">
        <w:rPr>
          <w:sz w:val="24"/>
          <w:szCs w:val="24"/>
        </w:rPr>
        <w:t xml:space="preserve">where    </w:t>
      </w:r>
      <w:proofErr w:type="gramStart"/>
      <w:r w:rsidRPr="008B188F">
        <w:rPr>
          <w:sz w:val="24"/>
          <w:szCs w:val="24"/>
        </w:rPr>
        <w:t>I</w:t>
      </w:r>
      <w:r w:rsidRPr="008B188F">
        <w:rPr>
          <w:sz w:val="24"/>
          <w:szCs w:val="24"/>
          <w:vertAlign w:val="subscript"/>
        </w:rPr>
        <w:t>t</w:t>
      </w:r>
      <w:proofErr w:type="gramEnd"/>
      <w:r w:rsidRPr="008B188F">
        <w:rPr>
          <w:sz w:val="24"/>
          <w:szCs w:val="24"/>
          <w:vertAlign w:val="subscript"/>
        </w:rPr>
        <w:tab/>
      </w:r>
      <w:r w:rsidRPr="008B188F">
        <w:rPr>
          <w:sz w:val="24"/>
          <w:szCs w:val="24"/>
        </w:rPr>
        <w:t xml:space="preserve"> = index for quarter t compared to base period o  </w:t>
      </w:r>
    </w:p>
    <w:p w14:paraId="6DF5600E" w14:textId="77777777" w:rsidR="008B48F4" w:rsidRPr="008B188F" w:rsidRDefault="008B48F4" w:rsidP="008B48F4">
      <w:pPr>
        <w:spacing w:line="300" w:lineRule="atLeast"/>
        <w:ind w:left="2160" w:hanging="1380"/>
        <w:jc w:val="both"/>
        <w:rPr>
          <w:sz w:val="24"/>
          <w:szCs w:val="24"/>
        </w:rPr>
      </w:pPr>
      <w:proofErr w:type="spellStart"/>
      <w:r w:rsidRPr="008B188F">
        <w:rPr>
          <w:sz w:val="24"/>
          <w:szCs w:val="24"/>
        </w:rPr>
        <w:t>w</w:t>
      </w:r>
      <w:r w:rsidRPr="008B188F">
        <w:rPr>
          <w:sz w:val="24"/>
          <w:szCs w:val="24"/>
          <w:vertAlign w:val="subscript"/>
        </w:rPr>
        <w:t>i</w:t>
      </w:r>
      <w:proofErr w:type="spellEnd"/>
      <w:r w:rsidRPr="008B188F">
        <w:rPr>
          <w:sz w:val="24"/>
          <w:szCs w:val="24"/>
          <w:vertAlign w:val="subscript"/>
        </w:rPr>
        <w:t xml:space="preserve">     </w:t>
      </w:r>
      <w:r w:rsidRPr="008B188F">
        <w:rPr>
          <w:sz w:val="24"/>
          <w:szCs w:val="24"/>
        </w:rPr>
        <w:t xml:space="preserve">= </w:t>
      </w:r>
      <w:proofErr w:type="spellStart"/>
      <w:r w:rsidRPr="008B188F">
        <w:rPr>
          <w:sz w:val="24"/>
          <w:szCs w:val="24"/>
        </w:rPr>
        <w:t>N</w:t>
      </w:r>
      <w:r w:rsidRPr="008B188F">
        <w:rPr>
          <w:sz w:val="24"/>
          <w:szCs w:val="24"/>
          <w:vertAlign w:val="superscript"/>
        </w:rPr>
        <w:t>o</w:t>
      </w:r>
      <w:r w:rsidRPr="008B188F">
        <w:rPr>
          <w:sz w:val="24"/>
          <w:szCs w:val="24"/>
          <w:vertAlign w:val="subscript"/>
        </w:rPr>
        <w:t>i</w:t>
      </w:r>
      <w:r w:rsidRPr="008B188F">
        <w:rPr>
          <w:sz w:val="24"/>
          <w:szCs w:val="24"/>
        </w:rPr>
        <w:t>R</w:t>
      </w:r>
      <w:r w:rsidRPr="008B188F">
        <w:rPr>
          <w:sz w:val="24"/>
          <w:szCs w:val="24"/>
          <w:vertAlign w:val="superscript"/>
        </w:rPr>
        <w:t>o</w:t>
      </w:r>
      <w:r w:rsidRPr="008B188F">
        <w:rPr>
          <w:sz w:val="24"/>
          <w:szCs w:val="24"/>
          <w:vertAlign w:val="subscript"/>
        </w:rPr>
        <w:t>i</w:t>
      </w:r>
      <w:proofErr w:type="spellEnd"/>
      <w:r w:rsidRPr="008B188F">
        <w:rPr>
          <w:sz w:val="24"/>
          <w:szCs w:val="24"/>
        </w:rPr>
        <w:t xml:space="preserve"> which represents the total wages paid to all employees in the </w:t>
      </w:r>
      <w:proofErr w:type="spellStart"/>
      <w:r w:rsidRPr="008B188F">
        <w:rPr>
          <w:sz w:val="24"/>
          <w:szCs w:val="24"/>
        </w:rPr>
        <w:t>i</w:t>
      </w:r>
      <w:proofErr w:type="spellEnd"/>
      <w:r w:rsidRPr="008B188F">
        <w:rPr>
          <w:sz w:val="24"/>
          <w:szCs w:val="24"/>
        </w:rPr>
        <w:t xml:space="preserve"> </w:t>
      </w:r>
      <w:proofErr w:type="spellStart"/>
      <w:r w:rsidRPr="008B188F">
        <w:rPr>
          <w:sz w:val="24"/>
          <w:szCs w:val="24"/>
          <w:vertAlign w:val="superscript"/>
        </w:rPr>
        <w:t>th</w:t>
      </w:r>
      <w:proofErr w:type="spellEnd"/>
      <w:r w:rsidRPr="008B188F">
        <w:rPr>
          <w:sz w:val="24"/>
          <w:szCs w:val="24"/>
        </w:rPr>
        <w:t xml:space="preserve"> </w:t>
      </w:r>
    </w:p>
    <w:p w14:paraId="7972F191" w14:textId="528EAFBD" w:rsidR="008B48F4" w:rsidRPr="008B188F" w:rsidRDefault="008B48F4" w:rsidP="008B48F4">
      <w:pPr>
        <w:spacing w:line="300" w:lineRule="atLeast"/>
        <w:ind w:left="2160" w:hanging="1380"/>
        <w:jc w:val="both"/>
        <w:rPr>
          <w:sz w:val="24"/>
          <w:szCs w:val="24"/>
        </w:rPr>
      </w:pPr>
      <w:r w:rsidRPr="008B188F">
        <w:rPr>
          <w:sz w:val="24"/>
          <w:szCs w:val="24"/>
        </w:rPr>
        <w:t xml:space="preserve">          occupation base period, December 20</w:t>
      </w:r>
      <w:r w:rsidR="000837EE">
        <w:rPr>
          <w:sz w:val="24"/>
          <w:szCs w:val="24"/>
        </w:rPr>
        <w:t>21</w:t>
      </w:r>
    </w:p>
    <w:p w14:paraId="49AA4AE0" w14:textId="3A3F5B8D" w:rsidR="008B48F4" w:rsidRPr="008B188F" w:rsidRDefault="008B48F4" w:rsidP="008B48F4">
      <w:pPr>
        <w:spacing w:line="300" w:lineRule="atLeast"/>
        <w:jc w:val="both"/>
        <w:rPr>
          <w:sz w:val="24"/>
          <w:szCs w:val="24"/>
        </w:rPr>
      </w:pPr>
      <w:r w:rsidRPr="008B188F">
        <w:rPr>
          <w:sz w:val="24"/>
          <w:szCs w:val="24"/>
        </w:rPr>
        <w:tab/>
        <w:t xml:space="preserve">   R</w:t>
      </w:r>
      <w:r w:rsidRPr="008B188F">
        <w:rPr>
          <w:sz w:val="24"/>
          <w:szCs w:val="24"/>
          <w:vertAlign w:val="subscript"/>
        </w:rPr>
        <w:t>i</w:t>
      </w:r>
      <w:r w:rsidRPr="008B188F">
        <w:rPr>
          <w:sz w:val="24"/>
          <w:szCs w:val="24"/>
          <w:vertAlign w:val="superscript"/>
        </w:rPr>
        <w:t>o</w:t>
      </w:r>
      <w:r w:rsidRPr="008B188F">
        <w:rPr>
          <w:sz w:val="24"/>
          <w:szCs w:val="24"/>
          <w:vertAlign w:val="subscript"/>
        </w:rPr>
        <w:tab/>
      </w:r>
      <w:r w:rsidRPr="008B188F">
        <w:rPr>
          <w:sz w:val="24"/>
          <w:szCs w:val="24"/>
        </w:rPr>
        <w:t xml:space="preserve">= wage rate of occupation </w:t>
      </w:r>
      <w:proofErr w:type="spellStart"/>
      <w:r w:rsidRPr="008B188F">
        <w:rPr>
          <w:sz w:val="24"/>
          <w:szCs w:val="24"/>
        </w:rPr>
        <w:t>i</w:t>
      </w:r>
      <w:proofErr w:type="spellEnd"/>
      <w:r w:rsidRPr="008B188F">
        <w:rPr>
          <w:sz w:val="24"/>
          <w:szCs w:val="24"/>
        </w:rPr>
        <w:t xml:space="preserve"> in base period, December 20</w:t>
      </w:r>
      <w:r w:rsidR="000837EE">
        <w:rPr>
          <w:sz w:val="24"/>
          <w:szCs w:val="24"/>
        </w:rPr>
        <w:t>21</w:t>
      </w:r>
    </w:p>
    <w:p w14:paraId="25074F50" w14:textId="77777777" w:rsidR="008B48F4" w:rsidRPr="008B188F" w:rsidRDefault="008B48F4" w:rsidP="008B48F4">
      <w:pPr>
        <w:spacing w:line="300" w:lineRule="atLeast"/>
        <w:jc w:val="both"/>
        <w:rPr>
          <w:sz w:val="24"/>
          <w:szCs w:val="24"/>
        </w:rPr>
      </w:pPr>
      <w:r w:rsidRPr="008B188F">
        <w:rPr>
          <w:sz w:val="24"/>
          <w:szCs w:val="24"/>
        </w:rPr>
        <w:tab/>
        <w:t xml:space="preserve">   </w:t>
      </w:r>
      <w:proofErr w:type="spellStart"/>
      <w:r w:rsidRPr="008B188F">
        <w:rPr>
          <w:sz w:val="24"/>
          <w:szCs w:val="24"/>
        </w:rPr>
        <w:t>R</w:t>
      </w:r>
      <w:r w:rsidRPr="008B188F">
        <w:rPr>
          <w:sz w:val="24"/>
          <w:szCs w:val="24"/>
          <w:vertAlign w:val="subscript"/>
        </w:rPr>
        <w:t>i</w:t>
      </w:r>
      <w:r w:rsidRPr="008B188F">
        <w:rPr>
          <w:sz w:val="24"/>
          <w:szCs w:val="24"/>
          <w:vertAlign w:val="superscript"/>
        </w:rPr>
        <w:t>t</w:t>
      </w:r>
      <w:proofErr w:type="spellEnd"/>
      <w:r w:rsidRPr="008B188F">
        <w:rPr>
          <w:sz w:val="24"/>
          <w:szCs w:val="24"/>
          <w:vertAlign w:val="subscript"/>
        </w:rPr>
        <w:tab/>
      </w:r>
      <w:r w:rsidRPr="008B188F">
        <w:rPr>
          <w:sz w:val="24"/>
          <w:szCs w:val="24"/>
        </w:rPr>
        <w:t xml:space="preserve">= wage rate of occupation </w:t>
      </w:r>
      <w:proofErr w:type="spellStart"/>
      <w:r w:rsidRPr="008B188F">
        <w:rPr>
          <w:sz w:val="24"/>
          <w:szCs w:val="24"/>
        </w:rPr>
        <w:t>i</w:t>
      </w:r>
      <w:proofErr w:type="spellEnd"/>
      <w:r w:rsidRPr="008B188F">
        <w:rPr>
          <w:sz w:val="24"/>
          <w:szCs w:val="24"/>
        </w:rPr>
        <w:t xml:space="preserve"> in quarter t</w:t>
      </w:r>
    </w:p>
    <w:p w14:paraId="247A8508" w14:textId="77777777" w:rsidR="008B48F4" w:rsidRPr="008B188F" w:rsidRDefault="008B48F4" w:rsidP="008B48F4">
      <w:pPr>
        <w:spacing w:line="240" w:lineRule="atLeast"/>
        <w:jc w:val="both"/>
        <w:rPr>
          <w:sz w:val="16"/>
          <w:szCs w:val="16"/>
        </w:rPr>
      </w:pPr>
    </w:p>
    <w:p w14:paraId="0B4E5D00" w14:textId="77777777" w:rsidR="008B48F4" w:rsidRPr="008B188F" w:rsidRDefault="008B48F4" w:rsidP="008B48F4">
      <w:pPr>
        <w:spacing w:line="300" w:lineRule="atLeast"/>
        <w:jc w:val="both"/>
        <w:rPr>
          <w:sz w:val="24"/>
          <w:szCs w:val="24"/>
        </w:rPr>
      </w:pPr>
      <w:r w:rsidRPr="008B188F">
        <w:rPr>
          <w:sz w:val="24"/>
          <w:szCs w:val="24"/>
        </w:rPr>
        <w:t>The index is, first, calculated for each industry group and the overall index (covering all industry groups) is computed as a weighted average of the individual industry group indices.</w:t>
      </w:r>
    </w:p>
    <w:p w14:paraId="58527B5A" w14:textId="77777777" w:rsidR="008B48F4" w:rsidRPr="008B188F" w:rsidRDefault="008B48F4" w:rsidP="008B48F4">
      <w:pPr>
        <w:spacing w:line="40" w:lineRule="atLeast"/>
        <w:jc w:val="both"/>
        <w:rPr>
          <w:sz w:val="24"/>
          <w:szCs w:val="24"/>
        </w:rPr>
      </w:pPr>
    </w:p>
    <w:p w14:paraId="6F5307EE" w14:textId="77777777" w:rsidR="008B48F4" w:rsidRPr="008B188F" w:rsidRDefault="008B48F4" w:rsidP="008B48F4">
      <w:pPr>
        <w:jc w:val="both"/>
        <w:rPr>
          <w:b/>
          <w:sz w:val="24"/>
          <w:szCs w:val="24"/>
        </w:rPr>
      </w:pPr>
      <w:r w:rsidRPr="008B188F">
        <w:rPr>
          <w:b/>
          <w:sz w:val="24"/>
          <w:szCs w:val="24"/>
        </w:rPr>
        <w:t xml:space="preserve">6. </w:t>
      </w:r>
      <w:r w:rsidRPr="008B188F">
        <w:rPr>
          <w:b/>
          <w:sz w:val="24"/>
          <w:szCs w:val="24"/>
        </w:rPr>
        <w:tab/>
        <w:t>Reference period</w:t>
      </w:r>
    </w:p>
    <w:p w14:paraId="5F64264D" w14:textId="77777777" w:rsidR="008B48F4" w:rsidRPr="008B188F" w:rsidRDefault="008B48F4" w:rsidP="008B48F4">
      <w:pPr>
        <w:jc w:val="both"/>
        <w:rPr>
          <w:b/>
          <w:sz w:val="16"/>
          <w:szCs w:val="16"/>
        </w:rPr>
      </w:pPr>
    </w:p>
    <w:p w14:paraId="201E4718" w14:textId="26484E86" w:rsidR="008B48F4" w:rsidRPr="008B188F" w:rsidRDefault="008B48F4" w:rsidP="008B48F4">
      <w:pPr>
        <w:jc w:val="both"/>
        <w:rPr>
          <w:sz w:val="24"/>
          <w:szCs w:val="24"/>
        </w:rPr>
      </w:pPr>
      <w:r w:rsidRPr="008B188F">
        <w:rPr>
          <w:sz w:val="24"/>
          <w:szCs w:val="24"/>
        </w:rPr>
        <w:t>The base period for the index is quarter 4 20</w:t>
      </w:r>
      <w:r w:rsidR="006B6F40">
        <w:rPr>
          <w:sz w:val="24"/>
          <w:szCs w:val="24"/>
        </w:rPr>
        <w:t>21</w:t>
      </w:r>
      <w:r w:rsidRPr="008B188F">
        <w:rPr>
          <w:sz w:val="24"/>
          <w:szCs w:val="24"/>
        </w:rPr>
        <w:t xml:space="preserve"> (</w:t>
      </w:r>
      <w:proofErr w:type="gramStart"/>
      <w:r w:rsidRPr="008B188F">
        <w:rPr>
          <w:sz w:val="24"/>
          <w:szCs w:val="24"/>
        </w:rPr>
        <w:t>i.e.</w:t>
      </w:r>
      <w:proofErr w:type="gramEnd"/>
      <w:r w:rsidRPr="008B188F">
        <w:rPr>
          <w:sz w:val="24"/>
          <w:szCs w:val="24"/>
        </w:rPr>
        <w:t xml:space="preserve"> Quarter 4, 20</w:t>
      </w:r>
      <w:r w:rsidR="006B6F40">
        <w:rPr>
          <w:sz w:val="24"/>
          <w:szCs w:val="24"/>
        </w:rPr>
        <w:t>21</w:t>
      </w:r>
      <w:r w:rsidRPr="008B188F">
        <w:rPr>
          <w:sz w:val="24"/>
          <w:szCs w:val="24"/>
        </w:rPr>
        <w:t>=100) as from the first quarter of 20</w:t>
      </w:r>
      <w:r w:rsidR="006B6F40">
        <w:rPr>
          <w:sz w:val="24"/>
          <w:szCs w:val="24"/>
        </w:rPr>
        <w:t>22</w:t>
      </w:r>
      <w:r w:rsidRPr="008B188F">
        <w:rPr>
          <w:sz w:val="24"/>
          <w:szCs w:val="24"/>
        </w:rPr>
        <w:t xml:space="preserve">. </w:t>
      </w:r>
      <w:r w:rsidR="00AB46DE">
        <w:rPr>
          <w:sz w:val="24"/>
          <w:szCs w:val="24"/>
        </w:rPr>
        <w:t>T</w:t>
      </w:r>
      <w:r w:rsidRPr="008B188F">
        <w:rPr>
          <w:sz w:val="24"/>
          <w:szCs w:val="24"/>
        </w:rPr>
        <w:t>he wage rate indices, for the first to fourth quarter, are based on wage rates applicable during the months of March, June, September and December respectively.</w:t>
      </w:r>
    </w:p>
    <w:p w14:paraId="449A2581" w14:textId="77777777" w:rsidR="008B48F4" w:rsidRPr="008B188F" w:rsidRDefault="008B48F4" w:rsidP="008B48F4">
      <w:pPr>
        <w:spacing w:line="140" w:lineRule="atLeast"/>
        <w:jc w:val="both"/>
        <w:rPr>
          <w:b/>
          <w:sz w:val="24"/>
          <w:szCs w:val="24"/>
        </w:rPr>
      </w:pPr>
    </w:p>
    <w:p w14:paraId="689DB222" w14:textId="77777777" w:rsidR="008B48F4" w:rsidRPr="008B188F" w:rsidRDefault="008B48F4" w:rsidP="008B48F4">
      <w:pPr>
        <w:jc w:val="both"/>
        <w:rPr>
          <w:b/>
          <w:sz w:val="24"/>
          <w:szCs w:val="24"/>
        </w:rPr>
      </w:pPr>
      <w:r w:rsidRPr="008B188F">
        <w:rPr>
          <w:b/>
          <w:sz w:val="24"/>
          <w:szCs w:val="24"/>
        </w:rPr>
        <w:t>7.</w:t>
      </w:r>
      <w:r w:rsidRPr="008B188F">
        <w:rPr>
          <w:b/>
          <w:sz w:val="24"/>
          <w:szCs w:val="24"/>
        </w:rPr>
        <w:tab/>
        <w:t>Weights</w:t>
      </w:r>
    </w:p>
    <w:p w14:paraId="04C7AE41" w14:textId="77777777" w:rsidR="008B48F4" w:rsidRPr="008B188F" w:rsidRDefault="008B48F4" w:rsidP="008B48F4">
      <w:pPr>
        <w:jc w:val="both"/>
        <w:rPr>
          <w:b/>
          <w:sz w:val="16"/>
          <w:szCs w:val="16"/>
        </w:rPr>
      </w:pPr>
    </w:p>
    <w:p w14:paraId="7B74964D" w14:textId="77777777" w:rsidR="008B48F4" w:rsidRPr="008B188F" w:rsidRDefault="008B48F4" w:rsidP="008B48F4">
      <w:pPr>
        <w:jc w:val="both"/>
        <w:rPr>
          <w:sz w:val="24"/>
          <w:szCs w:val="24"/>
        </w:rPr>
      </w:pPr>
      <w:r w:rsidRPr="008B188F">
        <w:rPr>
          <w:sz w:val="24"/>
          <w:szCs w:val="24"/>
        </w:rPr>
        <w:t>Two sets of weights are used:</w:t>
      </w:r>
    </w:p>
    <w:p w14:paraId="42B70BFF" w14:textId="77777777" w:rsidR="008B48F4" w:rsidRPr="008B188F" w:rsidRDefault="008B48F4" w:rsidP="008B48F4">
      <w:pPr>
        <w:jc w:val="both"/>
        <w:rPr>
          <w:sz w:val="24"/>
          <w:szCs w:val="24"/>
        </w:rPr>
      </w:pPr>
    </w:p>
    <w:p w14:paraId="03541194" w14:textId="09BFE2CB" w:rsidR="008B48F4" w:rsidRPr="008B188F" w:rsidRDefault="008B48F4" w:rsidP="008B48F4">
      <w:pPr>
        <w:spacing w:line="230" w:lineRule="atLeast"/>
        <w:rPr>
          <w:sz w:val="24"/>
          <w:szCs w:val="24"/>
        </w:rPr>
      </w:pPr>
      <w:r w:rsidRPr="008B188F">
        <w:rPr>
          <w:sz w:val="24"/>
          <w:szCs w:val="24"/>
        </w:rPr>
        <w:t>(</w:t>
      </w:r>
      <w:proofErr w:type="spellStart"/>
      <w:r w:rsidRPr="008B188F">
        <w:rPr>
          <w:sz w:val="24"/>
          <w:szCs w:val="24"/>
        </w:rPr>
        <w:t>i</w:t>
      </w:r>
      <w:proofErr w:type="spellEnd"/>
      <w:r w:rsidRPr="008B188F">
        <w:rPr>
          <w:sz w:val="24"/>
          <w:szCs w:val="24"/>
        </w:rPr>
        <w:t>)</w:t>
      </w:r>
      <w:r w:rsidRPr="008B188F">
        <w:rPr>
          <w:sz w:val="24"/>
          <w:szCs w:val="24"/>
        </w:rPr>
        <w:tab/>
      </w:r>
      <w:r w:rsidRPr="008B188F">
        <w:rPr>
          <w:b/>
          <w:i/>
          <w:sz w:val="24"/>
          <w:szCs w:val="24"/>
        </w:rPr>
        <w:t>Weight for the industry groups</w:t>
      </w:r>
      <w:r w:rsidRPr="008B188F">
        <w:rPr>
          <w:sz w:val="24"/>
          <w:szCs w:val="24"/>
        </w:rPr>
        <w:t xml:space="preserve"> derived from the ‘Survey of Employment &amp; Earnings, March 20</w:t>
      </w:r>
      <w:r w:rsidR="00AB46DE">
        <w:rPr>
          <w:sz w:val="24"/>
          <w:szCs w:val="24"/>
        </w:rPr>
        <w:t>20</w:t>
      </w:r>
      <w:r w:rsidRPr="008B188F">
        <w:rPr>
          <w:sz w:val="24"/>
          <w:szCs w:val="24"/>
        </w:rPr>
        <w:t xml:space="preserve">’ and </w:t>
      </w:r>
    </w:p>
    <w:p w14:paraId="4B33095F" w14:textId="77777777" w:rsidR="008B48F4" w:rsidRPr="008B188F" w:rsidRDefault="008B48F4" w:rsidP="008B48F4">
      <w:pPr>
        <w:spacing w:line="230" w:lineRule="atLeast"/>
        <w:jc w:val="both"/>
        <w:rPr>
          <w:sz w:val="16"/>
          <w:szCs w:val="16"/>
        </w:rPr>
      </w:pPr>
    </w:p>
    <w:p w14:paraId="7FFB5A9A" w14:textId="7BBC9747" w:rsidR="008B48F4" w:rsidRPr="008B188F" w:rsidRDefault="008B48F4" w:rsidP="008B48F4">
      <w:pPr>
        <w:spacing w:line="300" w:lineRule="atLeast"/>
        <w:jc w:val="both"/>
        <w:rPr>
          <w:sz w:val="24"/>
          <w:szCs w:val="24"/>
        </w:rPr>
      </w:pPr>
      <w:r w:rsidRPr="008B188F">
        <w:rPr>
          <w:rFonts w:eastAsia="Calibri"/>
          <w:sz w:val="24"/>
          <w:szCs w:val="24"/>
        </w:rPr>
        <w:t>(ii)</w:t>
      </w:r>
      <w:r w:rsidRPr="008B188F">
        <w:rPr>
          <w:rFonts w:eastAsia="Calibri"/>
          <w:b/>
          <w:sz w:val="24"/>
          <w:szCs w:val="24"/>
        </w:rPr>
        <w:t xml:space="preserve"> </w:t>
      </w:r>
      <w:r w:rsidRPr="008B188F">
        <w:rPr>
          <w:rFonts w:eastAsia="Calibri"/>
          <w:b/>
          <w:sz w:val="24"/>
          <w:szCs w:val="24"/>
        </w:rPr>
        <w:tab/>
      </w:r>
      <w:r w:rsidRPr="008B188F">
        <w:rPr>
          <w:rFonts w:eastAsia="Calibri"/>
          <w:b/>
          <w:i/>
          <w:sz w:val="24"/>
          <w:szCs w:val="24"/>
        </w:rPr>
        <w:t>Weight for occupations</w:t>
      </w:r>
      <w:r w:rsidRPr="008B188F">
        <w:rPr>
          <w:rFonts w:eastAsia="Calibri"/>
          <w:sz w:val="24"/>
          <w:szCs w:val="24"/>
        </w:rPr>
        <w:t xml:space="preserve"> within each activity (NSIC) </w:t>
      </w:r>
      <w:proofErr w:type="spellStart"/>
      <w:r w:rsidRPr="008B188F">
        <w:rPr>
          <w:rFonts w:eastAsia="Calibri"/>
          <w:sz w:val="24"/>
          <w:szCs w:val="24"/>
        </w:rPr>
        <w:t>sectorwise</w:t>
      </w:r>
      <w:proofErr w:type="spellEnd"/>
      <w:r w:rsidRPr="008B188F">
        <w:rPr>
          <w:rFonts w:eastAsia="Calibri"/>
          <w:sz w:val="24"/>
          <w:szCs w:val="24"/>
        </w:rPr>
        <w:t xml:space="preserve">. Questionnaires were sent to around </w:t>
      </w:r>
      <w:r w:rsidR="00AB46DE">
        <w:rPr>
          <w:rFonts w:eastAsia="Calibri"/>
          <w:sz w:val="24"/>
          <w:szCs w:val="24"/>
        </w:rPr>
        <w:t>2</w:t>
      </w:r>
      <w:r w:rsidRPr="008B188F">
        <w:rPr>
          <w:rFonts w:eastAsia="Calibri"/>
          <w:sz w:val="24"/>
          <w:szCs w:val="24"/>
        </w:rPr>
        <w:t>,</w:t>
      </w:r>
      <w:r w:rsidR="00AB46DE">
        <w:rPr>
          <w:rFonts w:eastAsia="Calibri"/>
          <w:sz w:val="24"/>
          <w:szCs w:val="24"/>
        </w:rPr>
        <w:t>5</w:t>
      </w:r>
      <w:r w:rsidRPr="008B188F">
        <w:rPr>
          <w:rFonts w:eastAsia="Calibri"/>
          <w:sz w:val="24"/>
          <w:szCs w:val="24"/>
        </w:rPr>
        <w:t>00 large establishments at the end of March 20</w:t>
      </w:r>
      <w:r w:rsidR="00AB46DE">
        <w:rPr>
          <w:rFonts w:eastAsia="Calibri"/>
          <w:sz w:val="24"/>
          <w:szCs w:val="24"/>
        </w:rPr>
        <w:t>21</w:t>
      </w:r>
      <w:r w:rsidRPr="008B188F">
        <w:rPr>
          <w:rFonts w:eastAsia="Calibri"/>
          <w:sz w:val="24"/>
          <w:szCs w:val="24"/>
        </w:rPr>
        <w:t xml:space="preserve"> to cater for number employed in each category of occupation.</w:t>
      </w:r>
    </w:p>
    <w:p w14:paraId="68CFB5A9" w14:textId="77777777" w:rsidR="008B48F4" w:rsidRPr="008B188F" w:rsidRDefault="008B48F4" w:rsidP="008B48F4">
      <w:pPr>
        <w:pStyle w:val="ListParagraph"/>
        <w:rPr>
          <w:sz w:val="24"/>
          <w:szCs w:val="24"/>
        </w:rPr>
      </w:pPr>
    </w:p>
    <w:p w14:paraId="03790E02" w14:textId="77777777" w:rsidR="008B48F4" w:rsidRPr="008B188F" w:rsidRDefault="008B48F4" w:rsidP="008B48F4">
      <w:pPr>
        <w:jc w:val="both"/>
        <w:rPr>
          <w:b/>
          <w:sz w:val="24"/>
          <w:szCs w:val="24"/>
        </w:rPr>
      </w:pPr>
      <w:r w:rsidRPr="008B188F">
        <w:rPr>
          <w:b/>
          <w:sz w:val="24"/>
          <w:szCs w:val="24"/>
        </w:rPr>
        <w:t>8.</w:t>
      </w:r>
      <w:r w:rsidRPr="008B188F">
        <w:rPr>
          <w:b/>
          <w:sz w:val="24"/>
          <w:szCs w:val="24"/>
        </w:rPr>
        <w:tab/>
        <w:t>Wage rates used</w:t>
      </w:r>
    </w:p>
    <w:p w14:paraId="561B0EA2" w14:textId="77777777" w:rsidR="008B48F4" w:rsidRPr="008B188F" w:rsidRDefault="008B48F4" w:rsidP="008B48F4">
      <w:pPr>
        <w:jc w:val="both"/>
        <w:rPr>
          <w:b/>
          <w:sz w:val="24"/>
          <w:szCs w:val="24"/>
        </w:rPr>
      </w:pPr>
    </w:p>
    <w:tbl>
      <w:tblPr>
        <w:tblW w:w="10308" w:type="dxa"/>
        <w:tblLook w:val="04A0" w:firstRow="1" w:lastRow="0" w:firstColumn="1" w:lastColumn="0" w:noHBand="0" w:noVBand="1"/>
      </w:tblPr>
      <w:tblGrid>
        <w:gridCol w:w="9864"/>
        <w:gridCol w:w="222"/>
        <w:gridCol w:w="222"/>
      </w:tblGrid>
      <w:tr w:rsidR="00127F73" w:rsidRPr="00127F73" w14:paraId="51DC922E" w14:textId="77777777" w:rsidTr="007474D2">
        <w:trPr>
          <w:trHeight w:val="344"/>
        </w:trPr>
        <w:tc>
          <w:tcPr>
            <w:tcW w:w="10308" w:type="dxa"/>
            <w:gridSpan w:val="3"/>
            <w:tcBorders>
              <w:top w:val="nil"/>
              <w:left w:val="nil"/>
              <w:bottom w:val="nil"/>
              <w:right w:val="nil"/>
            </w:tcBorders>
            <w:shd w:val="clear" w:color="auto" w:fill="auto"/>
            <w:noWrap/>
            <w:vAlign w:val="bottom"/>
            <w:hideMark/>
          </w:tcPr>
          <w:p w14:paraId="1AC9FC31" w14:textId="0EEC964D" w:rsidR="00127F73" w:rsidRPr="00127F73" w:rsidRDefault="008B48F4" w:rsidP="00127F73">
            <w:pPr>
              <w:rPr>
                <w:b/>
                <w:bCs/>
                <w:color w:val="000000"/>
                <w:sz w:val="24"/>
                <w:szCs w:val="24"/>
                <w:lang w:eastAsia="en-MU"/>
              </w:rPr>
            </w:pPr>
            <w:r w:rsidRPr="008B188F">
              <w:rPr>
                <w:sz w:val="24"/>
                <w:szCs w:val="24"/>
              </w:rPr>
              <w:t>The wage/salary rates of specific occupations, used in the calculation of the index, are the rates</w:t>
            </w:r>
            <w:r w:rsidR="008F1449">
              <w:rPr>
                <w:sz w:val="24"/>
                <w:szCs w:val="24"/>
              </w:rPr>
              <w:t xml:space="preserve">         </w:t>
            </w:r>
            <w:r w:rsidRPr="008B188F">
              <w:rPr>
                <w:sz w:val="24"/>
                <w:szCs w:val="24"/>
              </w:rPr>
              <w:t xml:space="preserve"> paid for normal time work, comprising basic wages and salaries, cost of living allowances and </w:t>
            </w:r>
            <w:r w:rsidR="008F1449">
              <w:rPr>
                <w:sz w:val="24"/>
                <w:szCs w:val="24"/>
              </w:rPr>
              <w:t xml:space="preserve">         </w:t>
            </w:r>
            <w:r w:rsidRPr="008B188F">
              <w:rPr>
                <w:sz w:val="24"/>
                <w:szCs w:val="24"/>
              </w:rPr>
              <w:t xml:space="preserve">other guaranteed and regular allowances paid at the end of each pay period.  Overtime payments </w:t>
            </w:r>
            <w:r w:rsidR="008F1449">
              <w:rPr>
                <w:sz w:val="24"/>
                <w:szCs w:val="24"/>
              </w:rPr>
              <w:t xml:space="preserve">        </w:t>
            </w:r>
            <w:r w:rsidRPr="008B188F">
              <w:rPr>
                <w:sz w:val="24"/>
                <w:szCs w:val="24"/>
              </w:rPr>
              <w:t>are, therefore, excluded.</w:t>
            </w:r>
          </w:p>
        </w:tc>
      </w:tr>
      <w:tr w:rsidR="00127F73" w:rsidRPr="00127F73" w14:paraId="27F02B93" w14:textId="77777777" w:rsidTr="007474D2">
        <w:trPr>
          <w:trHeight w:val="344"/>
        </w:trPr>
        <w:tc>
          <w:tcPr>
            <w:tcW w:w="9864" w:type="dxa"/>
            <w:tcBorders>
              <w:top w:val="nil"/>
              <w:left w:val="nil"/>
              <w:bottom w:val="nil"/>
              <w:right w:val="nil"/>
            </w:tcBorders>
            <w:shd w:val="clear" w:color="auto" w:fill="auto"/>
            <w:noWrap/>
            <w:vAlign w:val="bottom"/>
            <w:hideMark/>
          </w:tcPr>
          <w:p w14:paraId="15E0D943" w14:textId="77777777" w:rsidR="00127F73" w:rsidRPr="00127F73" w:rsidRDefault="00127F73" w:rsidP="006A4DDE">
            <w:pPr>
              <w:rPr>
                <w:b/>
                <w:bCs/>
                <w:color w:val="000000"/>
                <w:sz w:val="24"/>
                <w:szCs w:val="24"/>
                <w:lang w:val="en-MU" w:eastAsia="en-MU"/>
              </w:rPr>
            </w:pPr>
          </w:p>
        </w:tc>
        <w:tc>
          <w:tcPr>
            <w:tcW w:w="222" w:type="dxa"/>
            <w:tcBorders>
              <w:top w:val="nil"/>
              <w:left w:val="nil"/>
              <w:bottom w:val="nil"/>
              <w:right w:val="nil"/>
            </w:tcBorders>
            <w:shd w:val="clear" w:color="auto" w:fill="auto"/>
            <w:noWrap/>
            <w:vAlign w:val="bottom"/>
            <w:hideMark/>
          </w:tcPr>
          <w:p w14:paraId="6DFB9E0D" w14:textId="77777777" w:rsidR="00127F73" w:rsidRPr="00127F73" w:rsidRDefault="00127F73" w:rsidP="00127F73">
            <w:pPr>
              <w:rPr>
                <w:lang w:val="en-MU" w:eastAsia="en-MU"/>
              </w:rPr>
            </w:pPr>
          </w:p>
        </w:tc>
        <w:tc>
          <w:tcPr>
            <w:tcW w:w="222" w:type="dxa"/>
            <w:tcBorders>
              <w:top w:val="nil"/>
              <w:left w:val="nil"/>
              <w:bottom w:val="nil"/>
              <w:right w:val="nil"/>
            </w:tcBorders>
            <w:shd w:val="clear" w:color="auto" w:fill="auto"/>
            <w:noWrap/>
            <w:vAlign w:val="bottom"/>
            <w:hideMark/>
          </w:tcPr>
          <w:p w14:paraId="68EB5A32" w14:textId="77777777" w:rsidR="00127F73" w:rsidRPr="00127F73" w:rsidRDefault="00127F73" w:rsidP="00127F73">
            <w:pPr>
              <w:rPr>
                <w:lang w:val="en-MU" w:eastAsia="en-MU"/>
              </w:rPr>
            </w:pPr>
          </w:p>
        </w:tc>
      </w:tr>
    </w:tbl>
    <w:p w14:paraId="0BA9B150" w14:textId="77777777" w:rsidR="00665972" w:rsidRPr="008B188F" w:rsidRDefault="00665972" w:rsidP="006A4DDE">
      <w:pPr>
        <w:jc w:val="both"/>
        <w:rPr>
          <w:b/>
          <w:sz w:val="24"/>
          <w:szCs w:val="24"/>
        </w:rPr>
      </w:pPr>
    </w:p>
    <w:sectPr w:rsidR="00665972" w:rsidRPr="008B188F" w:rsidSect="00B27404">
      <w:pgSz w:w="11907" w:h="16839" w:code="9"/>
      <w:pgMar w:top="142" w:right="1440" w:bottom="720" w:left="1701" w:header="709" w:footer="70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3E9C59" w14:textId="77777777" w:rsidR="00B74F7D" w:rsidRDefault="00B74F7D">
      <w:r>
        <w:separator/>
      </w:r>
    </w:p>
    <w:p w14:paraId="2200F92C" w14:textId="77777777" w:rsidR="00B74F7D" w:rsidRDefault="00B74F7D"/>
  </w:endnote>
  <w:endnote w:type="continuationSeparator" w:id="0">
    <w:p w14:paraId="0053FB1D" w14:textId="77777777" w:rsidR="00B74F7D" w:rsidRDefault="00B74F7D">
      <w:r>
        <w:continuationSeparator/>
      </w:r>
    </w:p>
    <w:p w14:paraId="30D526EE" w14:textId="77777777" w:rsidR="00B74F7D" w:rsidRDefault="00B74F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E43332" w14:textId="77777777" w:rsidR="00B74F7D" w:rsidRDefault="00B74F7D">
      <w:r>
        <w:separator/>
      </w:r>
    </w:p>
    <w:p w14:paraId="6C8CD855" w14:textId="77777777" w:rsidR="00B74F7D" w:rsidRDefault="00B74F7D"/>
  </w:footnote>
  <w:footnote w:type="continuationSeparator" w:id="0">
    <w:p w14:paraId="21579178" w14:textId="77777777" w:rsidR="00B74F7D" w:rsidRDefault="00B74F7D">
      <w:r>
        <w:continuationSeparator/>
      </w:r>
    </w:p>
    <w:p w14:paraId="37745C85" w14:textId="77777777" w:rsidR="00B74F7D" w:rsidRDefault="00B74F7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93160"/>
    <w:multiLevelType w:val="hybridMultilevel"/>
    <w:tmpl w:val="707E2490"/>
    <w:lvl w:ilvl="0" w:tplc="5A9EEDC0">
      <w:start w:val="1"/>
      <w:numFmt w:val="lowerRoman"/>
      <w:lvlText w:val="(%1)"/>
      <w:lvlJc w:val="left"/>
      <w:pPr>
        <w:ind w:left="2045" w:hanging="720"/>
      </w:pPr>
      <w:rPr>
        <w:rFonts w:hint="default"/>
      </w:rPr>
    </w:lvl>
    <w:lvl w:ilvl="1" w:tplc="04090019" w:tentative="1">
      <w:start w:val="1"/>
      <w:numFmt w:val="lowerLetter"/>
      <w:lvlText w:val="%2."/>
      <w:lvlJc w:val="left"/>
      <w:pPr>
        <w:ind w:left="2405" w:hanging="360"/>
      </w:pPr>
    </w:lvl>
    <w:lvl w:ilvl="2" w:tplc="0409001B" w:tentative="1">
      <w:start w:val="1"/>
      <w:numFmt w:val="lowerRoman"/>
      <w:lvlText w:val="%3."/>
      <w:lvlJc w:val="right"/>
      <w:pPr>
        <w:ind w:left="3125" w:hanging="180"/>
      </w:pPr>
    </w:lvl>
    <w:lvl w:ilvl="3" w:tplc="0409000F" w:tentative="1">
      <w:start w:val="1"/>
      <w:numFmt w:val="decimal"/>
      <w:lvlText w:val="%4."/>
      <w:lvlJc w:val="left"/>
      <w:pPr>
        <w:ind w:left="3845" w:hanging="360"/>
      </w:pPr>
    </w:lvl>
    <w:lvl w:ilvl="4" w:tplc="04090019" w:tentative="1">
      <w:start w:val="1"/>
      <w:numFmt w:val="lowerLetter"/>
      <w:lvlText w:val="%5."/>
      <w:lvlJc w:val="left"/>
      <w:pPr>
        <w:ind w:left="4565" w:hanging="360"/>
      </w:pPr>
    </w:lvl>
    <w:lvl w:ilvl="5" w:tplc="0409001B" w:tentative="1">
      <w:start w:val="1"/>
      <w:numFmt w:val="lowerRoman"/>
      <w:lvlText w:val="%6."/>
      <w:lvlJc w:val="right"/>
      <w:pPr>
        <w:ind w:left="5285" w:hanging="180"/>
      </w:pPr>
    </w:lvl>
    <w:lvl w:ilvl="6" w:tplc="0409000F" w:tentative="1">
      <w:start w:val="1"/>
      <w:numFmt w:val="decimal"/>
      <w:lvlText w:val="%7."/>
      <w:lvlJc w:val="left"/>
      <w:pPr>
        <w:ind w:left="6005" w:hanging="360"/>
      </w:pPr>
    </w:lvl>
    <w:lvl w:ilvl="7" w:tplc="04090019" w:tentative="1">
      <w:start w:val="1"/>
      <w:numFmt w:val="lowerLetter"/>
      <w:lvlText w:val="%8."/>
      <w:lvlJc w:val="left"/>
      <w:pPr>
        <w:ind w:left="6725" w:hanging="360"/>
      </w:pPr>
    </w:lvl>
    <w:lvl w:ilvl="8" w:tplc="0409001B" w:tentative="1">
      <w:start w:val="1"/>
      <w:numFmt w:val="lowerRoman"/>
      <w:lvlText w:val="%9."/>
      <w:lvlJc w:val="right"/>
      <w:pPr>
        <w:ind w:left="7445" w:hanging="180"/>
      </w:pPr>
    </w:lvl>
  </w:abstractNum>
  <w:abstractNum w:abstractNumId="1" w15:restartNumberingAfterBreak="0">
    <w:nsid w:val="0474794A"/>
    <w:multiLevelType w:val="multilevel"/>
    <w:tmpl w:val="08D88BB4"/>
    <w:lvl w:ilvl="0">
      <w:start w:val="1"/>
      <w:numFmt w:val="decimal"/>
      <w:lvlText w:val="%1."/>
      <w:lvlJc w:val="left"/>
      <w:pPr>
        <w:tabs>
          <w:tab w:val="num" w:pos="502"/>
        </w:tabs>
        <w:ind w:left="502" w:hanging="360"/>
      </w:pPr>
      <w:rPr>
        <w:rFonts w:hint="default"/>
        <w:b/>
        <w:bCs/>
      </w:rPr>
    </w:lvl>
    <w:lvl w:ilvl="1" w:tentative="1">
      <w:start w:val="1"/>
      <w:numFmt w:val="lowerLetter"/>
      <w:lvlText w:val="%2."/>
      <w:lvlJc w:val="left"/>
      <w:pPr>
        <w:ind w:left="1298" w:hanging="360"/>
      </w:pPr>
    </w:lvl>
    <w:lvl w:ilvl="2" w:tentative="1">
      <w:start w:val="1"/>
      <w:numFmt w:val="lowerRoman"/>
      <w:lvlText w:val="%3."/>
      <w:lvlJc w:val="right"/>
      <w:pPr>
        <w:ind w:left="2018" w:hanging="180"/>
      </w:pPr>
    </w:lvl>
    <w:lvl w:ilvl="3" w:tentative="1">
      <w:start w:val="1"/>
      <w:numFmt w:val="decimal"/>
      <w:lvlText w:val="%4."/>
      <w:lvlJc w:val="left"/>
      <w:pPr>
        <w:ind w:left="2738" w:hanging="360"/>
      </w:pPr>
    </w:lvl>
    <w:lvl w:ilvl="4" w:tentative="1">
      <w:start w:val="1"/>
      <w:numFmt w:val="lowerLetter"/>
      <w:lvlText w:val="%5."/>
      <w:lvlJc w:val="left"/>
      <w:pPr>
        <w:ind w:left="3458" w:hanging="360"/>
      </w:pPr>
    </w:lvl>
    <w:lvl w:ilvl="5" w:tentative="1">
      <w:start w:val="1"/>
      <w:numFmt w:val="lowerRoman"/>
      <w:lvlText w:val="%6."/>
      <w:lvlJc w:val="right"/>
      <w:pPr>
        <w:ind w:left="4178" w:hanging="180"/>
      </w:pPr>
    </w:lvl>
    <w:lvl w:ilvl="6" w:tentative="1">
      <w:start w:val="1"/>
      <w:numFmt w:val="decimal"/>
      <w:lvlText w:val="%7."/>
      <w:lvlJc w:val="left"/>
      <w:pPr>
        <w:ind w:left="4898" w:hanging="360"/>
      </w:pPr>
    </w:lvl>
    <w:lvl w:ilvl="7" w:tentative="1">
      <w:start w:val="1"/>
      <w:numFmt w:val="lowerLetter"/>
      <w:lvlText w:val="%8."/>
      <w:lvlJc w:val="left"/>
      <w:pPr>
        <w:ind w:left="5618" w:hanging="360"/>
      </w:pPr>
    </w:lvl>
    <w:lvl w:ilvl="8" w:tentative="1">
      <w:start w:val="1"/>
      <w:numFmt w:val="lowerRoman"/>
      <w:lvlText w:val="%9."/>
      <w:lvlJc w:val="right"/>
      <w:pPr>
        <w:ind w:left="6338" w:hanging="180"/>
      </w:pPr>
    </w:lvl>
  </w:abstractNum>
  <w:abstractNum w:abstractNumId="2" w15:restartNumberingAfterBreak="0">
    <w:nsid w:val="057B00BD"/>
    <w:multiLevelType w:val="hybridMultilevel"/>
    <w:tmpl w:val="F41A1C6A"/>
    <w:lvl w:ilvl="0" w:tplc="71D6BBC4">
      <w:start w:val="1"/>
      <w:numFmt w:val="decimal"/>
      <w:lvlText w:val="(%1)"/>
      <w:lvlJc w:val="left"/>
      <w:pPr>
        <w:ind w:left="360" w:hanging="360"/>
      </w:pPr>
      <w:rPr>
        <w:rFonts w:hint="default"/>
      </w:rPr>
    </w:lvl>
    <w:lvl w:ilvl="1" w:tplc="20000019" w:tentative="1">
      <w:start w:val="1"/>
      <w:numFmt w:val="lowerLetter"/>
      <w:lvlText w:val="%2."/>
      <w:lvlJc w:val="left"/>
      <w:pPr>
        <w:ind w:left="1298" w:hanging="360"/>
      </w:pPr>
    </w:lvl>
    <w:lvl w:ilvl="2" w:tplc="2000001B" w:tentative="1">
      <w:start w:val="1"/>
      <w:numFmt w:val="lowerRoman"/>
      <w:lvlText w:val="%3."/>
      <w:lvlJc w:val="right"/>
      <w:pPr>
        <w:ind w:left="2018" w:hanging="180"/>
      </w:pPr>
    </w:lvl>
    <w:lvl w:ilvl="3" w:tplc="2000000F" w:tentative="1">
      <w:start w:val="1"/>
      <w:numFmt w:val="decimal"/>
      <w:lvlText w:val="%4."/>
      <w:lvlJc w:val="left"/>
      <w:pPr>
        <w:ind w:left="2738" w:hanging="360"/>
      </w:pPr>
    </w:lvl>
    <w:lvl w:ilvl="4" w:tplc="20000019" w:tentative="1">
      <w:start w:val="1"/>
      <w:numFmt w:val="lowerLetter"/>
      <w:lvlText w:val="%5."/>
      <w:lvlJc w:val="left"/>
      <w:pPr>
        <w:ind w:left="3458" w:hanging="360"/>
      </w:pPr>
    </w:lvl>
    <w:lvl w:ilvl="5" w:tplc="2000001B" w:tentative="1">
      <w:start w:val="1"/>
      <w:numFmt w:val="lowerRoman"/>
      <w:lvlText w:val="%6."/>
      <w:lvlJc w:val="right"/>
      <w:pPr>
        <w:ind w:left="4178" w:hanging="180"/>
      </w:pPr>
    </w:lvl>
    <w:lvl w:ilvl="6" w:tplc="2000000F" w:tentative="1">
      <w:start w:val="1"/>
      <w:numFmt w:val="decimal"/>
      <w:lvlText w:val="%7."/>
      <w:lvlJc w:val="left"/>
      <w:pPr>
        <w:ind w:left="4898" w:hanging="360"/>
      </w:pPr>
    </w:lvl>
    <w:lvl w:ilvl="7" w:tplc="20000019" w:tentative="1">
      <w:start w:val="1"/>
      <w:numFmt w:val="lowerLetter"/>
      <w:lvlText w:val="%8."/>
      <w:lvlJc w:val="left"/>
      <w:pPr>
        <w:ind w:left="5618" w:hanging="360"/>
      </w:pPr>
    </w:lvl>
    <w:lvl w:ilvl="8" w:tplc="2000001B" w:tentative="1">
      <w:start w:val="1"/>
      <w:numFmt w:val="lowerRoman"/>
      <w:lvlText w:val="%9."/>
      <w:lvlJc w:val="right"/>
      <w:pPr>
        <w:ind w:left="6338" w:hanging="180"/>
      </w:pPr>
    </w:lvl>
  </w:abstractNum>
  <w:abstractNum w:abstractNumId="3" w15:restartNumberingAfterBreak="0">
    <w:nsid w:val="0C5678EB"/>
    <w:multiLevelType w:val="hybridMultilevel"/>
    <w:tmpl w:val="091CFBE4"/>
    <w:lvl w:ilvl="0" w:tplc="952AF51E">
      <w:start w:val="4"/>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4" w15:restartNumberingAfterBreak="0">
    <w:nsid w:val="103B48A4"/>
    <w:multiLevelType w:val="hybridMultilevel"/>
    <w:tmpl w:val="FB2442A0"/>
    <w:lvl w:ilvl="0" w:tplc="48B49D66">
      <w:start w:val="1"/>
      <w:numFmt w:val="lowerRoman"/>
      <w:lvlText w:val="(%1)"/>
      <w:lvlJc w:val="left"/>
      <w:pPr>
        <w:ind w:left="1620" w:hanging="72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15:restartNumberingAfterBreak="0">
    <w:nsid w:val="13F66CCC"/>
    <w:multiLevelType w:val="hybridMultilevel"/>
    <w:tmpl w:val="CA4EAF68"/>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63533D7"/>
    <w:multiLevelType w:val="hybridMultilevel"/>
    <w:tmpl w:val="35B007AA"/>
    <w:lvl w:ilvl="0" w:tplc="B846D74C">
      <w:start w:val="8"/>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7" w15:restartNumberingAfterBreak="0">
    <w:nsid w:val="17444FFC"/>
    <w:multiLevelType w:val="hybridMultilevel"/>
    <w:tmpl w:val="57AA8132"/>
    <w:lvl w:ilvl="0" w:tplc="2592A66E">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F564CE9"/>
    <w:multiLevelType w:val="hybridMultilevel"/>
    <w:tmpl w:val="05609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C25CED"/>
    <w:multiLevelType w:val="hybridMultilevel"/>
    <w:tmpl w:val="85BCDFB8"/>
    <w:lvl w:ilvl="0" w:tplc="8BE40E22">
      <w:start w:val="6"/>
      <w:numFmt w:val="decimal"/>
      <w:lvlText w:val="%1."/>
      <w:lvlJc w:val="left"/>
      <w:pPr>
        <w:ind w:left="502" w:hanging="360"/>
      </w:pPr>
      <w:rPr>
        <w:rFonts w:hint="default"/>
      </w:rPr>
    </w:lvl>
    <w:lvl w:ilvl="1" w:tplc="08090019">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0" w15:restartNumberingAfterBreak="0">
    <w:nsid w:val="284B7B03"/>
    <w:multiLevelType w:val="hybridMultilevel"/>
    <w:tmpl w:val="588A039E"/>
    <w:lvl w:ilvl="0" w:tplc="BF1C2C2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951D6B"/>
    <w:multiLevelType w:val="hybridMultilevel"/>
    <w:tmpl w:val="3B2422D0"/>
    <w:lvl w:ilvl="0" w:tplc="C570DBAE">
      <w:start w:val="1"/>
      <w:numFmt w:val="lowerRoman"/>
      <w:lvlText w:val="(%1)"/>
      <w:lvlJc w:val="left"/>
      <w:pPr>
        <w:ind w:left="144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309D3F86"/>
    <w:multiLevelType w:val="hybridMultilevel"/>
    <w:tmpl w:val="5790C21A"/>
    <w:lvl w:ilvl="0" w:tplc="FFFFFFFF">
      <w:start w:val="1"/>
      <w:numFmt w:val="lowerRoman"/>
      <w:lvlText w:val="(%1)"/>
      <w:lvlJc w:val="left"/>
      <w:pPr>
        <w:tabs>
          <w:tab w:val="num" w:pos="4320"/>
        </w:tabs>
        <w:ind w:left="4032" w:hanging="432"/>
      </w:pPr>
      <w:rPr>
        <w:rFonts w:hint="default"/>
      </w:rPr>
    </w:lvl>
    <w:lvl w:ilvl="1" w:tplc="FFFFFFFF" w:tentative="1">
      <w:start w:val="1"/>
      <w:numFmt w:val="lowerLetter"/>
      <w:lvlText w:val="%2."/>
      <w:lvlJc w:val="left"/>
      <w:pPr>
        <w:tabs>
          <w:tab w:val="num" w:pos="1440"/>
        </w:tabs>
        <w:ind w:left="1440" w:hanging="360"/>
      </w:pPr>
    </w:lvl>
    <w:lvl w:ilvl="2" w:tplc="FFFFFFFF">
      <w:start w:val="1"/>
      <w:numFmt w:val="lowerRoman"/>
      <w:lvlText w:val="(%3)"/>
      <w:lvlJc w:val="left"/>
      <w:pPr>
        <w:tabs>
          <w:tab w:val="num" w:pos="1440"/>
        </w:tabs>
        <w:ind w:left="1440" w:hanging="72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3921690E"/>
    <w:multiLevelType w:val="hybridMultilevel"/>
    <w:tmpl w:val="A720197E"/>
    <w:lvl w:ilvl="0" w:tplc="E1D2EB6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CD56E7A"/>
    <w:multiLevelType w:val="hybridMultilevel"/>
    <w:tmpl w:val="9B24217E"/>
    <w:lvl w:ilvl="0" w:tplc="0409000F">
      <w:start w:val="4"/>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5" w15:restartNumberingAfterBreak="0">
    <w:nsid w:val="42EC177C"/>
    <w:multiLevelType w:val="singleLevel"/>
    <w:tmpl w:val="89646ACA"/>
    <w:lvl w:ilvl="0">
      <w:start w:val="1"/>
      <w:numFmt w:val="lowerRoman"/>
      <w:lvlText w:val="(%1)"/>
      <w:lvlJc w:val="left"/>
      <w:pPr>
        <w:tabs>
          <w:tab w:val="num" w:pos="1440"/>
        </w:tabs>
        <w:ind w:left="1440" w:hanging="720"/>
      </w:pPr>
      <w:rPr>
        <w:rFonts w:hint="default"/>
      </w:rPr>
    </w:lvl>
  </w:abstractNum>
  <w:abstractNum w:abstractNumId="16" w15:restartNumberingAfterBreak="0">
    <w:nsid w:val="42F4434C"/>
    <w:multiLevelType w:val="hybridMultilevel"/>
    <w:tmpl w:val="D264EA8C"/>
    <w:lvl w:ilvl="0" w:tplc="93606C86">
      <w:start w:val="5"/>
      <w:numFmt w:val="decimal"/>
      <w:lvlText w:val="%1."/>
      <w:lvlJc w:val="left"/>
      <w:pPr>
        <w:ind w:left="502" w:hanging="360"/>
      </w:pPr>
      <w:rPr>
        <w:rFonts w:hint="default"/>
        <w:b/>
        <w:bCs/>
      </w:rPr>
    </w:lvl>
    <w:lvl w:ilvl="1" w:tplc="20000019" w:tentative="1">
      <w:start w:val="1"/>
      <w:numFmt w:val="lowerLetter"/>
      <w:lvlText w:val="%2."/>
      <w:lvlJc w:val="left"/>
      <w:pPr>
        <w:ind w:left="1222" w:hanging="360"/>
      </w:pPr>
    </w:lvl>
    <w:lvl w:ilvl="2" w:tplc="2000001B" w:tentative="1">
      <w:start w:val="1"/>
      <w:numFmt w:val="lowerRoman"/>
      <w:lvlText w:val="%3."/>
      <w:lvlJc w:val="right"/>
      <w:pPr>
        <w:ind w:left="1942" w:hanging="180"/>
      </w:pPr>
    </w:lvl>
    <w:lvl w:ilvl="3" w:tplc="2000000F" w:tentative="1">
      <w:start w:val="1"/>
      <w:numFmt w:val="decimal"/>
      <w:lvlText w:val="%4."/>
      <w:lvlJc w:val="left"/>
      <w:pPr>
        <w:ind w:left="2662" w:hanging="360"/>
      </w:pPr>
    </w:lvl>
    <w:lvl w:ilvl="4" w:tplc="20000019" w:tentative="1">
      <w:start w:val="1"/>
      <w:numFmt w:val="lowerLetter"/>
      <w:lvlText w:val="%5."/>
      <w:lvlJc w:val="left"/>
      <w:pPr>
        <w:ind w:left="3382" w:hanging="360"/>
      </w:pPr>
    </w:lvl>
    <w:lvl w:ilvl="5" w:tplc="2000001B" w:tentative="1">
      <w:start w:val="1"/>
      <w:numFmt w:val="lowerRoman"/>
      <w:lvlText w:val="%6."/>
      <w:lvlJc w:val="right"/>
      <w:pPr>
        <w:ind w:left="4102" w:hanging="180"/>
      </w:pPr>
    </w:lvl>
    <w:lvl w:ilvl="6" w:tplc="2000000F" w:tentative="1">
      <w:start w:val="1"/>
      <w:numFmt w:val="decimal"/>
      <w:lvlText w:val="%7."/>
      <w:lvlJc w:val="left"/>
      <w:pPr>
        <w:ind w:left="4822" w:hanging="360"/>
      </w:pPr>
    </w:lvl>
    <w:lvl w:ilvl="7" w:tplc="20000019" w:tentative="1">
      <w:start w:val="1"/>
      <w:numFmt w:val="lowerLetter"/>
      <w:lvlText w:val="%8."/>
      <w:lvlJc w:val="left"/>
      <w:pPr>
        <w:ind w:left="5542" w:hanging="360"/>
      </w:pPr>
    </w:lvl>
    <w:lvl w:ilvl="8" w:tplc="2000001B" w:tentative="1">
      <w:start w:val="1"/>
      <w:numFmt w:val="lowerRoman"/>
      <w:lvlText w:val="%9."/>
      <w:lvlJc w:val="right"/>
      <w:pPr>
        <w:ind w:left="6262" w:hanging="180"/>
      </w:pPr>
    </w:lvl>
  </w:abstractNum>
  <w:abstractNum w:abstractNumId="17" w15:restartNumberingAfterBreak="0">
    <w:nsid w:val="43BD6750"/>
    <w:multiLevelType w:val="hybridMultilevel"/>
    <w:tmpl w:val="6C62619A"/>
    <w:lvl w:ilvl="0" w:tplc="8314FB6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7FA7B2D"/>
    <w:multiLevelType w:val="hybridMultilevel"/>
    <w:tmpl w:val="57F83604"/>
    <w:lvl w:ilvl="0" w:tplc="28467002">
      <w:start w:val="1"/>
      <w:numFmt w:val="lowerRoman"/>
      <w:lvlText w:val="(%1)"/>
      <w:lvlJc w:val="left"/>
      <w:pPr>
        <w:ind w:left="1440" w:hanging="720"/>
      </w:pPr>
      <w:rPr>
        <w:rFonts w:hint="default"/>
        <w:sz w:val="1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9712BD6"/>
    <w:multiLevelType w:val="hybridMultilevel"/>
    <w:tmpl w:val="891EDF94"/>
    <w:lvl w:ilvl="0" w:tplc="0409000F">
      <w:start w:val="4"/>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0" w15:restartNumberingAfterBreak="0">
    <w:nsid w:val="499D5FAC"/>
    <w:multiLevelType w:val="hybridMultilevel"/>
    <w:tmpl w:val="F28A31F0"/>
    <w:lvl w:ilvl="0" w:tplc="3432F16A">
      <w:start w:val="1"/>
      <w:numFmt w:val="lowerLetter"/>
      <w:lvlText w:val="(%1)"/>
      <w:lvlJc w:val="left"/>
      <w:pPr>
        <w:ind w:left="90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AD10B64"/>
    <w:multiLevelType w:val="singleLevel"/>
    <w:tmpl w:val="0409000F"/>
    <w:lvl w:ilvl="0">
      <w:start w:val="1"/>
      <w:numFmt w:val="decimal"/>
      <w:lvlText w:val="%1."/>
      <w:lvlJc w:val="left"/>
      <w:pPr>
        <w:tabs>
          <w:tab w:val="num" w:pos="360"/>
        </w:tabs>
        <w:ind w:left="360" w:hanging="360"/>
      </w:pPr>
      <w:rPr>
        <w:rFonts w:hint="default"/>
      </w:rPr>
    </w:lvl>
  </w:abstractNum>
  <w:abstractNum w:abstractNumId="22" w15:restartNumberingAfterBreak="0">
    <w:nsid w:val="4B3F057B"/>
    <w:multiLevelType w:val="hybridMultilevel"/>
    <w:tmpl w:val="41BAF29E"/>
    <w:lvl w:ilvl="0" w:tplc="A000B58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B7874CB"/>
    <w:multiLevelType w:val="hybridMultilevel"/>
    <w:tmpl w:val="C4B84082"/>
    <w:lvl w:ilvl="0" w:tplc="444EEF44">
      <w:start w:val="6"/>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4" w15:restartNumberingAfterBreak="0">
    <w:nsid w:val="536D49FE"/>
    <w:multiLevelType w:val="hybridMultilevel"/>
    <w:tmpl w:val="CEF41D2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4B163F6"/>
    <w:multiLevelType w:val="hybridMultilevel"/>
    <w:tmpl w:val="01301076"/>
    <w:lvl w:ilvl="0" w:tplc="EC449CE8">
      <w:start w:val="1"/>
      <w:numFmt w:val="lowerRoman"/>
      <w:lvlText w:val="(%1)"/>
      <w:lvlJc w:val="left"/>
      <w:pPr>
        <w:ind w:left="1380" w:hanging="72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26" w15:restartNumberingAfterBreak="0">
    <w:nsid w:val="599C0232"/>
    <w:multiLevelType w:val="singleLevel"/>
    <w:tmpl w:val="DBEA6080"/>
    <w:lvl w:ilvl="0">
      <w:start w:val="1"/>
      <w:numFmt w:val="lowerRoman"/>
      <w:lvlText w:val="(%1)"/>
      <w:lvlJc w:val="left"/>
      <w:pPr>
        <w:tabs>
          <w:tab w:val="num" w:pos="720"/>
        </w:tabs>
        <w:ind w:left="720" w:hanging="720"/>
      </w:pPr>
      <w:rPr>
        <w:rFonts w:hint="default"/>
      </w:rPr>
    </w:lvl>
  </w:abstractNum>
  <w:abstractNum w:abstractNumId="27" w15:restartNumberingAfterBreak="0">
    <w:nsid w:val="5DD04420"/>
    <w:multiLevelType w:val="hybridMultilevel"/>
    <w:tmpl w:val="DDF24E84"/>
    <w:lvl w:ilvl="0" w:tplc="F92499C6">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B3A6810"/>
    <w:multiLevelType w:val="singleLevel"/>
    <w:tmpl w:val="04090017"/>
    <w:lvl w:ilvl="0">
      <w:start w:val="1"/>
      <w:numFmt w:val="lowerLetter"/>
      <w:lvlText w:val="%1)"/>
      <w:lvlJc w:val="left"/>
      <w:pPr>
        <w:tabs>
          <w:tab w:val="num" w:pos="360"/>
        </w:tabs>
        <w:ind w:left="360" w:hanging="360"/>
      </w:pPr>
      <w:rPr>
        <w:rFonts w:hint="default"/>
      </w:rPr>
    </w:lvl>
  </w:abstractNum>
  <w:abstractNum w:abstractNumId="29" w15:restartNumberingAfterBreak="0">
    <w:nsid w:val="73F84615"/>
    <w:multiLevelType w:val="hybridMultilevel"/>
    <w:tmpl w:val="933CF33A"/>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5910313"/>
    <w:multiLevelType w:val="hybridMultilevel"/>
    <w:tmpl w:val="53E2690A"/>
    <w:lvl w:ilvl="0" w:tplc="DD9EB542">
      <w:start w:val="1"/>
      <w:numFmt w:val="lowerRoman"/>
      <w:lvlText w:val="(%1)"/>
      <w:lvlJc w:val="left"/>
      <w:pPr>
        <w:ind w:left="1620" w:hanging="72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1" w15:restartNumberingAfterBreak="0">
    <w:nsid w:val="75E40B20"/>
    <w:multiLevelType w:val="hybridMultilevel"/>
    <w:tmpl w:val="3880DD72"/>
    <w:lvl w:ilvl="0" w:tplc="17CE8DFA">
      <w:start w:val="1"/>
      <w:numFmt w:val="lowerRoman"/>
      <w:lvlText w:val="(%1)"/>
      <w:lvlJc w:val="left"/>
      <w:pPr>
        <w:ind w:left="750" w:hanging="72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32" w15:restartNumberingAfterBreak="0">
    <w:nsid w:val="7BA6573E"/>
    <w:multiLevelType w:val="hybridMultilevel"/>
    <w:tmpl w:val="FF96C3FA"/>
    <w:lvl w:ilvl="0" w:tplc="0DDC1CC4">
      <w:start w:val="4"/>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33" w15:restartNumberingAfterBreak="0">
    <w:nsid w:val="7BE00E60"/>
    <w:multiLevelType w:val="hybridMultilevel"/>
    <w:tmpl w:val="88EA08F2"/>
    <w:lvl w:ilvl="0" w:tplc="E962E20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1"/>
  </w:num>
  <w:num w:numId="3">
    <w:abstractNumId w:val="26"/>
  </w:num>
  <w:num w:numId="4">
    <w:abstractNumId w:val="28"/>
  </w:num>
  <w:num w:numId="5">
    <w:abstractNumId w:val="25"/>
  </w:num>
  <w:num w:numId="6">
    <w:abstractNumId w:val="33"/>
  </w:num>
  <w:num w:numId="7">
    <w:abstractNumId w:val="0"/>
  </w:num>
  <w:num w:numId="8">
    <w:abstractNumId w:val="30"/>
  </w:num>
  <w:num w:numId="9">
    <w:abstractNumId w:val="20"/>
  </w:num>
  <w:num w:numId="10">
    <w:abstractNumId w:val="4"/>
  </w:num>
  <w:num w:numId="11">
    <w:abstractNumId w:val="12"/>
  </w:num>
  <w:num w:numId="12">
    <w:abstractNumId w:val="15"/>
  </w:num>
  <w:num w:numId="13">
    <w:abstractNumId w:val="27"/>
  </w:num>
  <w:num w:numId="14">
    <w:abstractNumId w:val="19"/>
  </w:num>
  <w:num w:numId="15">
    <w:abstractNumId w:val="14"/>
  </w:num>
  <w:num w:numId="16">
    <w:abstractNumId w:val="22"/>
  </w:num>
  <w:num w:numId="17">
    <w:abstractNumId w:val="17"/>
  </w:num>
  <w:num w:numId="18">
    <w:abstractNumId w:val="10"/>
  </w:num>
  <w:num w:numId="19">
    <w:abstractNumId w:val="7"/>
  </w:num>
  <w:num w:numId="20">
    <w:abstractNumId w:val="31"/>
  </w:num>
  <w:num w:numId="21">
    <w:abstractNumId w:val="24"/>
  </w:num>
  <w:num w:numId="22">
    <w:abstractNumId w:val="8"/>
  </w:num>
  <w:num w:numId="23">
    <w:abstractNumId w:val="18"/>
  </w:num>
  <w:num w:numId="24">
    <w:abstractNumId w:val="13"/>
  </w:num>
  <w:num w:numId="25">
    <w:abstractNumId w:val="11"/>
  </w:num>
  <w:num w:numId="26">
    <w:abstractNumId w:val="5"/>
  </w:num>
  <w:num w:numId="27">
    <w:abstractNumId w:val="29"/>
  </w:num>
  <w:num w:numId="28">
    <w:abstractNumId w:val="3"/>
  </w:num>
  <w:num w:numId="29">
    <w:abstractNumId w:val="32"/>
  </w:num>
  <w:num w:numId="30">
    <w:abstractNumId w:val="23"/>
  </w:num>
  <w:num w:numId="31">
    <w:abstractNumId w:val="9"/>
  </w:num>
  <w:num w:numId="32">
    <w:abstractNumId w:val="6"/>
  </w:num>
  <w:num w:numId="33">
    <w:abstractNumId w:val="16"/>
  </w:num>
  <w:num w:numId="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GB" w:vendorID="64" w:dllVersion="6" w:nlCheck="1" w:checkStyle="0"/>
  <w:activeWritingStyle w:appName="MSWord" w:lang="en-US" w:vendorID="64" w:dllVersion="6" w:nlCheck="1" w:checkStyle="0"/>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fr-FR" w:vendorID="64" w:dllVersion="6" w:nlCheck="1" w:checkStyle="0"/>
  <w:activeWritingStyle w:appName="MSWord" w:lang="en-MU"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76"/>
  <w:drawingGridHorizontalSpacing w:val="100"/>
  <w:displayHorizontalDrawingGridEvery w:val="0"/>
  <w:displayVerticalDrawingGridEvery w:val="0"/>
  <w:noPunctuationKerning/>
  <w:characterSpacingControl w:val="doNotCompress"/>
  <w:hdrShapeDefaults>
    <o:shapedefaults v:ext="edit" spidmax="2049" style="mso-width-relative:margin;mso-height-relative:margin" fill="f" fillcolor="white" stroke="f">
      <v:fill color="white" on="f"/>
      <v:stroke on="f"/>
      <v:textbox inset="0,1.5mm,0,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22B"/>
    <w:rsid w:val="000001ED"/>
    <w:rsid w:val="000002B1"/>
    <w:rsid w:val="00001470"/>
    <w:rsid w:val="00001CA1"/>
    <w:rsid w:val="00001E19"/>
    <w:rsid w:val="0000232E"/>
    <w:rsid w:val="00002B89"/>
    <w:rsid w:val="00002E98"/>
    <w:rsid w:val="000030AC"/>
    <w:rsid w:val="000031CC"/>
    <w:rsid w:val="00003619"/>
    <w:rsid w:val="00003D99"/>
    <w:rsid w:val="000047DE"/>
    <w:rsid w:val="00004B40"/>
    <w:rsid w:val="00004DCE"/>
    <w:rsid w:val="00005192"/>
    <w:rsid w:val="00005430"/>
    <w:rsid w:val="000056A1"/>
    <w:rsid w:val="000058BA"/>
    <w:rsid w:val="00005FA2"/>
    <w:rsid w:val="000067D7"/>
    <w:rsid w:val="0000709F"/>
    <w:rsid w:val="000075F4"/>
    <w:rsid w:val="000101E1"/>
    <w:rsid w:val="000105A5"/>
    <w:rsid w:val="00011370"/>
    <w:rsid w:val="00011AA0"/>
    <w:rsid w:val="0001404F"/>
    <w:rsid w:val="00014278"/>
    <w:rsid w:val="0001441D"/>
    <w:rsid w:val="00014E9B"/>
    <w:rsid w:val="00016C19"/>
    <w:rsid w:val="000178C9"/>
    <w:rsid w:val="00017B16"/>
    <w:rsid w:val="00020515"/>
    <w:rsid w:val="00020CBD"/>
    <w:rsid w:val="00020DEA"/>
    <w:rsid w:val="00021ABB"/>
    <w:rsid w:val="000225F6"/>
    <w:rsid w:val="00022A7A"/>
    <w:rsid w:val="00023774"/>
    <w:rsid w:val="00023CB1"/>
    <w:rsid w:val="00024187"/>
    <w:rsid w:val="000246EE"/>
    <w:rsid w:val="00025A4C"/>
    <w:rsid w:val="00025EF5"/>
    <w:rsid w:val="00026C63"/>
    <w:rsid w:val="00026CB0"/>
    <w:rsid w:val="00026E19"/>
    <w:rsid w:val="00030892"/>
    <w:rsid w:val="00031277"/>
    <w:rsid w:val="00031B38"/>
    <w:rsid w:val="00032861"/>
    <w:rsid w:val="00032EDA"/>
    <w:rsid w:val="00033BE4"/>
    <w:rsid w:val="0003438E"/>
    <w:rsid w:val="0003495D"/>
    <w:rsid w:val="00034EDA"/>
    <w:rsid w:val="0003515C"/>
    <w:rsid w:val="00035AEC"/>
    <w:rsid w:val="00036FE5"/>
    <w:rsid w:val="0003746C"/>
    <w:rsid w:val="00037692"/>
    <w:rsid w:val="0003781B"/>
    <w:rsid w:val="0003793A"/>
    <w:rsid w:val="00037C02"/>
    <w:rsid w:val="00037F40"/>
    <w:rsid w:val="00040BAB"/>
    <w:rsid w:val="00041400"/>
    <w:rsid w:val="00041E41"/>
    <w:rsid w:val="00042362"/>
    <w:rsid w:val="00042C12"/>
    <w:rsid w:val="00046E69"/>
    <w:rsid w:val="00046FFB"/>
    <w:rsid w:val="00047F72"/>
    <w:rsid w:val="000509DA"/>
    <w:rsid w:val="000529A7"/>
    <w:rsid w:val="00052DBA"/>
    <w:rsid w:val="00053601"/>
    <w:rsid w:val="000536C2"/>
    <w:rsid w:val="00053964"/>
    <w:rsid w:val="00053B44"/>
    <w:rsid w:val="00053B54"/>
    <w:rsid w:val="0005426C"/>
    <w:rsid w:val="00054451"/>
    <w:rsid w:val="000554E8"/>
    <w:rsid w:val="00055AF7"/>
    <w:rsid w:val="00055D0D"/>
    <w:rsid w:val="00055E1F"/>
    <w:rsid w:val="0005601F"/>
    <w:rsid w:val="000561A9"/>
    <w:rsid w:val="000561B8"/>
    <w:rsid w:val="00057903"/>
    <w:rsid w:val="00057CE4"/>
    <w:rsid w:val="00061331"/>
    <w:rsid w:val="000616B1"/>
    <w:rsid w:val="0006176C"/>
    <w:rsid w:val="00061A5B"/>
    <w:rsid w:val="000640AE"/>
    <w:rsid w:val="000657F2"/>
    <w:rsid w:val="00066086"/>
    <w:rsid w:val="0006797C"/>
    <w:rsid w:val="00070882"/>
    <w:rsid w:val="0007147D"/>
    <w:rsid w:val="0007163C"/>
    <w:rsid w:val="00073353"/>
    <w:rsid w:val="00074AAB"/>
    <w:rsid w:val="00074F9E"/>
    <w:rsid w:val="00075A17"/>
    <w:rsid w:val="00076875"/>
    <w:rsid w:val="00076E33"/>
    <w:rsid w:val="0007701D"/>
    <w:rsid w:val="00077269"/>
    <w:rsid w:val="000774AD"/>
    <w:rsid w:val="00077633"/>
    <w:rsid w:val="00077665"/>
    <w:rsid w:val="00080F03"/>
    <w:rsid w:val="000819D7"/>
    <w:rsid w:val="00081CF6"/>
    <w:rsid w:val="00082274"/>
    <w:rsid w:val="000824B4"/>
    <w:rsid w:val="000837EE"/>
    <w:rsid w:val="00083CC7"/>
    <w:rsid w:val="00083DFB"/>
    <w:rsid w:val="0008446C"/>
    <w:rsid w:val="00084DF7"/>
    <w:rsid w:val="00084EC6"/>
    <w:rsid w:val="00085C25"/>
    <w:rsid w:val="00085D25"/>
    <w:rsid w:val="00085E2B"/>
    <w:rsid w:val="0008670B"/>
    <w:rsid w:val="00086D69"/>
    <w:rsid w:val="000870F7"/>
    <w:rsid w:val="00087325"/>
    <w:rsid w:val="00087C3B"/>
    <w:rsid w:val="00087E5D"/>
    <w:rsid w:val="00091054"/>
    <w:rsid w:val="0009156A"/>
    <w:rsid w:val="00091E45"/>
    <w:rsid w:val="00091ED2"/>
    <w:rsid w:val="000920EC"/>
    <w:rsid w:val="000925BF"/>
    <w:rsid w:val="00093935"/>
    <w:rsid w:val="00093AD1"/>
    <w:rsid w:val="000941CC"/>
    <w:rsid w:val="00094AF4"/>
    <w:rsid w:val="00095260"/>
    <w:rsid w:val="000969B3"/>
    <w:rsid w:val="000A09D9"/>
    <w:rsid w:val="000A12B3"/>
    <w:rsid w:val="000A3681"/>
    <w:rsid w:val="000A3929"/>
    <w:rsid w:val="000A3A46"/>
    <w:rsid w:val="000A5406"/>
    <w:rsid w:val="000A544D"/>
    <w:rsid w:val="000A56B9"/>
    <w:rsid w:val="000A5C64"/>
    <w:rsid w:val="000A5E12"/>
    <w:rsid w:val="000A6D9D"/>
    <w:rsid w:val="000A75E5"/>
    <w:rsid w:val="000A75E9"/>
    <w:rsid w:val="000A7932"/>
    <w:rsid w:val="000A7AAF"/>
    <w:rsid w:val="000A7FF0"/>
    <w:rsid w:val="000B0F93"/>
    <w:rsid w:val="000B187F"/>
    <w:rsid w:val="000B1FE6"/>
    <w:rsid w:val="000B2B34"/>
    <w:rsid w:val="000B3318"/>
    <w:rsid w:val="000B35FA"/>
    <w:rsid w:val="000B441B"/>
    <w:rsid w:val="000B4B41"/>
    <w:rsid w:val="000B5243"/>
    <w:rsid w:val="000B5847"/>
    <w:rsid w:val="000B6FCE"/>
    <w:rsid w:val="000B6FD6"/>
    <w:rsid w:val="000B7826"/>
    <w:rsid w:val="000B79A9"/>
    <w:rsid w:val="000C02A7"/>
    <w:rsid w:val="000C118C"/>
    <w:rsid w:val="000C2C3E"/>
    <w:rsid w:val="000C2EC0"/>
    <w:rsid w:val="000C3EC7"/>
    <w:rsid w:val="000C3EC9"/>
    <w:rsid w:val="000C4881"/>
    <w:rsid w:val="000C49EE"/>
    <w:rsid w:val="000C5B67"/>
    <w:rsid w:val="000C696B"/>
    <w:rsid w:val="000C71FC"/>
    <w:rsid w:val="000C742D"/>
    <w:rsid w:val="000D020A"/>
    <w:rsid w:val="000D0DB1"/>
    <w:rsid w:val="000D2192"/>
    <w:rsid w:val="000D258C"/>
    <w:rsid w:val="000D2B3B"/>
    <w:rsid w:val="000D2EDC"/>
    <w:rsid w:val="000D36AF"/>
    <w:rsid w:val="000D527F"/>
    <w:rsid w:val="000D6213"/>
    <w:rsid w:val="000D6363"/>
    <w:rsid w:val="000D68A9"/>
    <w:rsid w:val="000D6DB9"/>
    <w:rsid w:val="000D7004"/>
    <w:rsid w:val="000D7117"/>
    <w:rsid w:val="000D712F"/>
    <w:rsid w:val="000E0150"/>
    <w:rsid w:val="000E10FF"/>
    <w:rsid w:val="000E1176"/>
    <w:rsid w:val="000E1E46"/>
    <w:rsid w:val="000E266D"/>
    <w:rsid w:val="000E29BA"/>
    <w:rsid w:val="000E3B28"/>
    <w:rsid w:val="000E6857"/>
    <w:rsid w:val="000E715C"/>
    <w:rsid w:val="000E7E62"/>
    <w:rsid w:val="000F1C0B"/>
    <w:rsid w:val="000F3746"/>
    <w:rsid w:val="000F41F6"/>
    <w:rsid w:val="000F44E9"/>
    <w:rsid w:val="000F4523"/>
    <w:rsid w:val="000F516D"/>
    <w:rsid w:val="000F5518"/>
    <w:rsid w:val="000F5929"/>
    <w:rsid w:val="000F5A40"/>
    <w:rsid w:val="000F5B76"/>
    <w:rsid w:val="000F7188"/>
    <w:rsid w:val="000F7555"/>
    <w:rsid w:val="0010015A"/>
    <w:rsid w:val="00101EC4"/>
    <w:rsid w:val="001023FF"/>
    <w:rsid w:val="0010289D"/>
    <w:rsid w:val="001029B8"/>
    <w:rsid w:val="001032C8"/>
    <w:rsid w:val="00105935"/>
    <w:rsid w:val="00105DB1"/>
    <w:rsid w:val="001060D3"/>
    <w:rsid w:val="00107B81"/>
    <w:rsid w:val="00110B07"/>
    <w:rsid w:val="00110D7C"/>
    <w:rsid w:val="0011275B"/>
    <w:rsid w:val="00112AF1"/>
    <w:rsid w:val="001133D6"/>
    <w:rsid w:val="00113415"/>
    <w:rsid w:val="001136F5"/>
    <w:rsid w:val="001144D3"/>
    <w:rsid w:val="001145E3"/>
    <w:rsid w:val="00114BAB"/>
    <w:rsid w:val="0011551A"/>
    <w:rsid w:val="00116C48"/>
    <w:rsid w:val="00120EF0"/>
    <w:rsid w:val="001212DA"/>
    <w:rsid w:val="00123270"/>
    <w:rsid w:val="00123625"/>
    <w:rsid w:val="00123C8C"/>
    <w:rsid w:val="00123D7A"/>
    <w:rsid w:val="0012405A"/>
    <w:rsid w:val="00125BDA"/>
    <w:rsid w:val="0012605D"/>
    <w:rsid w:val="001277FB"/>
    <w:rsid w:val="00127E54"/>
    <w:rsid w:val="00127F73"/>
    <w:rsid w:val="001306D5"/>
    <w:rsid w:val="00130A6A"/>
    <w:rsid w:val="00131026"/>
    <w:rsid w:val="001320C1"/>
    <w:rsid w:val="00132644"/>
    <w:rsid w:val="001331BE"/>
    <w:rsid w:val="00133A15"/>
    <w:rsid w:val="00134D8E"/>
    <w:rsid w:val="00135484"/>
    <w:rsid w:val="001354B3"/>
    <w:rsid w:val="00135807"/>
    <w:rsid w:val="00135D94"/>
    <w:rsid w:val="00135DC6"/>
    <w:rsid w:val="001366BB"/>
    <w:rsid w:val="00136880"/>
    <w:rsid w:val="0013690E"/>
    <w:rsid w:val="00136A19"/>
    <w:rsid w:val="00136BA0"/>
    <w:rsid w:val="00136C4F"/>
    <w:rsid w:val="00136FBE"/>
    <w:rsid w:val="0013727D"/>
    <w:rsid w:val="00140CE7"/>
    <w:rsid w:val="00142C90"/>
    <w:rsid w:val="00143170"/>
    <w:rsid w:val="0014412E"/>
    <w:rsid w:val="00144591"/>
    <w:rsid w:val="00145776"/>
    <w:rsid w:val="001458DA"/>
    <w:rsid w:val="0014709A"/>
    <w:rsid w:val="00150DF6"/>
    <w:rsid w:val="0015122E"/>
    <w:rsid w:val="001515A8"/>
    <w:rsid w:val="001515C2"/>
    <w:rsid w:val="001518D4"/>
    <w:rsid w:val="00152F68"/>
    <w:rsid w:val="001535AF"/>
    <w:rsid w:val="00153C06"/>
    <w:rsid w:val="00154E89"/>
    <w:rsid w:val="0015500F"/>
    <w:rsid w:val="00155CEF"/>
    <w:rsid w:val="0015604C"/>
    <w:rsid w:val="0015619D"/>
    <w:rsid w:val="00157647"/>
    <w:rsid w:val="001611DE"/>
    <w:rsid w:val="00161259"/>
    <w:rsid w:val="0016162F"/>
    <w:rsid w:val="001616AC"/>
    <w:rsid w:val="00161AE1"/>
    <w:rsid w:val="00161D59"/>
    <w:rsid w:val="0016214A"/>
    <w:rsid w:val="001621CC"/>
    <w:rsid w:val="0016357E"/>
    <w:rsid w:val="00163853"/>
    <w:rsid w:val="0016389B"/>
    <w:rsid w:val="00164024"/>
    <w:rsid w:val="0016521D"/>
    <w:rsid w:val="00166AAC"/>
    <w:rsid w:val="00166C76"/>
    <w:rsid w:val="00167169"/>
    <w:rsid w:val="00167378"/>
    <w:rsid w:val="00170632"/>
    <w:rsid w:val="00171A69"/>
    <w:rsid w:val="00173163"/>
    <w:rsid w:val="0017391C"/>
    <w:rsid w:val="001739F5"/>
    <w:rsid w:val="00174887"/>
    <w:rsid w:val="001749BE"/>
    <w:rsid w:val="001753BB"/>
    <w:rsid w:val="00175BC7"/>
    <w:rsid w:val="0017644A"/>
    <w:rsid w:val="001764BC"/>
    <w:rsid w:val="001774A5"/>
    <w:rsid w:val="001805C3"/>
    <w:rsid w:val="0018092D"/>
    <w:rsid w:val="001813B7"/>
    <w:rsid w:val="00182E1E"/>
    <w:rsid w:val="0018387A"/>
    <w:rsid w:val="00183F8B"/>
    <w:rsid w:val="00183FD5"/>
    <w:rsid w:val="0018410D"/>
    <w:rsid w:val="001848F1"/>
    <w:rsid w:val="00184F32"/>
    <w:rsid w:val="00185094"/>
    <w:rsid w:val="001859D1"/>
    <w:rsid w:val="0018601C"/>
    <w:rsid w:val="00187007"/>
    <w:rsid w:val="0018736B"/>
    <w:rsid w:val="00187375"/>
    <w:rsid w:val="0019012A"/>
    <w:rsid w:val="00190184"/>
    <w:rsid w:val="00190D8B"/>
    <w:rsid w:val="0019110D"/>
    <w:rsid w:val="00192670"/>
    <w:rsid w:val="00192754"/>
    <w:rsid w:val="0019297F"/>
    <w:rsid w:val="00192C7B"/>
    <w:rsid w:val="00193E81"/>
    <w:rsid w:val="0019411F"/>
    <w:rsid w:val="00194457"/>
    <w:rsid w:val="00194559"/>
    <w:rsid w:val="00194BC5"/>
    <w:rsid w:val="00194C72"/>
    <w:rsid w:val="00194EA9"/>
    <w:rsid w:val="00195E14"/>
    <w:rsid w:val="00195E53"/>
    <w:rsid w:val="001961CD"/>
    <w:rsid w:val="001966B8"/>
    <w:rsid w:val="00196930"/>
    <w:rsid w:val="00196D8A"/>
    <w:rsid w:val="00197B48"/>
    <w:rsid w:val="001A15CC"/>
    <w:rsid w:val="001A1A2F"/>
    <w:rsid w:val="001A208B"/>
    <w:rsid w:val="001A20C3"/>
    <w:rsid w:val="001A267F"/>
    <w:rsid w:val="001A292E"/>
    <w:rsid w:val="001A2CAD"/>
    <w:rsid w:val="001A3A5D"/>
    <w:rsid w:val="001A3EA3"/>
    <w:rsid w:val="001A3F41"/>
    <w:rsid w:val="001A4D29"/>
    <w:rsid w:val="001A51A3"/>
    <w:rsid w:val="001A543B"/>
    <w:rsid w:val="001A54F0"/>
    <w:rsid w:val="001A572D"/>
    <w:rsid w:val="001A5F97"/>
    <w:rsid w:val="001A6E98"/>
    <w:rsid w:val="001A6FBC"/>
    <w:rsid w:val="001A7898"/>
    <w:rsid w:val="001A7AE9"/>
    <w:rsid w:val="001B0FBA"/>
    <w:rsid w:val="001B1A9C"/>
    <w:rsid w:val="001B41D2"/>
    <w:rsid w:val="001B482E"/>
    <w:rsid w:val="001B4F9E"/>
    <w:rsid w:val="001B56C5"/>
    <w:rsid w:val="001B5AB2"/>
    <w:rsid w:val="001B64C9"/>
    <w:rsid w:val="001B7796"/>
    <w:rsid w:val="001B781F"/>
    <w:rsid w:val="001B7B99"/>
    <w:rsid w:val="001C02B9"/>
    <w:rsid w:val="001C04F8"/>
    <w:rsid w:val="001C0540"/>
    <w:rsid w:val="001C0570"/>
    <w:rsid w:val="001C076B"/>
    <w:rsid w:val="001C07CF"/>
    <w:rsid w:val="001C1CC7"/>
    <w:rsid w:val="001C2A20"/>
    <w:rsid w:val="001C36E6"/>
    <w:rsid w:val="001C603A"/>
    <w:rsid w:val="001C680F"/>
    <w:rsid w:val="001C6C54"/>
    <w:rsid w:val="001C6DB7"/>
    <w:rsid w:val="001C7C96"/>
    <w:rsid w:val="001D07DE"/>
    <w:rsid w:val="001D0FAD"/>
    <w:rsid w:val="001D1C7C"/>
    <w:rsid w:val="001D1DE4"/>
    <w:rsid w:val="001D20B6"/>
    <w:rsid w:val="001D2DDA"/>
    <w:rsid w:val="001D45C8"/>
    <w:rsid w:val="001D54DA"/>
    <w:rsid w:val="001D5FCF"/>
    <w:rsid w:val="001D6213"/>
    <w:rsid w:val="001D7310"/>
    <w:rsid w:val="001D731A"/>
    <w:rsid w:val="001D77B6"/>
    <w:rsid w:val="001D7A5C"/>
    <w:rsid w:val="001E0339"/>
    <w:rsid w:val="001E0443"/>
    <w:rsid w:val="001E0502"/>
    <w:rsid w:val="001E12D0"/>
    <w:rsid w:val="001E161E"/>
    <w:rsid w:val="001E184A"/>
    <w:rsid w:val="001E18A6"/>
    <w:rsid w:val="001E1942"/>
    <w:rsid w:val="001E20EF"/>
    <w:rsid w:val="001E2122"/>
    <w:rsid w:val="001E3F55"/>
    <w:rsid w:val="001E41CC"/>
    <w:rsid w:val="001E5234"/>
    <w:rsid w:val="001E54D7"/>
    <w:rsid w:val="001E592C"/>
    <w:rsid w:val="001E6518"/>
    <w:rsid w:val="001E73AB"/>
    <w:rsid w:val="001E7466"/>
    <w:rsid w:val="001E7AA8"/>
    <w:rsid w:val="001E7D59"/>
    <w:rsid w:val="001E7DF3"/>
    <w:rsid w:val="001F0149"/>
    <w:rsid w:val="001F0648"/>
    <w:rsid w:val="001F0B09"/>
    <w:rsid w:val="001F22F5"/>
    <w:rsid w:val="001F2749"/>
    <w:rsid w:val="001F3299"/>
    <w:rsid w:val="001F37D3"/>
    <w:rsid w:val="001F3D8E"/>
    <w:rsid w:val="001F4991"/>
    <w:rsid w:val="001F6A02"/>
    <w:rsid w:val="001F7DAB"/>
    <w:rsid w:val="002006EE"/>
    <w:rsid w:val="00200E01"/>
    <w:rsid w:val="00200E1D"/>
    <w:rsid w:val="00201E27"/>
    <w:rsid w:val="00202204"/>
    <w:rsid w:val="00202F17"/>
    <w:rsid w:val="0020350D"/>
    <w:rsid w:val="00204935"/>
    <w:rsid w:val="00205398"/>
    <w:rsid w:val="00205715"/>
    <w:rsid w:val="00205A82"/>
    <w:rsid w:val="00205F3B"/>
    <w:rsid w:val="002070D9"/>
    <w:rsid w:val="002070E4"/>
    <w:rsid w:val="002100BF"/>
    <w:rsid w:val="00210841"/>
    <w:rsid w:val="002113EB"/>
    <w:rsid w:val="00211F7F"/>
    <w:rsid w:val="00212426"/>
    <w:rsid w:val="00212B0D"/>
    <w:rsid w:val="00214D61"/>
    <w:rsid w:val="00216488"/>
    <w:rsid w:val="00216D7A"/>
    <w:rsid w:val="00217221"/>
    <w:rsid w:val="002179C8"/>
    <w:rsid w:val="00220316"/>
    <w:rsid w:val="0022153A"/>
    <w:rsid w:val="00221B19"/>
    <w:rsid w:val="00221FE8"/>
    <w:rsid w:val="002232A8"/>
    <w:rsid w:val="0022390B"/>
    <w:rsid w:val="00223914"/>
    <w:rsid w:val="00223BCF"/>
    <w:rsid w:val="00224234"/>
    <w:rsid w:val="00226DD9"/>
    <w:rsid w:val="00227EDB"/>
    <w:rsid w:val="002309CA"/>
    <w:rsid w:val="00230AAF"/>
    <w:rsid w:val="002314B2"/>
    <w:rsid w:val="0023239D"/>
    <w:rsid w:val="00232646"/>
    <w:rsid w:val="0023273F"/>
    <w:rsid w:val="002328FC"/>
    <w:rsid w:val="0023339F"/>
    <w:rsid w:val="002338BF"/>
    <w:rsid w:val="00233959"/>
    <w:rsid w:val="00235401"/>
    <w:rsid w:val="002361B9"/>
    <w:rsid w:val="002369CF"/>
    <w:rsid w:val="00237F9F"/>
    <w:rsid w:val="002402CD"/>
    <w:rsid w:val="00240AB5"/>
    <w:rsid w:val="00240C82"/>
    <w:rsid w:val="002422EB"/>
    <w:rsid w:val="00243473"/>
    <w:rsid w:val="00243BE8"/>
    <w:rsid w:val="00243C87"/>
    <w:rsid w:val="002442D2"/>
    <w:rsid w:val="00244C21"/>
    <w:rsid w:val="00245709"/>
    <w:rsid w:val="00245C1A"/>
    <w:rsid w:val="00246505"/>
    <w:rsid w:val="002509F6"/>
    <w:rsid w:val="00250F99"/>
    <w:rsid w:val="00251300"/>
    <w:rsid w:val="00251950"/>
    <w:rsid w:val="00251CE0"/>
    <w:rsid w:val="00252021"/>
    <w:rsid w:val="00252048"/>
    <w:rsid w:val="0025228D"/>
    <w:rsid w:val="00252ADF"/>
    <w:rsid w:val="00252AE3"/>
    <w:rsid w:val="002532E1"/>
    <w:rsid w:val="00253778"/>
    <w:rsid w:val="00254307"/>
    <w:rsid w:val="00254942"/>
    <w:rsid w:val="002552E9"/>
    <w:rsid w:val="002559EF"/>
    <w:rsid w:val="00255AC9"/>
    <w:rsid w:val="002566EF"/>
    <w:rsid w:val="00256F64"/>
    <w:rsid w:val="00257C56"/>
    <w:rsid w:val="00260C08"/>
    <w:rsid w:val="00261372"/>
    <w:rsid w:val="00261D6A"/>
    <w:rsid w:val="002621D9"/>
    <w:rsid w:val="00262271"/>
    <w:rsid w:val="00262482"/>
    <w:rsid w:val="00262F02"/>
    <w:rsid w:val="002647F5"/>
    <w:rsid w:val="0026502F"/>
    <w:rsid w:val="00266970"/>
    <w:rsid w:val="00267109"/>
    <w:rsid w:val="0026739C"/>
    <w:rsid w:val="00267553"/>
    <w:rsid w:val="00267A66"/>
    <w:rsid w:val="00267C50"/>
    <w:rsid w:val="00267FFD"/>
    <w:rsid w:val="00271085"/>
    <w:rsid w:val="0027161E"/>
    <w:rsid w:val="002716C0"/>
    <w:rsid w:val="002729F3"/>
    <w:rsid w:val="002735BB"/>
    <w:rsid w:val="00273EB9"/>
    <w:rsid w:val="00274734"/>
    <w:rsid w:val="002755E1"/>
    <w:rsid w:val="00275978"/>
    <w:rsid w:val="00277562"/>
    <w:rsid w:val="00277BEB"/>
    <w:rsid w:val="002802DA"/>
    <w:rsid w:val="00281006"/>
    <w:rsid w:val="0028129B"/>
    <w:rsid w:val="002819A3"/>
    <w:rsid w:val="00281E58"/>
    <w:rsid w:val="00282121"/>
    <w:rsid w:val="002825C3"/>
    <w:rsid w:val="00282B3D"/>
    <w:rsid w:val="00282B48"/>
    <w:rsid w:val="0028322C"/>
    <w:rsid w:val="00284650"/>
    <w:rsid w:val="002852BA"/>
    <w:rsid w:val="00286AD2"/>
    <w:rsid w:val="00286D1C"/>
    <w:rsid w:val="002877BD"/>
    <w:rsid w:val="002904C6"/>
    <w:rsid w:val="00290BAA"/>
    <w:rsid w:val="00290C52"/>
    <w:rsid w:val="002926CC"/>
    <w:rsid w:val="002928DE"/>
    <w:rsid w:val="0029303A"/>
    <w:rsid w:val="00293256"/>
    <w:rsid w:val="0029430A"/>
    <w:rsid w:val="00294631"/>
    <w:rsid w:val="00294797"/>
    <w:rsid w:val="00295058"/>
    <w:rsid w:val="0029602C"/>
    <w:rsid w:val="00296426"/>
    <w:rsid w:val="00296660"/>
    <w:rsid w:val="002969CA"/>
    <w:rsid w:val="00296A7B"/>
    <w:rsid w:val="00296DD7"/>
    <w:rsid w:val="00296E9B"/>
    <w:rsid w:val="0029709A"/>
    <w:rsid w:val="002977B4"/>
    <w:rsid w:val="00297A0B"/>
    <w:rsid w:val="002A02F7"/>
    <w:rsid w:val="002A08A3"/>
    <w:rsid w:val="002A0CCA"/>
    <w:rsid w:val="002A1271"/>
    <w:rsid w:val="002A15B3"/>
    <w:rsid w:val="002A18F2"/>
    <w:rsid w:val="002A2B1B"/>
    <w:rsid w:val="002A4343"/>
    <w:rsid w:val="002A4DB2"/>
    <w:rsid w:val="002A533D"/>
    <w:rsid w:val="002A53EB"/>
    <w:rsid w:val="002A5B7E"/>
    <w:rsid w:val="002A6142"/>
    <w:rsid w:val="002A67D0"/>
    <w:rsid w:val="002A6FD7"/>
    <w:rsid w:val="002A733F"/>
    <w:rsid w:val="002A74F6"/>
    <w:rsid w:val="002A7555"/>
    <w:rsid w:val="002B0AD9"/>
    <w:rsid w:val="002B1472"/>
    <w:rsid w:val="002B1C24"/>
    <w:rsid w:val="002B2E2A"/>
    <w:rsid w:val="002B2E35"/>
    <w:rsid w:val="002B3632"/>
    <w:rsid w:val="002B3946"/>
    <w:rsid w:val="002B43CA"/>
    <w:rsid w:val="002B4969"/>
    <w:rsid w:val="002B53B1"/>
    <w:rsid w:val="002B5A9A"/>
    <w:rsid w:val="002B5D61"/>
    <w:rsid w:val="002B5FC4"/>
    <w:rsid w:val="002B703A"/>
    <w:rsid w:val="002B7096"/>
    <w:rsid w:val="002B7143"/>
    <w:rsid w:val="002B7265"/>
    <w:rsid w:val="002B7903"/>
    <w:rsid w:val="002B7C19"/>
    <w:rsid w:val="002C018F"/>
    <w:rsid w:val="002C0AA3"/>
    <w:rsid w:val="002C19A4"/>
    <w:rsid w:val="002C2119"/>
    <w:rsid w:val="002C3224"/>
    <w:rsid w:val="002C32C5"/>
    <w:rsid w:val="002C3338"/>
    <w:rsid w:val="002C33A1"/>
    <w:rsid w:val="002C3CF3"/>
    <w:rsid w:val="002C3EA0"/>
    <w:rsid w:val="002C3ED6"/>
    <w:rsid w:val="002C6329"/>
    <w:rsid w:val="002C78E4"/>
    <w:rsid w:val="002C7A34"/>
    <w:rsid w:val="002D11ED"/>
    <w:rsid w:val="002D133B"/>
    <w:rsid w:val="002D2259"/>
    <w:rsid w:val="002D2BB1"/>
    <w:rsid w:val="002D3999"/>
    <w:rsid w:val="002D40DA"/>
    <w:rsid w:val="002D4129"/>
    <w:rsid w:val="002D439B"/>
    <w:rsid w:val="002D4CBA"/>
    <w:rsid w:val="002D5C2D"/>
    <w:rsid w:val="002D5EE1"/>
    <w:rsid w:val="002D64AF"/>
    <w:rsid w:val="002D6C76"/>
    <w:rsid w:val="002D7537"/>
    <w:rsid w:val="002D7749"/>
    <w:rsid w:val="002E02B4"/>
    <w:rsid w:val="002E4790"/>
    <w:rsid w:val="002E5FD4"/>
    <w:rsid w:val="002E70EF"/>
    <w:rsid w:val="002E75E5"/>
    <w:rsid w:val="002E7C19"/>
    <w:rsid w:val="002F0949"/>
    <w:rsid w:val="002F0959"/>
    <w:rsid w:val="002F1469"/>
    <w:rsid w:val="002F1C40"/>
    <w:rsid w:val="002F2325"/>
    <w:rsid w:val="002F2C1F"/>
    <w:rsid w:val="002F3CA7"/>
    <w:rsid w:val="002F4451"/>
    <w:rsid w:val="002F5743"/>
    <w:rsid w:val="002F5E23"/>
    <w:rsid w:val="002F6525"/>
    <w:rsid w:val="002F7C23"/>
    <w:rsid w:val="0030117C"/>
    <w:rsid w:val="003011DE"/>
    <w:rsid w:val="00302130"/>
    <w:rsid w:val="00302501"/>
    <w:rsid w:val="00302817"/>
    <w:rsid w:val="00303665"/>
    <w:rsid w:val="00303CEA"/>
    <w:rsid w:val="00304649"/>
    <w:rsid w:val="00305BF2"/>
    <w:rsid w:val="00305C32"/>
    <w:rsid w:val="00305D99"/>
    <w:rsid w:val="00306245"/>
    <w:rsid w:val="003067AC"/>
    <w:rsid w:val="00307397"/>
    <w:rsid w:val="0031028C"/>
    <w:rsid w:val="00311015"/>
    <w:rsid w:val="00311428"/>
    <w:rsid w:val="00312375"/>
    <w:rsid w:val="00312773"/>
    <w:rsid w:val="003128B7"/>
    <w:rsid w:val="00312ED0"/>
    <w:rsid w:val="0031331F"/>
    <w:rsid w:val="00313600"/>
    <w:rsid w:val="003138A3"/>
    <w:rsid w:val="0031402A"/>
    <w:rsid w:val="00314CB2"/>
    <w:rsid w:val="00314D4F"/>
    <w:rsid w:val="00316F4D"/>
    <w:rsid w:val="00316FC6"/>
    <w:rsid w:val="003200F1"/>
    <w:rsid w:val="0032051B"/>
    <w:rsid w:val="00320B96"/>
    <w:rsid w:val="00320DAF"/>
    <w:rsid w:val="00321AC6"/>
    <w:rsid w:val="00322122"/>
    <w:rsid w:val="003228AF"/>
    <w:rsid w:val="00322944"/>
    <w:rsid w:val="00322DE1"/>
    <w:rsid w:val="00322F98"/>
    <w:rsid w:val="00323677"/>
    <w:rsid w:val="00323A58"/>
    <w:rsid w:val="00324356"/>
    <w:rsid w:val="00326836"/>
    <w:rsid w:val="00327097"/>
    <w:rsid w:val="0032713B"/>
    <w:rsid w:val="00330274"/>
    <w:rsid w:val="00330F1F"/>
    <w:rsid w:val="0033149E"/>
    <w:rsid w:val="00331F7F"/>
    <w:rsid w:val="00332E22"/>
    <w:rsid w:val="003332D4"/>
    <w:rsid w:val="003336EB"/>
    <w:rsid w:val="00333AC7"/>
    <w:rsid w:val="00335133"/>
    <w:rsid w:val="00335FB0"/>
    <w:rsid w:val="0033602F"/>
    <w:rsid w:val="00337345"/>
    <w:rsid w:val="00337EDF"/>
    <w:rsid w:val="003401FA"/>
    <w:rsid w:val="00340761"/>
    <w:rsid w:val="00340A35"/>
    <w:rsid w:val="0034114E"/>
    <w:rsid w:val="0034171E"/>
    <w:rsid w:val="0034207E"/>
    <w:rsid w:val="00342C2B"/>
    <w:rsid w:val="00342D3B"/>
    <w:rsid w:val="00343254"/>
    <w:rsid w:val="00344FA3"/>
    <w:rsid w:val="00345543"/>
    <w:rsid w:val="00345D69"/>
    <w:rsid w:val="003474E0"/>
    <w:rsid w:val="003478D7"/>
    <w:rsid w:val="00347E4E"/>
    <w:rsid w:val="00350069"/>
    <w:rsid w:val="00350145"/>
    <w:rsid w:val="00350663"/>
    <w:rsid w:val="003516DC"/>
    <w:rsid w:val="003516DF"/>
    <w:rsid w:val="00351BBB"/>
    <w:rsid w:val="0035204B"/>
    <w:rsid w:val="003523CC"/>
    <w:rsid w:val="00352430"/>
    <w:rsid w:val="003527BF"/>
    <w:rsid w:val="00352927"/>
    <w:rsid w:val="00352C2A"/>
    <w:rsid w:val="00352ED6"/>
    <w:rsid w:val="0035310A"/>
    <w:rsid w:val="003541DB"/>
    <w:rsid w:val="0035469F"/>
    <w:rsid w:val="00354A11"/>
    <w:rsid w:val="00354F0F"/>
    <w:rsid w:val="00354FFF"/>
    <w:rsid w:val="00355040"/>
    <w:rsid w:val="00355397"/>
    <w:rsid w:val="003557EB"/>
    <w:rsid w:val="003558C6"/>
    <w:rsid w:val="00355F85"/>
    <w:rsid w:val="0035604F"/>
    <w:rsid w:val="0035647A"/>
    <w:rsid w:val="00356FCA"/>
    <w:rsid w:val="00357B3A"/>
    <w:rsid w:val="0036069D"/>
    <w:rsid w:val="0036090C"/>
    <w:rsid w:val="00360C46"/>
    <w:rsid w:val="00361162"/>
    <w:rsid w:val="00361EE6"/>
    <w:rsid w:val="00362C99"/>
    <w:rsid w:val="003630D4"/>
    <w:rsid w:val="00364542"/>
    <w:rsid w:val="0036462D"/>
    <w:rsid w:val="003646EB"/>
    <w:rsid w:val="00365260"/>
    <w:rsid w:val="0036688C"/>
    <w:rsid w:val="003672D5"/>
    <w:rsid w:val="00367E51"/>
    <w:rsid w:val="0037040D"/>
    <w:rsid w:val="00370CF7"/>
    <w:rsid w:val="0037107D"/>
    <w:rsid w:val="00371790"/>
    <w:rsid w:val="00371979"/>
    <w:rsid w:val="003722D8"/>
    <w:rsid w:val="003727BA"/>
    <w:rsid w:val="00373423"/>
    <w:rsid w:val="0037421F"/>
    <w:rsid w:val="003747EB"/>
    <w:rsid w:val="00375197"/>
    <w:rsid w:val="00375768"/>
    <w:rsid w:val="0037677F"/>
    <w:rsid w:val="00376F87"/>
    <w:rsid w:val="003779AB"/>
    <w:rsid w:val="00377AD8"/>
    <w:rsid w:val="0038030B"/>
    <w:rsid w:val="00380580"/>
    <w:rsid w:val="00380853"/>
    <w:rsid w:val="0038196C"/>
    <w:rsid w:val="00383943"/>
    <w:rsid w:val="0038446E"/>
    <w:rsid w:val="00385149"/>
    <w:rsid w:val="00385659"/>
    <w:rsid w:val="00385B3D"/>
    <w:rsid w:val="00386112"/>
    <w:rsid w:val="00386FD7"/>
    <w:rsid w:val="00390D35"/>
    <w:rsid w:val="00391E7C"/>
    <w:rsid w:val="00393768"/>
    <w:rsid w:val="0039400D"/>
    <w:rsid w:val="00394372"/>
    <w:rsid w:val="00394D07"/>
    <w:rsid w:val="00395502"/>
    <w:rsid w:val="00396503"/>
    <w:rsid w:val="00396767"/>
    <w:rsid w:val="00396FF5"/>
    <w:rsid w:val="0039796A"/>
    <w:rsid w:val="003A0B8A"/>
    <w:rsid w:val="003A251B"/>
    <w:rsid w:val="003A39AE"/>
    <w:rsid w:val="003A3AAF"/>
    <w:rsid w:val="003A5462"/>
    <w:rsid w:val="003A58D7"/>
    <w:rsid w:val="003A5BE2"/>
    <w:rsid w:val="003A60E0"/>
    <w:rsid w:val="003A6592"/>
    <w:rsid w:val="003A6AE7"/>
    <w:rsid w:val="003A75B2"/>
    <w:rsid w:val="003B150B"/>
    <w:rsid w:val="003B225A"/>
    <w:rsid w:val="003B28F6"/>
    <w:rsid w:val="003B38CA"/>
    <w:rsid w:val="003B4718"/>
    <w:rsid w:val="003B4B06"/>
    <w:rsid w:val="003B4EC2"/>
    <w:rsid w:val="003B5CBC"/>
    <w:rsid w:val="003B668D"/>
    <w:rsid w:val="003B66BE"/>
    <w:rsid w:val="003B7CDE"/>
    <w:rsid w:val="003B7ED8"/>
    <w:rsid w:val="003C0544"/>
    <w:rsid w:val="003C0DAF"/>
    <w:rsid w:val="003C182C"/>
    <w:rsid w:val="003C18C9"/>
    <w:rsid w:val="003C1D05"/>
    <w:rsid w:val="003C24B1"/>
    <w:rsid w:val="003C2580"/>
    <w:rsid w:val="003C2A9A"/>
    <w:rsid w:val="003C3382"/>
    <w:rsid w:val="003C3422"/>
    <w:rsid w:val="003C3A8A"/>
    <w:rsid w:val="003C3AC3"/>
    <w:rsid w:val="003C5749"/>
    <w:rsid w:val="003C630F"/>
    <w:rsid w:val="003C64EE"/>
    <w:rsid w:val="003C672D"/>
    <w:rsid w:val="003C68DD"/>
    <w:rsid w:val="003C72E0"/>
    <w:rsid w:val="003C7FC4"/>
    <w:rsid w:val="003D009A"/>
    <w:rsid w:val="003D09BB"/>
    <w:rsid w:val="003D2171"/>
    <w:rsid w:val="003D2808"/>
    <w:rsid w:val="003D29BA"/>
    <w:rsid w:val="003D32CC"/>
    <w:rsid w:val="003D3CB4"/>
    <w:rsid w:val="003D4281"/>
    <w:rsid w:val="003D531E"/>
    <w:rsid w:val="003D539F"/>
    <w:rsid w:val="003D6C09"/>
    <w:rsid w:val="003D75AB"/>
    <w:rsid w:val="003E1BC5"/>
    <w:rsid w:val="003E1C91"/>
    <w:rsid w:val="003E28D1"/>
    <w:rsid w:val="003E2D0A"/>
    <w:rsid w:val="003E3D32"/>
    <w:rsid w:val="003E5465"/>
    <w:rsid w:val="003E66FA"/>
    <w:rsid w:val="003E775A"/>
    <w:rsid w:val="003E7FDF"/>
    <w:rsid w:val="003F0A29"/>
    <w:rsid w:val="003F0EC8"/>
    <w:rsid w:val="003F0FCF"/>
    <w:rsid w:val="003F0FFB"/>
    <w:rsid w:val="003F2EDE"/>
    <w:rsid w:val="003F345F"/>
    <w:rsid w:val="003F3A6F"/>
    <w:rsid w:val="003F42AB"/>
    <w:rsid w:val="003F5719"/>
    <w:rsid w:val="003F5D62"/>
    <w:rsid w:val="003F65BB"/>
    <w:rsid w:val="003F65DF"/>
    <w:rsid w:val="004002A0"/>
    <w:rsid w:val="00400E54"/>
    <w:rsid w:val="00400F89"/>
    <w:rsid w:val="00401A90"/>
    <w:rsid w:val="00401AA2"/>
    <w:rsid w:val="004022CF"/>
    <w:rsid w:val="00402646"/>
    <w:rsid w:val="00402976"/>
    <w:rsid w:val="00402AF8"/>
    <w:rsid w:val="00403D2D"/>
    <w:rsid w:val="004040B1"/>
    <w:rsid w:val="0040600C"/>
    <w:rsid w:val="004061C7"/>
    <w:rsid w:val="00406683"/>
    <w:rsid w:val="004073FE"/>
    <w:rsid w:val="00411289"/>
    <w:rsid w:val="00411C21"/>
    <w:rsid w:val="00411EFE"/>
    <w:rsid w:val="0041308D"/>
    <w:rsid w:val="004133D3"/>
    <w:rsid w:val="004135A7"/>
    <w:rsid w:val="00413D38"/>
    <w:rsid w:val="00414321"/>
    <w:rsid w:val="00414940"/>
    <w:rsid w:val="00414BAD"/>
    <w:rsid w:val="004154C4"/>
    <w:rsid w:val="00415CE3"/>
    <w:rsid w:val="0041673C"/>
    <w:rsid w:val="00416966"/>
    <w:rsid w:val="00416DDA"/>
    <w:rsid w:val="004176FB"/>
    <w:rsid w:val="00420547"/>
    <w:rsid w:val="00420F52"/>
    <w:rsid w:val="004212FE"/>
    <w:rsid w:val="00421CC9"/>
    <w:rsid w:val="00421D34"/>
    <w:rsid w:val="0042248D"/>
    <w:rsid w:val="0042259E"/>
    <w:rsid w:val="00423325"/>
    <w:rsid w:val="00423AC6"/>
    <w:rsid w:val="00423D1F"/>
    <w:rsid w:val="00423F21"/>
    <w:rsid w:val="00424E5D"/>
    <w:rsid w:val="00425709"/>
    <w:rsid w:val="00425B4B"/>
    <w:rsid w:val="00425D06"/>
    <w:rsid w:val="00426422"/>
    <w:rsid w:val="00427ADC"/>
    <w:rsid w:val="00430576"/>
    <w:rsid w:val="00431CEF"/>
    <w:rsid w:val="00431D29"/>
    <w:rsid w:val="0043206A"/>
    <w:rsid w:val="0043321F"/>
    <w:rsid w:val="004334F9"/>
    <w:rsid w:val="00434055"/>
    <w:rsid w:val="004340B4"/>
    <w:rsid w:val="004345E0"/>
    <w:rsid w:val="00435078"/>
    <w:rsid w:val="004352D9"/>
    <w:rsid w:val="004354B2"/>
    <w:rsid w:val="0043578F"/>
    <w:rsid w:val="00435912"/>
    <w:rsid w:val="00435D2A"/>
    <w:rsid w:val="004360EF"/>
    <w:rsid w:val="004371CE"/>
    <w:rsid w:val="00437F49"/>
    <w:rsid w:val="00440F2F"/>
    <w:rsid w:val="004420E4"/>
    <w:rsid w:val="00442524"/>
    <w:rsid w:val="00442653"/>
    <w:rsid w:val="004435D7"/>
    <w:rsid w:val="004438CC"/>
    <w:rsid w:val="004445D2"/>
    <w:rsid w:val="004447FB"/>
    <w:rsid w:val="00444B47"/>
    <w:rsid w:val="00444D24"/>
    <w:rsid w:val="00446012"/>
    <w:rsid w:val="004464B0"/>
    <w:rsid w:val="00447450"/>
    <w:rsid w:val="0045160C"/>
    <w:rsid w:val="00451624"/>
    <w:rsid w:val="0045239C"/>
    <w:rsid w:val="00453209"/>
    <w:rsid w:val="00454503"/>
    <w:rsid w:val="0045610C"/>
    <w:rsid w:val="0045700A"/>
    <w:rsid w:val="004571A1"/>
    <w:rsid w:val="00457377"/>
    <w:rsid w:val="00460CC1"/>
    <w:rsid w:val="00460F33"/>
    <w:rsid w:val="00462023"/>
    <w:rsid w:val="00463627"/>
    <w:rsid w:val="00463642"/>
    <w:rsid w:val="004639CA"/>
    <w:rsid w:val="00463A6C"/>
    <w:rsid w:val="00464E7F"/>
    <w:rsid w:val="0046526C"/>
    <w:rsid w:val="004652F9"/>
    <w:rsid w:val="00465FF4"/>
    <w:rsid w:val="004662CE"/>
    <w:rsid w:val="00466C1D"/>
    <w:rsid w:val="00466E7B"/>
    <w:rsid w:val="0046767D"/>
    <w:rsid w:val="00470BCE"/>
    <w:rsid w:val="004716F5"/>
    <w:rsid w:val="00471867"/>
    <w:rsid w:val="00471BFF"/>
    <w:rsid w:val="00472423"/>
    <w:rsid w:val="00472EB5"/>
    <w:rsid w:val="00472EB9"/>
    <w:rsid w:val="004730A5"/>
    <w:rsid w:val="0047369E"/>
    <w:rsid w:val="00474B50"/>
    <w:rsid w:val="004759A6"/>
    <w:rsid w:val="00475EC9"/>
    <w:rsid w:val="00476FD6"/>
    <w:rsid w:val="004771D3"/>
    <w:rsid w:val="00477606"/>
    <w:rsid w:val="00477BAE"/>
    <w:rsid w:val="00480523"/>
    <w:rsid w:val="00480680"/>
    <w:rsid w:val="004806FA"/>
    <w:rsid w:val="00480730"/>
    <w:rsid w:val="0048179D"/>
    <w:rsid w:val="00482A96"/>
    <w:rsid w:val="004831FB"/>
    <w:rsid w:val="004838CE"/>
    <w:rsid w:val="00485996"/>
    <w:rsid w:val="00485A14"/>
    <w:rsid w:val="00486663"/>
    <w:rsid w:val="004877F6"/>
    <w:rsid w:val="00487927"/>
    <w:rsid w:val="00487957"/>
    <w:rsid w:val="004900DE"/>
    <w:rsid w:val="00492775"/>
    <w:rsid w:val="004935BA"/>
    <w:rsid w:val="00493713"/>
    <w:rsid w:val="00494049"/>
    <w:rsid w:val="00494433"/>
    <w:rsid w:val="004947AD"/>
    <w:rsid w:val="00494AE1"/>
    <w:rsid w:val="00494E35"/>
    <w:rsid w:val="004954BF"/>
    <w:rsid w:val="004954C3"/>
    <w:rsid w:val="0049628D"/>
    <w:rsid w:val="0049657D"/>
    <w:rsid w:val="004A1299"/>
    <w:rsid w:val="004A2659"/>
    <w:rsid w:val="004A353D"/>
    <w:rsid w:val="004A3AC1"/>
    <w:rsid w:val="004A537F"/>
    <w:rsid w:val="004A55C2"/>
    <w:rsid w:val="004A5CFB"/>
    <w:rsid w:val="004A6116"/>
    <w:rsid w:val="004A6A75"/>
    <w:rsid w:val="004A7B39"/>
    <w:rsid w:val="004A7BF3"/>
    <w:rsid w:val="004A7CDE"/>
    <w:rsid w:val="004B0111"/>
    <w:rsid w:val="004B0226"/>
    <w:rsid w:val="004B0255"/>
    <w:rsid w:val="004B02E4"/>
    <w:rsid w:val="004B0474"/>
    <w:rsid w:val="004B09D7"/>
    <w:rsid w:val="004B22DC"/>
    <w:rsid w:val="004B288B"/>
    <w:rsid w:val="004B2F62"/>
    <w:rsid w:val="004B346A"/>
    <w:rsid w:val="004B3A39"/>
    <w:rsid w:val="004B4220"/>
    <w:rsid w:val="004B6772"/>
    <w:rsid w:val="004B6E46"/>
    <w:rsid w:val="004B7473"/>
    <w:rsid w:val="004B77C2"/>
    <w:rsid w:val="004B7956"/>
    <w:rsid w:val="004C050F"/>
    <w:rsid w:val="004C1D22"/>
    <w:rsid w:val="004C33A9"/>
    <w:rsid w:val="004C4416"/>
    <w:rsid w:val="004C53A1"/>
    <w:rsid w:val="004C671C"/>
    <w:rsid w:val="004C684D"/>
    <w:rsid w:val="004D0AF1"/>
    <w:rsid w:val="004D0F1E"/>
    <w:rsid w:val="004D1C24"/>
    <w:rsid w:val="004D2AD0"/>
    <w:rsid w:val="004D3032"/>
    <w:rsid w:val="004D365D"/>
    <w:rsid w:val="004D4328"/>
    <w:rsid w:val="004D45E8"/>
    <w:rsid w:val="004D5244"/>
    <w:rsid w:val="004D585A"/>
    <w:rsid w:val="004D5929"/>
    <w:rsid w:val="004D5CD6"/>
    <w:rsid w:val="004D5EA2"/>
    <w:rsid w:val="004D62C9"/>
    <w:rsid w:val="004D65B3"/>
    <w:rsid w:val="004D66BE"/>
    <w:rsid w:val="004E10A8"/>
    <w:rsid w:val="004E24C3"/>
    <w:rsid w:val="004E2FD0"/>
    <w:rsid w:val="004E3891"/>
    <w:rsid w:val="004E3D24"/>
    <w:rsid w:val="004E3E7B"/>
    <w:rsid w:val="004E4305"/>
    <w:rsid w:val="004E5C66"/>
    <w:rsid w:val="004E5D6D"/>
    <w:rsid w:val="004E5DD8"/>
    <w:rsid w:val="004E69DF"/>
    <w:rsid w:val="004E6FFB"/>
    <w:rsid w:val="004F00D7"/>
    <w:rsid w:val="004F04E8"/>
    <w:rsid w:val="004F0C17"/>
    <w:rsid w:val="004F12C2"/>
    <w:rsid w:val="004F1EE7"/>
    <w:rsid w:val="004F2FF5"/>
    <w:rsid w:val="004F3768"/>
    <w:rsid w:val="004F44DD"/>
    <w:rsid w:val="004F57CA"/>
    <w:rsid w:val="004F5AD0"/>
    <w:rsid w:val="004F5D85"/>
    <w:rsid w:val="004F621A"/>
    <w:rsid w:val="004F65E6"/>
    <w:rsid w:val="004F6908"/>
    <w:rsid w:val="004F75FE"/>
    <w:rsid w:val="004F7D47"/>
    <w:rsid w:val="004F7F3D"/>
    <w:rsid w:val="005005E3"/>
    <w:rsid w:val="005008F5"/>
    <w:rsid w:val="00500E93"/>
    <w:rsid w:val="00502844"/>
    <w:rsid w:val="00503E36"/>
    <w:rsid w:val="005044CE"/>
    <w:rsid w:val="00504999"/>
    <w:rsid w:val="0050548F"/>
    <w:rsid w:val="005065AF"/>
    <w:rsid w:val="00506B7C"/>
    <w:rsid w:val="00506D00"/>
    <w:rsid w:val="0050718B"/>
    <w:rsid w:val="00507574"/>
    <w:rsid w:val="00507935"/>
    <w:rsid w:val="00507C56"/>
    <w:rsid w:val="00507D4D"/>
    <w:rsid w:val="00507E00"/>
    <w:rsid w:val="00510025"/>
    <w:rsid w:val="00511628"/>
    <w:rsid w:val="00511B13"/>
    <w:rsid w:val="00512B46"/>
    <w:rsid w:val="00512FB0"/>
    <w:rsid w:val="0051390E"/>
    <w:rsid w:val="00513ECD"/>
    <w:rsid w:val="00514815"/>
    <w:rsid w:val="00514B12"/>
    <w:rsid w:val="00515080"/>
    <w:rsid w:val="00515093"/>
    <w:rsid w:val="005153A8"/>
    <w:rsid w:val="00515D09"/>
    <w:rsid w:val="005163AA"/>
    <w:rsid w:val="00516660"/>
    <w:rsid w:val="00516B16"/>
    <w:rsid w:val="005171C1"/>
    <w:rsid w:val="005171F8"/>
    <w:rsid w:val="00517D9E"/>
    <w:rsid w:val="00520808"/>
    <w:rsid w:val="0052190C"/>
    <w:rsid w:val="00522174"/>
    <w:rsid w:val="00522295"/>
    <w:rsid w:val="005226F7"/>
    <w:rsid w:val="00522B52"/>
    <w:rsid w:val="00523B44"/>
    <w:rsid w:val="0052565D"/>
    <w:rsid w:val="00525E1C"/>
    <w:rsid w:val="005279EE"/>
    <w:rsid w:val="00534FCB"/>
    <w:rsid w:val="00535025"/>
    <w:rsid w:val="00535936"/>
    <w:rsid w:val="00536B35"/>
    <w:rsid w:val="0053741D"/>
    <w:rsid w:val="0053745D"/>
    <w:rsid w:val="0053776E"/>
    <w:rsid w:val="00540191"/>
    <w:rsid w:val="0054052D"/>
    <w:rsid w:val="00540F4A"/>
    <w:rsid w:val="00541D8C"/>
    <w:rsid w:val="00542B5F"/>
    <w:rsid w:val="00542CAE"/>
    <w:rsid w:val="00542E03"/>
    <w:rsid w:val="00543EE4"/>
    <w:rsid w:val="00544AE5"/>
    <w:rsid w:val="00545D51"/>
    <w:rsid w:val="00545F27"/>
    <w:rsid w:val="005462B7"/>
    <w:rsid w:val="005462BD"/>
    <w:rsid w:val="00546F49"/>
    <w:rsid w:val="0054724E"/>
    <w:rsid w:val="0054795F"/>
    <w:rsid w:val="00547DFA"/>
    <w:rsid w:val="00550342"/>
    <w:rsid w:val="005518DF"/>
    <w:rsid w:val="005524F8"/>
    <w:rsid w:val="005535B9"/>
    <w:rsid w:val="0055361B"/>
    <w:rsid w:val="00553A69"/>
    <w:rsid w:val="00553F18"/>
    <w:rsid w:val="00555B3F"/>
    <w:rsid w:val="00555FB5"/>
    <w:rsid w:val="005560F8"/>
    <w:rsid w:val="00556A66"/>
    <w:rsid w:val="00557D6E"/>
    <w:rsid w:val="005610CF"/>
    <w:rsid w:val="00561C3E"/>
    <w:rsid w:val="00561EF2"/>
    <w:rsid w:val="005623BF"/>
    <w:rsid w:val="00562BD6"/>
    <w:rsid w:val="005630B8"/>
    <w:rsid w:val="00563C33"/>
    <w:rsid w:val="00563DC4"/>
    <w:rsid w:val="005641B1"/>
    <w:rsid w:val="0056493C"/>
    <w:rsid w:val="00564D2D"/>
    <w:rsid w:val="00564F7D"/>
    <w:rsid w:val="00565168"/>
    <w:rsid w:val="005654BB"/>
    <w:rsid w:val="00565647"/>
    <w:rsid w:val="00565BEA"/>
    <w:rsid w:val="00566286"/>
    <w:rsid w:val="0056630C"/>
    <w:rsid w:val="00566942"/>
    <w:rsid w:val="00567211"/>
    <w:rsid w:val="00570183"/>
    <w:rsid w:val="005704AA"/>
    <w:rsid w:val="00570720"/>
    <w:rsid w:val="005707CA"/>
    <w:rsid w:val="00570FF5"/>
    <w:rsid w:val="0057140C"/>
    <w:rsid w:val="00572877"/>
    <w:rsid w:val="00573093"/>
    <w:rsid w:val="0057350C"/>
    <w:rsid w:val="005744EE"/>
    <w:rsid w:val="00575A1A"/>
    <w:rsid w:val="00575E41"/>
    <w:rsid w:val="00575F8F"/>
    <w:rsid w:val="0057636A"/>
    <w:rsid w:val="005778CA"/>
    <w:rsid w:val="00580BA2"/>
    <w:rsid w:val="00581055"/>
    <w:rsid w:val="005811BD"/>
    <w:rsid w:val="005818ED"/>
    <w:rsid w:val="0058267A"/>
    <w:rsid w:val="00582BFF"/>
    <w:rsid w:val="00583935"/>
    <w:rsid w:val="00584055"/>
    <w:rsid w:val="005858EC"/>
    <w:rsid w:val="00585D03"/>
    <w:rsid w:val="00585DB6"/>
    <w:rsid w:val="00586434"/>
    <w:rsid w:val="00586DBA"/>
    <w:rsid w:val="005874B8"/>
    <w:rsid w:val="00587DB2"/>
    <w:rsid w:val="00590C0C"/>
    <w:rsid w:val="00590CC8"/>
    <w:rsid w:val="00591F94"/>
    <w:rsid w:val="00593221"/>
    <w:rsid w:val="005932AD"/>
    <w:rsid w:val="00593CEC"/>
    <w:rsid w:val="00594F79"/>
    <w:rsid w:val="005952DE"/>
    <w:rsid w:val="00595798"/>
    <w:rsid w:val="00595A63"/>
    <w:rsid w:val="005965B7"/>
    <w:rsid w:val="005969DC"/>
    <w:rsid w:val="00596C41"/>
    <w:rsid w:val="005973D9"/>
    <w:rsid w:val="00597A4B"/>
    <w:rsid w:val="00597FEC"/>
    <w:rsid w:val="005A1A2D"/>
    <w:rsid w:val="005A278A"/>
    <w:rsid w:val="005A28A7"/>
    <w:rsid w:val="005A3303"/>
    <w:rsid w:val="005A3CDE"/>
    <w:rsid w:val="005A582E"/>
    <w:rsid w:val="005A6A15"/>
    <w:rsid w:val="005A7789"/>
    <w:rsid w:val="005B0313"/>
    <w:rsid w:val="005B0538"/>
    <w:rsid w:val="005B08BE"/>
    <w:rsid w:val="005B0B2D"/>
    <w:rsid w:val="005B1C76"/>
    <w:rsid w:val="005B1DDF"/>
    <w:rsid w:val="005B420E"/>
    <w:rsid w:val="005B4C41"/>
    <w:rsid w:val="005B4FD0"/>
    <w:rsid w:val="005B56E2"/>
    <w:rsid w:val="005B6FCB"/>
    <w:rsid w:val="005B7164"/>
    <w:rsid w:val="005C1B0C"/>
    <w:rsid w:val="005C1BCE"/>
    <w:rsid w:val="005C35B5"/>
    <w:rsid w:val="005C3EA3"/>
    <w:rsid w:val="005C4B9E"/>
    <w:rsid w:val="005C52AC"/>
    <w:rsid w:val="005C5CF9"/>
    <w:rsid w:val="005C5EDB"/>
    <w:rsid w:val="005C5F19"/>
    <w:rsid w:val="005C7142"/>
    <w:rsid w:val="005C766E"/>
    <w:rsid w:val="005D0254"/>
    <w:rsid w:val="005D0274"/>
    <w:rsid w:val="005D0531"/>
    <w:rsid w:val="005D0730"/>
    <w:rsid w:val="005D0F41"/>
    <w:rsid w:val="005D12DD"/>
    <w:rsid w:val="005D4D19"/>
    <w:rsid w:val="005D66C4"/>
    <w:rsid w:val="005D70E3"/>
    <w:rsid w:val="005D7FB7"/>
    <w:rsid w:val="005E097E"/>
    <w:rsid w:val="005E3673"/>
    <w:rsid w:val="005E372E"/>
    <w:rsid w:val="005E37A7"/>
    <w:rsid w:val="005E3C6A"/>
    <w:rsid w:val="005E3D23"/>
    <w:rsid w:val="005E4ED1"/>
    <w:rsid w:val="005E5A13"/>
    <w:rsid w:val="005E62CC"/>
    <w:rsid w:val="005E7BE1"/>
    <w:rsid w:val="005E7E47"/>
    <w:rsid w:val="005F0F55"/>
    <w:rsid w:val="005F244E"/>
    <w:rsid w:val="005F28C0"/>
    <w:rsid w:val="005F2D1E"/>
    <w:rsid w:val="005F3243"/>
    <w:rsid w:val="005F349E"/>
    <w:rsid w:val="005F399D"/>
    <w:rsid w:val="005F3F04"/>
    <w:rsid w:val="005F48FE"/>
    <w:rsid w:val="005F50E8"/>
    <w:rsid w:val="005F5686"/>
    <w:rsid w:val="005F5F6D"/>
    <w:rsid w:val="005F6A4B"/>
    <w:rsid w:val="005F72AC"/>
    <w:rsid w:val="005F72E1"/>
    <w:rsid w:val="0060062C"/>
    <w:rsid w:val="00600C22"/>
    <w:rsid w:val="0060125A"/>
    <w:rsid w:val="00601AAB"/>
    <w:rsid w:val="006029F4"/>
    <w:rsid w:val="0060329D"/>
    <w:rsid w:val="0060384B"/>
    <w:rsid w:val="00603D40"/>
    <w:rsid w:val="0060521D"/>
    <w:rsid w:val="00605780"/>
    <w:rsid w:val="006071D7"/>
    <w:rsid w:val="006071FF"/>
    <w:rsid w:val="00607B03"/>
    <w:rsid w:val="006102A7"/>
    <w:rsid w:val="0061227C"/>
    <w:rsid w:val="00612E78"/>
    <w:rsid w:val="00613103"/>
    <w:rsid w:val="00613269"/>
    <w:rsid w:val="006132A5"/>
    <w:rsid w:val="00614085"/>
    <w:rsid w:val="0061494E"/>
    <w:rsid w:val="006152C0"/>
    <w:rsid w:val="00615F11"/>
    <w:rsid w:val="00617B96"/>
    <w:rsid w:val="006204AE"/>
    <w:rsid w:val="0062062A"/>
    <w:rsid w:val="0062168F"/>
    <w:rsid w:val="0062194B"/>
    <w:rsid w:val="006222F3"/>
    <w:rsid w:val="00623357"/>
    <w:rsid w:val="006242B6"/>
    <w:rsid w:val="006243C1"/>
    <w:rsid w:val="006244C7"/>
    <w:rsid w:val="00625943"/>
    <w:rsid w:val="0062622B"/>
    <w:rsid w:val="00627034"/>
    <w:rsid w:val="00627CF3"/>
    <w:rsid w:val="00627D1B"/>
    <w:rsid w:val="006301A3"/>
    <w:rsid w:val="00630E76"/>
    <w:rsid w:val="00631234"/>
    <w:rsid w:val="00631ADC"/>
    <w:rsid w:val="00633206"/>
    <w:rsid w:val="006353C4"/>
    <w:rsid w:val="00635B4D"/>
    <w:rsid w:val="00635D72"/>
    <w:rsid w:val="00636142"/>
    <w:rsid w:val="00636240"/>
    <w:rsid w:val="006362EA"/>
    <w:rsid w:val="0063653E"/>
    <w:rsid w:val="00636D33"/>
    <w:rsid w:val="006373CB"/>
    <w:rsid w:val="00637452"/>
    <w:rsid w:val="006375B9"/>
    <w:rsid w:val="0063794A"/>
    <w:rsid w:val="00637FA8"/>
    <w:rsid w:val="00640752"/>
    <w:rsid w:val="006411D5"/>
    <w:rsid w:val="006415D7"/>
    <w:rsid w:val="0064304D"/>
    <w:rsid w:val="00644C94"/>
    <w:rsid w:val="006459BA"/>
    <w:rsid w:val="0064600E"/>
    <w:rsid w:val="006471C2"/>
    <w:rsid w:val="006474A1"/>
    <w:rsid w:val="00650AF9"/>
    <w:rsid w:val="00650C28"/>
    <w:rsid w:val="00651218"/>
    <w:rsid w:val="006520F2"/>
    <w:rsid w:val="00652553"/>
    <w:rsid w:val="006525C7"/>
    <w:rsid w:val="006525CC"/>
    <w:rsid w:val="006531BD"/>
    <w:rsid w:val="00653520"/>
    <w:rsid w:val="00654525"/>
    <w:rsid w:val="006552B1"/>
    <w:rsid w:val="00655A7F"/>
    <w:rsid w:val="00655D43"/>
    <w:rsid w:val="00656BD1"/>
    <w:rsid w:val="0066021A"/>
    <w:rsid w:val="006612F0"/>
    <w:rsid w:val="00661434"/>
    <w:rsid w:val="006618EC"/>
    <w:rsid w:val="00663610"/>
    <w:rsid w:val="0066386D"/>
    <w:rsid w:val="006641EF"/>
    <w:rsid w:val="006648F7"/>
    <w:rsid w:val="00664F49"/>
    <w:rsid w:val="00665972"/>
    <w:rsid w:val="00666F9C"/>
    <w:rsid w:val="00670948"/>
    <w:rsid w:val="00671207"/>
    <w:rsid w:val="00672549"/>
    <w:rsid w:val="00674131"/>
    <w:rsid w:val="00674296"/>
    <w:rsid w:val="0067434F"/>
    <w:rsid w:val="00674C1B"/>
    <w:rsid w:val="00674D92"/>
    <w:rsid w:val="00675935"/>
    <w:rsid w:val="00675A51"/>
    <w:rsid w:val="00675F64"/>
    <w:rsid w:val="006763BC"/>
    <w:rsid w:val="006763CE"/>
    <w:rsid w:val="00676D8C"/>
    <w:rsid w:val="00677A8F"/>
    <w:rsid w:val="00677DD8"/>
    <w:rsid w:val="006801D0"/>
    <w:rsid w:val="00680C31"/>
    <w:rsid w:val="00681D35"/>
    <w:rsid w:val="00682074"/>
    <w:rsid w:val="00682557"/>
    <w:rsid w:val="00683110"/>
    <w:rsid w:val="0068385A"/>
    <w:rsid w:val="00683E27"/>
    <w:rsid w:val="00683E5C"/>
    <w:rsid w:val="00685244"/>
    <w:rsid w:val="0068541C"/>
    <w:rsid w:val="006863EA"/>
    <w:rsid w:val="00686F6B"/>
    <w:rsid w:val="00687127"/>
    <w:rsid w:val="00687420"/>
    <w:rsid w:val="0068742D"/>
    <w:rsid w:val="0068768E"/>
    <w:rsid w:val="00687F63"/>
    <w:rsid w:val="00687FFA"/>
    <w:rsid w:val="00690220"/>
    <w:rsid w:val="00690711"/>
    <w:rsid w:val="00690883"/>
    <w:rsid w:val="00690A49"/>
    <w:rsid w:val="00690D25"/>
    <w:rsid w:val="00693547"/>
    <w:rsid w:val="00693584"/>
    <w:rsid w:val="00693E2B"/>
    <w:rsid w:val="00694341"/>
    <w:rsid w:val="00694BF3"/>
    <w:rsid w:val="00694DAB"/>
    <w:rsid w:val="00695913"/>
    <w:rsid w:val="00695992"/>
    <w:rsid w:val="00695A45"/>
    <w:rsid w:val="00695C05"/>
    <w:rsid w:val="0069625C"/>
    <w:rsid w:val="00696328"/>
    <w:rsid w:val="00696A8F"/>
    <w:rsid w:val="00697266"/>
    <w:rsid w:val="006973C7"/>
    <w:rsid w:val="006979B0"/>
    <w:rsid w:val="00697E1A"/>
    <w:rsid w:val="006A0381"/>
    <w:rsid w:val="006A1175"/>
    <w:rsid w:val="006A1A65"/>
    <w:rsid w:val="006A207B"/>
    <w:rsid w:val="006A2538"/>
    <w:rsid w:val="006A3752"/>
    <w:rsid w:val="006A492B"/>
    <w:rsid w:val="006A4DDE"/>
    <w:rsid w:val="006A60FB"/>
    <w:rsid w:val="006A6508"/>
    <w:rsid w:val="006A6788"/>
    <w:rsid w:val="006A6C42"/>
    <w:rsid w:val="006A7D46"/>
    <w:rsid w:val="006B1227"/>
    <w:rsid w:val="006B2619"/>
    <w:rsid w:val="006B28C8"/>
    <w:rsid w:val="006B29C4"/>
    <w:rsid w:val="006B360F"/>
    <w:rsid w:val="006B372D"/>
    <w:rsid w:val="006B39F0"/>
    <w:rsid w:val="006B3C66"/>
    <w:rsid w:val="006B4F70"/>
    <w:rsid w:val="006B5992"/>
    <w:rsid w:val="006B59AE"/>
    <w:rsid w:val="006B6F40"/>
    <w:rsid w:val="006B757B"/>
    <w:rsid w:val="006C0601"/>
    <w:rsid w:val="006C21F8"/>
    <w:rsid w:val="006C241D"/>
    <w:rsid w:val="006C25CD"/>
    <w:rsid w:val="006C3688"/>
    <w:rsid w:val="006C5FA6"/>
    <w:rsid w:val="006C6734"/>
    <w:rsid w:val="006C69C1"/>
    <w:rsid w:val="006C6D27"/>
    <w:rsid w:val="006C6D9A"/>
    <w:rsid w:val="006C6E1D"/>
    <w:rsid w:val="006C7416"/>
    <w:rsid w:val="006D0BE7"/>
    <w:rsid w:val="006D0E58"/>
    <w:rsid w:val="006D180B"/>
    <w:rsid w:val="006D1BE5"/>
    <w:rsid w:val="006D1BF5"/>
    <w:rsid w:val="006D2DFF"/>
    <w:rsid w:val="006D333C"/>
    <w:rsid w:val="006D4491"/>
    <w:rsid w:val="006D4D14"/>
    <w:rsid w:val="006D4E95"/>
    <w:rsid w:val="006D5092"/>
    <w:rsid w:val="006D51D2"/>
    <w:rsid w:val="006D5618"/>
    <w:rsid w:val="006D58B1"/>
    <w:rsid w:val="006E0DB1"/>
    <w:rsid w:val="006E1CEE"/>
    <w:rsid w:val="006E1FFE"/>
    <w:rsid w:val="006E3503"/>
    <w:rsid w:val="006E359B"/>
    <w:rsid w:val="006E3E07"/>
    <w:rsid w:val="006E428F"/>
    <w:rsid w:val="006E4729"/>
    <w:rsid w:val="006E4B92"/>
    <w:rsid w:val="006E6D65"/>
    <w:rsid w:val="006E7797"/>
    <w:rsid w:val="006E7C93"/>
    <w:rsid w:val="006E7E25"/>
    <w:rsid w:val="006E7EE4"/>
    <w:rsid w:val="006F030E"/>
    <w:rsid w:val="006F29CB"/>
    <w:rsid w:val="006F29FD"/>
    <w:rsid w:val="006F2A0C"/>
    <w:rsid w:val="006F2A30"/>
    <w:rsid w:val="006F2B1C"/>
    <w:rsid w:val="006F32D4"/>
    <w:rsid w:val="006F3B4D"/>
    <w:rsid w:val="006F3FFF"/>
    <w:rsid w:val="006F44C5"/>
    <w:rsid w:val="006F4CEC"/>
    <w:rsid w:val="006F50A6"/>
    <w:rsid w:val="006F53D6"/>
    <w:rsid w:val="006F5871"/>
    <w:rsid w:val="006F5EA8"/>
    <w:rsid w:val="006F63F1"/>
    <w:rsid w:val="006F6F5E"/>
    <w:rsid w:val="006F76B9"/>
    <w:rsid w:val="00702E17"/>
    <w:rsid w:val="007030BE"/>
    <w:rsid w:val="00703A75"/>
    <w:rsid w:val="0070417A"/>
    <w:rsid w:val="00704B3E"/>
    <w:rsid w:val="0070507E"/>
    <w:rsid w:val="00705823"/>
    <w:rsid w:val="00705D9E"/>
    <w:rsid w:val="0070674A"/>
    <w:rsid w:val="007067E9"/>
    <w:rsid w:val="007069F3"/>
    <w:rsid w:val="00706B4A"/>
    <w:rsid w:val="00706F50"/>
    <w:rsid w:val="00707063"/>
    <w:rsid w:val="007072FC"/>
    <w:rsid w:val="0070748C"/>
    <w:rsid w:val="00710C12"/>
    <w:rsid w:val="00710FD2"/>
    <w:rsid w:val="00711861"/>
    <w:rsid w:val="007121FE"/>
    <w:rsid w:val="00712B42"/>
    <w:rsid w:val="007130EE"/>
    <w:rsid w:val="00713204"/>
    <w:rsid w:val="00713AF1"/>
    <w:rsid w:val="00713F72"/>
    <w:rsid w:val="00715596"/>
    <w:rsid w:val="0072053C"/>
    <w:rsid w:val="00721788"/>
    <w:rsid w:val="00721CA4"/>
    <w:rsid w:val="00721E1D"/>
    <w:rsid w:val="00722373"/>
    <w:rsid w:val="0072237B"/>
    <w:rsid w:val="007228C1"/>
    <w:rsid w:val="00722B32"/>
    <w:rsid w:val="00723A08"/>
    <w:rsid w:val="00723E44"/>
    <w:rsid w:val="00724178"/>
    <w:rsid w:val="007246C0"/>
    <w:rsid w:val="00724B22"/>
    <w:rsid w:val="00725443"/>
    <w:rsid w:val="0072562F"/>
    <w:rsid w:val="00725AB8"/>
    <w:rsid w:val="00725D5A"/>
    <w:rsid w:val="00725F83"/>
    <w:rsid w:val="007262C9"/>
    <w:rsid w:val="00726724"/>
    <w:rsid w:val="00726DBD"/>
    <w:rsid w:val="007308C3"/>
    <w:rsid w:val="00731053"/>
    <w:rsid w:val="0073123B"/>
    <w:rsid w:val="00731400"/>
    <w:rsid w:val="00731557"/>
    <w:rsid w:val="00731567"/>
    <w:rsid w:val="00732844"/>
    <w:rsid w:val="00732BF5"/>
    <w:rsid w:val="00732C0B"/>
    <w:rsid w:val="0073324D"/>
    <w:rsid w:val="00735423"/>
    <w:rsid w:val="0073544B"/>
    <w:rsid w:val="00736E1C"/>
    <w:rsid w:val="007377EA"/>
    <w:rsid w:val="0073797A"/>
    <w:rsid w:val="0074127C"/>
    <w:rsid w:val="0074139E"/>
    <w:rsid w:val="007425A6"/>
    <w:rsid w:val="007438A8"/>
    <w:rsid w:val="00743F0A"/>
    <w:rsid w:val="00744BAF"/>
    <w:rsid w:val="007459E9"/>
    <w:rsid w:val="0074632B"/>
    <w:rsid w:val="00746A40"/>
    <w:rsid w:val="007472E4"/>
    <w:rsid w:val="007474D2"/>
    <w:rsid w:val="007476F6"/>
    <w:rsid w:val="00747F7E"/>
    <w:rsid w:val="0075014B"/>
    <w:rsid w:val="00750E8B"/>
    <w:rsid w:val="00750FED"/>
    <w:rsid w:val="00751504"/>
    <w:rsid w:val="00751A5D"/>
    <w:rsid w:val="00752E61"/>
    <w:rsid w:val="007535D6"/>
    <w:rsid w:val="0075414E"/>
    <w:rsid w:val="00754B41"/>
    <w:rsid w:val="00754EF5"/>
    <w:rsid w:val="007553CC"/>
    <w:rsid w:val="007557E1"/>
    <w:rsid w:val="00755CE5"/>
    <w:rsid w:val="007579EB"/>
    <w:rsid w:val="00757B4E"/>
    <w:rsid w:val="00760F23"/>
    <w:rsid w:val="007615D4"/>
    <w:rsid w:val="007620D7"/>
    <w:rsid w:val="00762B8C"/>
    <w:rsid w:val="007634B8"/>
    <w:rsid w:val="00763CD2"/>
    <w:rsid w:val="00763D2B"/>
    <w:rsid w:val="007652ED"/>
    <w:rsid w:val="007670F4"/>
    <w:rsid w:val="007676AF"/>
    <w:rsid w:val="00767EDE"/>
    <w:rsid w:val="00770DE0"/>
    <w:rsid w:val="00770FA1"/>
    <w:rsid w:val="00771275"/>
    <w:rsid w:val="00771D68"/>
    <w:rsid w:val="00772902"/>
    <w:rsid w:val="00773501"/>
    <w:rsid w:val="00773714"/>
    <w:rsid w:val="0077375C"/>
    <w:rsid w:val="0077396F"/>
    <w:rsid w:val="00774387"/>
    <w:rsid w:val="007744C2"/>
    <w:rsid w:val="0077466F"/>
    <w:rsid w:val="0077503D"/>
    <w:rsid w:val="00775B2C"/>
    <w:rsid w:val="00776816"/>
    <w:rsid w:val="007768B6"/>
    <w:rsid w:val="007776B0"/>
    <w:rsid w:val="00780E53"/>
    <w:rsid w:val="0078107B"/>
    <w:rsid w:val="00781545"/>
    <w:rsid w:val="00781F8B"/>
    <w:rsid w:val="00782173"/>
    <w:rsid w:val="00782C1B"/>
    <w:rsid w:val="00782C79"/>
    <w:rsid w:val="0078388C"/>
    <w:rsid w:val="00783A56"/>
    <w:rsid w:val="00783B80"/>
    <w:rsid w:val="007840ED"/>
    <w:rsid w:val="00785C64"/>
    <w:rsid w:val="00786B63"/>
    <w:rsid w:val="00787C56"/>
    <w:rsid w:val="007902C8"/>
    <w:rsid w:val="007916F8"/>
    <w:rsid w:val="00793013"/>
    <w:rsid w:val="00793447"/>
    <w:rsid w:val="0079381C"/>
    <w:rsid w:val="007938AF"/>
    <w:rsid w:val="00793FA8"/>
    <w:rsid w:val="00794050"/>
    <w:rsid w:val="00794C79"/>
    <w:rsid w:val="00794D8A"/>
    <w:rsid w:val="007958C2"/>
    <w:rsid w:val="00796004"/>
    <w:rsid w:val="00796D7A"/>
    <w:rsid w:val="00796E44"/>
    <w:rsid w:val="00797781"/>
    <w:rsid w:val="007A0257"/>
    <w:rsid w:val="007A08D7"/>
    <w:rsid w:val="007A09BE"/>
    <w:rsid w:val="007A13CC"/>
    <w:rsid w:val="007A2034"/>
    <w:rsid w:val="007A29FC"/>
    <w:rsid w:val="007A37ED"/>
    <w:rsid w:val="007A3CCE"/>
    <w:rsid w:val="007A4B8C"/>
    <w:rsid w:val="007A4ECA"/>
    <w:rsid w:val="007A512F"/>
    <w:rsid w:val="007A5AF9"/>
    <w:rsid w:val="007A7028"/>
    <w:rsid w:val="007A7126"/>
    <w:rsid w:val="007A7DCF"/>
    <w:rsid w:val="007A7E4E"/>
    <w:rsid w:val="007B016C"/>
    <w:rsid w:val="007B0517"/>
    <w:rsid w:val="007B068D"/>
    <w:rsid w:val="007B1833"/>
    <w:rsid w:val="007B19A4"/>
    <w:rsid w:val="007B1E77"/>
    <w:rsid w:val="007B23AD"/>
    <w:rsid w:val="007B27A5"/>
    <w:rsid w:val="007B28EC"/>
    <w:rsid w:val="007B390B"/>
    <w:rsid w:val="007B3E80"/>
    <w:rsid w:val="007B3EFE"/>
    <w:rsid w:val="007B443B"/>
    <w:rsid w:val="007B492B"/>
    <w:rsid w:val="007B49EE"/>
    <w:rsid w:val="007B4B85"/>
    <w:rsid w:val="007B5871"/>
    <w:rsid w:val="007B5F26"/>
    <w:rsid w:val="007B6910"/>
    <w:rsid w:val="007B72F3"/>
    <w:rsid w:val="007C03A3"/>
    <w:rsid w:val="007C0D1E"/>
    <w:rsid w:val="007C11CF"/>
    <w:rsid w:val="007C14A6"/>
    <w:rsid w:val="007C28A0"/>
    <w:rsid w:val="007C388E"/>
    <w:rsid w:val="007C40C3"/>
    <w:rsid w:val="007C4749"/>
    <w:rsid w:val="007C4799"/>
    <w:rsid w:val="007C48F1"/>
    <w:rsid w:val="007C4D18"/>
    <w:rsid w:val="007C55AD"/>
    <w:rsid w:val="007C586E"/>
    <w:rsid w:val="007C5C92"/>
    <w:rsid w:val="007C5FFA"/>
    <w:rsid w:val="007C7EA3"/>
    <w:rsid w:val="007C7EAA"/>
    <w:rsid w:val="007C7F41"/>
    <w:rsid w:val="007D14D0"/>
    <w:rsid w:val="007D17C6"/>
    <w:rsid w:val="007D1AD9"/>
    <w:rsid w:val="007D1D4B"/>
    <w:rsid w:val="007D1E06"/>
    <w:rsid w:val="007D2BA7"/>
    <w:rsid w:val="007D3BCE"/>
    <w:rsid w:val="007D4475"/>
    <w:rsid w:val="007D4F02"/>
    <w:rsid w:val="007D540B"/>
    <w:rsid w:val="007D5832"/>
    <w:rsid w:val="007D5B91"/>
    <w:rsid w:val="007D71B1"/>
    <w:rsid w:val="007D7B40"/>
    <w:rsid w:val="007E022B"/>
    <w:rsid w:val="007E0797"/>
    <w:rsid w:val="007E10FA"/>
    <w:rsid w:val="007E1909"/>
    <w:rsid w:val="007E1C5F"/>
    <w:rsid w:val="007E2CC4"/>
    <w:rsid w:val="007E2E9B"/>
    <w:rsid w:val="007E30FB"/>
    <w:rsid w:val="007E3238"/>
    <w:rsid w:val="007E3E4A"/>
    <w:rsid w:val="007E429D"/>
    <w:rsid w:val="007E4871"/>
    <w:rsid w:val="007E4959"/>
    <w:rsid w:val="007E5AA7"/>
    <w:rsid w:val="007E6AB1"/>
    <w:rsid w:val="007E6BB7"/>
    <w:rsid w:val="007E721A"/>
    <w:rsid w:val="007F0485"/>
    <w:rsid w:val="007F0559"/>
    <w:rsid w:val="007F137E"/>
    <w:rsid w:val="007F1878"/>
    <w:rsid w:val="007F1FB9"/>
    <w:rsid w:val="007F1FD8"/>
    <w:rsid w:val="007F206A"/>
    <w:rsid w:val="007F2CDB"/>
    <w:rsid w:val="007F436F"/>
    <w:rsid w:val="007F4CE4"/>
    <w:rsid w:val="007F51E0"/>
    <w:rsid w:val="007F5E02"/>
    <w:rsid w:val="007F6970"/>
    <w:rsid w:val="007F6BFE"/>
    <w:rsid w:val="007F7280"/>
    <w:rsid w:val="007F74E2"/>
    <w:rsid w:val="007F788B"/>
    <w:rsid w:val="007F7B21"/>
    <w:rsid w:val="00800DAA"/>
    <w:rsid w:val="00800F5F"/>
    <w:rsid w:val="00801445"/>
    <w:rsid w:val="008018A3"/>
    <w:rsid w:val="0080216C"/>
    <w:rsid w:val="008021CC"/>
    <w:rsid w:val="008033F9"/>
    <w:rsid w:val="00803C65"/>
    <w:rsid w:val="00804C42"/>
    <w:rsid w:val="00807420"/>
    <w:rsid w:val="00810CB0"/>
    <w:rsid w:val="00810E93"/>
    <w:rsid w:val="00811269"/>
    <w:rsid w:val="008113A1"/>
    <w:rsid w:val="008116A1"/>
    <w:rsid w:val="00812A90"/>
    <w:rsid w:val="008131F1"/>
    <w:rsid w:val="00813A81"/>
    <w:rsid w:val="00813ABA"/>
    <w:rsid w:val="00813FAA"/>
    <w:rsid w:val="008145B7"/>
    <w:rsid w:val="00814704"/>
    <w:rsid w:val="00814B96"/>
    <w:rsid w:val="00815FFA"/>
    <w:rsid w:val="00816BA9"/>
    <w:rsid w:val="00817504"/>
    <w:rsid w:val="00817573"/>
    <w:rsid w:val="00820A38"/>
    <w:rsid w:val="0082111C"/>
    <w:rsid w:val="00821B48"/>
    <w:rsid w:val="00821DBB"/>
    <w:rsid w:val="00822672"/>
    <w:rsid w:val="00822ECC"/>
    <w:rsid w:val="008237FC"/>
    <w:rsid w:val="00824C95"/>
    <w:rsid w:val="00824D2E"/>
    <w:rsid w:val="00825E6B"/>
    <w:rsid w:val="0082667E"/>
    <w:rsid w:val="00826DDC"/>
    <w:rsid w:val="00827D3B"/>
    <w:rsid w:val="00827EB3"/>
    <w:rsid w:val="00827F37"/>
    <w:rsid w:val="00831CAD"/>
    <w:rsid w:val="00832367"/>
    <w:rsid w:val="0083356C"/>
    <w:rsid w:val="00834D41"/>
    <w:rsid w:val="0083586A"/>
    <w:rsid w:val="008358EA"/>
    <w:rsid w:val="00835E71"/>
    <w:rsid w:val="0083723B"/>
    <w:rsid w:val="00837312"/>
    <w:rsid w:val="00837A4D"/>
    <w:rsid w:val="0084099F"/>
    <w:rsid w:val="008410FC"/>
    <w:rsid w:val="00841692"/>
    <w:rsid w:val="008423D1"/>
    <w:rsid w:val="00842476"/>
    <w:rsid w:val="008430B7"/>
    <w:rsid w:val="0084375E"/>
    <w:rsid w:val="008443AD"/>
    <w:rsid w:val="00844673"/>
    <w:rsid w:val="008453AB"/>
    <w:rsid w:val="00845557"/>
    <w:rsid w:val="00845CA9"/>
    <w:rsid w:val="00845FD6"/>
    <w:rsid w:val="00846D67"/>
    <w:rsid w:val="00846DC0"/>
    <w:rsid w:val="00850E5B"/>
    <w:rsid w:val="00851546"/>
    <w:rsid w:val="0085198A"/>
    <w:rsid w:val="00852B2B"/>
    <w:rsid w:val="00852D28"/>
    <w:rsid w:val="00853102"/>
    <w:rsid w:val="00853552"/>
    <w:rsid w:val="00853CA2"/>
    <w:rsid w:val="00854072"/>
    <w:rsid w:val="00854715"/>
    <w:rsid w:val="0085484D"/>
    <w:rsid w:val="00855144"/>
    <w:rsid w:val="00855582"/>
    <w:rsid w:val="00855A14"/>
    <w:rsid w:val="00855E55"/>
    <w:rsid w:val="008564F3"/>
    <w:rsid w:val="0086122A"/>
    <w:rsid w:val="00861A41"/>
    <w:rsid w:val="008620FB"/>
    <w:rsid w:val="008628C2"/>
    <w:rsid w:val="0086345A"/>
    <w:rsid w:val="00863487"/>
    <w:rsid w:val="00863612"/>
    <w:rsid w:val="008646C3"/>
    <w:rsid w:val="008646DC"/>
    <w:rsid w:val="00866131"/>
    <w:rsid w:val="008667B6"/>
    <w:rsid w:val="00866806"/>
    <w:rsid w:val="008700D7"/>
    <w:rsid w:val="008709BD"/>
    <w:rsid w:val="00871125"/>
    <w:rsid w:val="00871410"/>
    <w:rsid w:val="008715FC"/>
    <w:rsid w:val="00871874"/>
    <w:rsid w:val="00872BBB"/>
    <w:rsid w:val="00873088"/>
    <w:rsid w:val="00873D10"/>
    <w:rsid w:val="00874814"/>
    <w:rsid w:val="00875168"/>
    <w:rsid w:val="00875827"/>
    <w:rsid w:val="008763AF"/>
    <w:rsid w:val="00876ED0"/>
    <w:rsid w:val="00880EC4"/>
    <w:rsid w:val="008811B8"/>
    <w:rsid w:val="008832F3"/>
    <w:rsid w:val="008849D2"/>
    <w:rsid w:val="00884AB9"/>
    <w:rsid w:val="0088563F"/>
    <w:rsid w:val="00886C73"/>
    <w:rsid w:val="00887A7C"/>
    <w:rsid w:val="00887EF3"/>
    <w:rsid w:val="008902E1"/>
    <w:rsid w:val="00891A64"/>
    <w:rsid w:val="00891E1A"/>
    <w:rsid w:val="00892ACF"/>
    <w:rsid w:val="00892E94"/>
    <w:rsid w:val="00892F8B"/>
    <w:rsid w:val="00893282"/>
    <w:rsid w:val="00893AD7"/>
    <w:rsid w:val="00893C64"/>
    <w:rsid w:val="00893ED8"/>
    <w:rsid w:val="00894FF5"/>
    <w:rsid w:val="00895188"/>
    <w:rsid w:val="00895E69"/>
    <w:rsid w:val="0089640E"/>
    <w:rsid w:val="00896839"/>
    <w:rsid w:val="00896C0D"/>
    <w:rsid w:val="00897418"/>
    <w:rsid w:val="008978AE"/>
    <w:rsid w:val="00897B42"/>
    <w:rsid w:val="00897F5F"/>
    <w:rsid w:val="008A03ED"/>
    <w:rsid w:val="008A0AEC"/>
    <w:rsid w:val="008A0CEB"/>
    <w:rsid w:val="008A210C"/>
    <w:rsid w:val="008A21E1"/>
    <w:rsid w:val="008A24B1"/>
    <w:rsid w:val="008A27F7"/>
    <w:rsid w:val="008A2F39"/>
    <w:rsid w:val="008A32E9"/>
    <w:rsid w:val="008A34CF"/>
    <w:rsid w:val="008A3E3D"/>
    <w:rsid w:val="008A3FC9"/>
    <w:rsid w:val="008A430C"/>
    <w:rsid w:val="008A4CA8"/>
    <w:rsid w:val="008A5C02"/>
    <w:rsid w:val="008A7454"/>
    <w:rsid w:val="008B08A2"/>
    <w:rsid w:val="008B0959"/>
    <w:rsid w:val="008B0F9D"/>
    <w:rsid w:val="008B11AB"/>
    <w:rsid w:val="008B188F"/>
    <w:rsid w:val="008B2330"/>
    <w:rsid w:val="008B4632"/>
    <w:rsid w:val="008B48F4"/>
    <w:rsid w:val="008B4B4A"/>
    <w:rsid w:val="008B5773"/>
    <w:rsid w:val="008B5A1F"/>
    <w:rsid w:val="008B6DCB"/>
    <w:rsid w:val="008B6FEC"/>
    <w:rsid w:val="008B6FFB"/>
    <w:rsid w:val="008C0214"/>
    <w:rsid w:val="008C03E9"/>
    <w:rsid w:val="008C214A"/>
    <w:rsid w:val="008C2652"/>
    <w:rsid w:val="008C301F"/>
    <w:rsid w:val="008C3679"/>
    <w:rsid w:val="008C3721"/>
    <w:rsid w:val="008C3883"/>
    <w:rsid w:val="008C3981"/>
    <w:rsid w:val="008C3D9C"/>
    <w:rsid w:val="008C426C"/>
    <w:rsid w:val="008C4271"/>
    <w:rsid w:val="008C4F8A"/>
    <w:rsid w:val="008C4FE9"/>
    <w:rsid w:val="008C7469"/>
    <w:rsid w:val="008D0D80"/>
    <w:rsid w:val="008D3538"/>
    <w:rsid w:val="008D35D0"/>
    <w:rsid w:val="008D3A30"/>
    <w:rsid w:val="008D3D52"/>
    <w:rsid w:val="008D3DC1"/>
    <w:rsid w:val="008D4474"/>
    <w:rsid w:val="008D45EA"/>
    <w:rsid w:val="008D521B"/>
    <w:rsid w:val="008D52B2"/>
    <w:rsid w:val="008D52D6"/>
    <w:rsid w:val="008D5387"/>
    <w:rsid w:val="008D549F"/>
    <w:rsid w:val="008D562F"/>
    <w:rsid w:val="008D5637"/>
    <w:rsid w:val="008D5B4F"/>
    <w:rsid w:val="008D5EA1"/>
    <w:rsid w:val="008D6047"/>
    <w:rsid w:val="008D6952"/>
    <w:rsid w:val="008D6A8C"/>
    <w:rsid w:val="008D752F"/>
    <w:rsid w:val="008E01B8"/>
    <w:rsid w:val="008E0ECE"/>
    <w:rsid w:val="008E1AE5"/>
    <w:rsid w:val="008E216F"/>
    <w:rsid w:val="008E21D3"/>
    <w:rsid w:val="008E2C6F"/>
    <w:rsid w:val="008E2D59"/>
    <w:rsid w:val="008E3973"/>
    <w:rsid w:val="008E45EC"/>
    <w:rsid w:val="008E497F"/>
    <w:rsid w:val="008E4AA5"/>
    <w:rsid w:val="008E5F1E"/>
    <w:rsid w:val="008E6558"/>
    <w:rsid w:val="008E6A51"/>
    <w:rsid w:val="008F067F"/>
    <w:rsid w:val="008F0B20"/>
    <w:rsid w:val="008F1231"/>
    <w:rsid w:val="008F1449"/>
    <w:rsid w:val="008F19DA"/>
    <w:rsid w:val="008F1E03"/>
    <w:rsid w:val="008F22EB"/>
    <w:rsid w:val="008F25CC"/>
    <w:rsid w:val="008F26A1"/>
    <w:rsid w:val="008F2CFA"/>
    <w:rsid w:val="008F32D0"/>
    <w:rsid w:val="008F3856"/>
    <w:rsid w:val="008F4B5F"/>
    <w:rsid w:val="008F534E"/>
    <w:rsid w:val="008F55E7"/>
    <w:rsid w:val="008F6539"/>
    <w:rsid w:val="008F6983"/>
    <w:rsid w:val="008F6CC6"/>
    <w:rsid w:val="008F6E99"/>
    <w:rsid w:val="00900D75"/>
    <w:rsid w:val="00900EE8"/>
    <w:rsid w:val="0090106D"/>
    <w:rsid w:val="009025B7"/>
    <w:rsid w:val="009031DB"/>
    <w:rsid w:val="0090364D"/>
    <w:rsid w:val="0090404C"/>
    <w:rsid w:val="0090487D"/>
    <w:rsid w:val="00904BBB"/>
    <w:rsid w:val="00905EBE"/>
    <w:rsid w:val="00906A42"/>
    <w:rsid w:val="00907B98"/>
    <w:rsid w:val="00910BDB"/>
    <w:rsid w:val="00910E62"/>
    <w:rsid w:val="009120E3"/>
    <w:rsid w:val="00912552"/>
    <w:rsid w:val="00912B65"/>
    <w:rsid w:val="00913A18"/>
    <w:rsid w:val="009153CB"/>
    <w:rsid w:val="009158F5"/>
    <w:rsid w:val="009176F3"/>
    <w:rsid w:val="00917C16"/>
    <w:rsid w:val="00917E75"/>
    <w:rsid w:val="00920B28"/>
    <w:rsid w:val="00920E6A"/>
    <w:rsid w:val="009222D1"/>
    <w:rsid w:val="009224E9"/>
    <w:rsid w:val="009226D7"/>
    <w:rsid w:val="0092298B"/>
    <w:rsid w:val="0092340C"/>
    <w:rsid w:val="00923882"/>
    <w:rsid w:val="00923D4A"/>
    <w:rsid w:val="0092400B"/>
    <w:rsid w:val="00925F47"/>
    <w:rsid w:val="0092650C"/>
    <w:rsid w:val="009268D2"/>
    <w:rsid w:val="00926EAB"/>
    <w:rsid w:val="00926F58"/>
    <w:rsid w:val="00927180"/>
    <w:rsid w:val="0092793D"/>
    <w:rsid w:val="009301E5"/>
    <w:rsid w:val="00930BB4"/>
    <w:rsid w:val="009311ED"/>
    <w:rsid w:val="0093123B"/>
    <w:rsid w:val="009312DF"/>
    <w:rsid w:val="0093286F"/>
    <w:rsid w:val="0093287C"/>
    <w:rsid w:val="00932B3A"/>
    <w:rsid w:val="0093303D"/>
    <w:rsid w:val="00933A09"/>
    <w:rsid w:val="00935B92"/>
    <w:rsid w:val="0093673B"/>
    <w:rsid w:val="009375CC"/>
    <w:rsid w:val="0094064F"/>
    <w:rsid w:val="00941EEB"/>
    <w:rsid w:val="00942D70"/>
    <w:rsid w:val="009433CB"/>
    <w:rsid w:val="00943582"/>
    <w:rsid w:val="0094420C"/>
    <w:rsid w:val="00944F3A"/>
    <w:rsid w:val="009457DC"/>
    <w:rsid w:val="00946281"/>
    <w:rsid w:val="0094642A"/>
    <w:rsid w:val="0094668A"/>
    <w:rsid w:val="0095047E"/>
    <w:rsid w:val="0095076E"/>
    <w:rsid w:val="00950E3E"/>
    <w:rsid w:val="0095246A"/>
    <w:rsid w:val="00952A87"/>
    <w:rsid w:val="00952C63"/>
    <w:rsid w:val="00953130"/>
    <w:rsid w:val="0095416F"/>
    <w:rsid w:val="009546FE"/>
    <w:rsid w:val="00954852"/>
    <w:rsid w:val="00954E1E"/>
    <w:rsid w:val="00954E40"/>
    <w:rsid w:val="0095512D"/>
    <w:rsid w:val="00955868"/>
    <w:rsid w:val="009565BD"/>
    <w:rsid w:val="00956767"/>
    <w:rsid w:val="009578A0"/>
    <w:rsid w:val="009579AA"/>
    <w:rsid w:val="00964A27"/>
    <w:rsid w:val="009658F7"/>
    <w:rsid w:val="00966DE8"/>
    <w:rsid w:val="00966F74"/>
    <w:rsid w:val="009717A3"/>
    <w:rsid w:val="00971AAD"/>
    <w:rsid w:val="0097266D"/>
    <w:rsid w:val="00972B1F"/>
    <w:rsid w:val="00972DF1"/>
    <w:rsid w:val="009746E1"/>
    <w:rsid w:val="0097528C"/>
    <w:rsid w:val="00975C95"/>
    <w:rsid w:val="00976C03"/>
    <w:rsid w:val="009800E7"/>
    <w:rsid w:val="00980BA7"/>
    <w:rsid w:val="00981BA9"/>
    <w:rsid w:val="009822B8"/>
    <w:rsid w:val="009825CC"/>
    <w:rsid w:val="00983066"/>
    <w:rsid w:val="009838E1"/>
    <w:rsid w:val="00984300"/>
    <w:rsid w:val="0098436C"/>
    <w:rsid w:val="0098556A"/>
    <w:rsid w:val="00985B12"/>
    <w:rsid w:val="00985B33"/>
    <w:rsid w:val="00986491"/>
    <w:rsid w:val="00987139"/>
    <w:rsid w:val="00987FAD"/>
    <w:rsid w:val="00990780"/>
    <w:rsid w:val="00990907"/>
    <w:rsid w:val="0099176A"/>
    <w:rsid w:val="009918BE"/>
    <w:rsid w:val="00991DA1"/>
    <w:rsid w:val="009920E1"/>
    <w:rsid w:val="00992A36"/>
    <w:rsid w:val="00992BD4"/>
    <w:rsid w:val="00993452"/>
    <w:rsid w:val="00993F62"/>
    <w:rsid w:val="00993FBF"/>
    <w:rsid w:val="009947ED"/>
    <w:rsid w:val="00994D7A"/>
    <w:rsid w:val="0099510C"/>
    <w:rsid w:val="009954BA"/>
    <w:rsid w:val="00996F45"/>
    <w:rsid w:val="00997D63"/>
    <w:rsid w:val="009A063F"/>
    <w:rsid w:val="009A1523"/>
    <w:rsid w:val="009A15F7"/>
    <w:rsid w:val="009A1D39"/>
    <w:rsid w:val="009A2434"/>
    <w:rsid w:val="009A2463"/>
    <w:rsid w:val="009A3186"/>
    <w:rsid w:val="009A3419"/>
    <w:rsid w:val="009A4675"/>
    <w:rsid w:val="009A5298"/>
    <w:rsid w:val="009A5645"/>
    <w:rsid w:val="009A605E"/>
    <w:rsid w:val="009A6380"/>
    <w:rsid w:val="009A6851"/>
    <w:rsid w:val="009A6918"/>
    <w:rsid w:val="009A6AAD"/>
    <w:rsid w:val="009A7993"/>
    <w:rsid w:val="009A7A69"/>
    <w:rsid w:val="009B0D1F"/>
    <w:rsid w:val="009B1000"/>
    <w:rsid w:val="009B16C7"/>
    <w:rsid w:val="009B1A8B"/>
    <w:rsid w:val="009B1CD7"/>
    <w:rsid w:val="009B1DA3"/>
    <w:rsid w:val="009B279B"/>
    <w:rsid w:val="009B4510"/>
    <w:rsid w:val="009B5632"/>
    <w:rsid w:val="009B59D7"/>
    <w:rsid w:val="009B612E"/>
    <w:rsid w:val="009B6909"/>
    <w:rsid w:val="009B74A0"/>
    <w:rsid w:val="009B77FF"/>
    <w:rsid w:val="009B7CBA"/>
    <w:rsid w:val="009C02AF"/>
    <w:rsid w:val="009C0505"/>
    <w:rsid w:val="009C0F3D"/>
    <w:rsid w:val="009C260B"/>
    <w:rsid w:val="009C2BE3"/>
    <w:rsid w:val="009C2D4C"/>
    <w:rsid w:val="009C3955"/>
    <w:rsid w:val="009C3E4E"/>
    <w:rsid w:val="009C40F4"/>
    <w:rsid w:val="009C493C"/>
    <w:rsid w:val="009C4B60"/>
    <w:rsid w:val="009C4C40"/>
    <w:rsid w:val="009C4F54"/>
    <w:rsid w:val="009C5366"/>
    <w:rsid w:val="009C60D4"/>
    <w:rsid w:val="009C615B"/>
    <w:rsid w:val="009C6900"/>
    <w:rsid w:val="009C7A06"/>
    <w:rsid w:val="009C7DCB"/>
    <w:rsid w:val="009C7F01"/>
    <w:rsid w:val="009D077D"/>
    <w:rsid w:val="009D16D3"/>
    <w:rsid w:val="009D2580"/>
    <w:rsid w:val="009D2FAD"/>
    <w:rsid w:val="009D332C"/>
    <w:rsid w:val="009D3679"/>
    <w:rsid w:val="009D4008"/>
    <w:rsid w:val="009D46C9"/>
    <w:rsid w:val="009D50C6"/>
    <w:rsid w:val="009D52BC"/>
    <w:rsid w:val="009D5938"/>
    <w:rsid w:val="009D6184"/>
    <w:rsid w:val="009D6A2A"/>
    <w:rsid w:val="009D7503"/>
    <w:rsid w:val="009D7976"/>
    <w:rsid w:val="009E01AD"/>
    <w:rsid w:val="009E07DC"/>
    <w:rsid w:val="009E07E6"/>
    <w:rsid w:val="009E0BF7"/>
    <w:rsid w:val="009E11E7"/>
    <w:rsid w:val="009E172F"/>
    <w:rsid w:val="009E3374"/>
    <w:rsid w:val="009E3828"/>
    <w:rsid w:val="009E3988"/>
    <w:rsid w:val="009E44DE"/>
    <w:rsid w:val="009E4936"/>
    <w:rsid w:val="009E4C01"/>
    <w:rsid w:val="009E520A"/>
    <w:rsid w:val="009E5FD6"/>
    <w:rsid w:val="009E697B"/>
    <w:rsid w:val="009E6B5E"/>
    <w:rsid w:val="009E746F"/>
    <w:rsid w:val="009F0EF3"/>
    <w:rsid w:val="009F3505"/>
    <w:rsid w:val="009F4B7A"/>
    <w:rsid w:val="009F711E"/>
    <w:rsid w:val="009F7CDF"/>
    <w:rsid w:val="009F7D55"/>
    <w:rsid w:val="009F7DFD"/>
    <w:rsid w:val="00A013C5"/>
    <w:rsid w:val="00A01DA7"/>
    <w:rsid w:val="00A0250A"/>
    <w:rsid w:val="00A02629"/>
    <w:rsid w:val="00A02F70"/>
    <w:rsid w:val="00A03715"/>
    <w:rsid w:val="00A040DA"/>
    <w:rsid w:val="00A04206"/>
    <w:rsid w:val="00A04AB4"/>
    <w:rsid w:val="00A04AD9"/>
    <w:rsid w:val="00A05144"/>
    <w:rsid w:val="00A052C3"/>
    <w:rsid w:val="00A05649"/>
    <w:rsid w:val="00A0615E"/>
    <w:rsid w:val="00A064B7"/>
    <w:rsid w:val="00A06B37"/>
    <w:rsid w:val="00A06E4B"/>
    <w:rsid w:val="00A07DF7"/>
    <w:rsid w:val="00A10830"/>
    <w:rsid w:val="00A1084C"/>
    <w:rsid w:val="00A10D94"/>
    <w:rsid w:val="00A121AF"/>
    <w:rsid w:val="00A12375"/>
    <w:rsid w:val="00A12627"/>
    <w:rsid w:val="00A12631"/>
    <w:rsid w:val="00A13156"/>
    <w:rsid w:val="00A13191"/>
    <w:rsid w:val="00A134E3"/>
    <w:rsid w:val="00A1378C"/>
    <w:rsid w:val="00A13791"/>
    <w:rsid w:val="00A155A0"/>
    <w:rsid w:val="00A15616"/>
    <w:rsid w:val="00A161AB"/>
    <w:rsid w:val="00A17191"/>
    <w:rsid w:val="00A17A0F"/>
    <w:rsid w:val="00A21A0D"/>
    <w:rsid w:val="00A21CB7"/>
    <w:rsid w:val="00A21E21"/>
    <w:rsid w:val="00A21EA9"/>
    <w:rsid w:val="00A21ED5"/>
    <w:rsid w:val="00A23EC6"/>
    <w:rsid w:val="00A244B2"/>
    <w:rsid w:val="00A253B5"/>
    <w:rsid w:val="00A25FA9"/>
    <w:rsid w:val="00A26622"/>
    <w:rsid w:val="00A26B5C"/>
    <w:rsid w:val="00A26BEE"/>
    <w:rsid w:val="00A270A3"/>
    <w:rsid w:val="00A270A9"/>
    <w:rsid w:val="00A27352"/>
    <w:rsid w:val="00A30BB1"/>
    <w:rsid w:val="00A319CF"/>
    <w:rsid w:val="00A31FE2"/>
    <w:rsid w:val="00A321F7"/>
    <w:rsid w:val="00A32409"/>
    <w:rsid w:val="00A32808"/>
    <w:rsid w:val="00A32880"/>
    <w:rsid w:val="00A333F0"/>
    <w:rsid w:val="00A3473D"/>
    <w:rsid w:val="00A35263"/>
    <w:rsid w:val="00A35866"/>
    <w:rsid w:val="00A36173"/>
    <w:rsid w:val="00A36803"/>
    <w:rsid w:val="00A36ABA"/>
    <w:rsid w:val="00A377AC"/>
    <w:rsid w:val="00A37FAD"/>
    <w:rsid w:val="00A37FCE"/>
    <w:rsid w:val="00A40170"/>
    <w:rsid w:val="00A4105E"/>
    <w:rsid w:val="00A41CAB"/>
    <w:rsid w:val="00A41CC2"/>
    <w:rsid w:val="00A4318C"/>
    <w:rsid w:val="00A43C2F"/>
    <w:rsid w:val="00A44533"/>
    <w:rsid w:val="00A44C2B"/>
    <w:rsid w:val="00A457AF"/>
    <w:rsid w:val="00A45876"/>
    <w:rsid w:val="00A45F1E"/>
    <w:rsid w:val="00A462BF"/>
    <w:rsid w:val="00A470AF"/>
    <w:rsid w:val="00A4775C"/>
    <w:rsid w:val="00A503AE"/>
    <w:rsid w:val="00A5076A"/>
    <w:rsid w:val="00A50E29"/>
    <w:rsid w:val="00A51F96"/>
    <w:rsid w:val="00A528B9"/>
    <w:rsid w:val="00A53272"/>
    <w:rsid w:val="00A54242"/>
    <w:rsid w:val="00A5506C"/>
    <w:rsid w:val="00A5560B"/>
    <w:rsid w:val="00A55911"/>
    <w:rsid w:val="00A55AEE"/>
    <w:rsid w:val="00A55DC1"/>
    <w:rsid w:val="00A570C4"/>
    <w:rsid w:val="00A570FF"/>
    <w:rsid w:val="00A571ED"/>
    <w:rsid w:val="00A60776"/>
    <w:rsid w:val="00A6088E"/>
    <w:rsid w:val="00A608CA"/>
    <w:rsid w:val="00A60DDE"/>
    <w:rsid w:val="00A61569"/>
    <w:rsid w:val="00A61BD0"/>
    <w:rsid w:val="00A63063"/>
    <w:rsid w:val="00A63AF7"/>
    <w:rsid w:val="00A6447D"/>
    <w:rsid w:val="00A64BD8"/>
    <w:rsid w:val="00A6657B"/>
    <w:rsid w:val="00A67B16"/>
    <w:rsid w:val="00A67DF0"/>
    <w:rsid w:val="00A70626"/>
    <w:rsid w:val="00A7097C"/>
    <w:rsid w:val="00A70EAF"/>
    <w:rsid w:val="00A70F60"/>
    <w:rsid w:val="00A738FD"/>
    <w:rsid w:val="00A744F1"/>
    <w:rsid w:val="00A7478B"/>
    <w:rsid w:val="00A74A26"/>
    <w:rsid w:val="00A74ABA"/>
    <w:rsid w:val="00A74CCF"/>
    <w:rsid w:val="00A752CA"/>
    <w:rsid w:val="00A7569B"/>
    <w:rsid w:val="00A756F0"/>
    <w:rsid w:val="00A75B90"/>
    <w:rsid w:val="00A76498"/>
    <w:rsid w:val="00A818A6"/>
    <w:rsid w:val="00A84095"/>
    <w:rsid w:val="00A8591D"/>
    <w:rsid w:val="00A859AF"/>
    <w:rsid w:val="00A85B83"/>
    <w:rsid w:val="00A86428"/>
    <w:rsid w:val="00A864B1"/>
    <w:rsid w:val="00A86E8C"/>
    <w:rsid w:val="00A873CC"/>
    <w:rsid w:val="00A873F6"/>
    <w:rsid w:val="00A87E35"/>
    <w:rsid w:val="00A9003A"/>
    <w:rsid w:val="00A923BF"/>
    <w:rsid w:val="00A93EC7"/>
    <w:rsid w:val="00A93F00"/>
    <w:rsid w:val="00A94407"/>
    <w:rsid w:val="00A94719"/>
    <w:rsid w:val="00A95B54"/>
    <w:rsid w:val="00A95B9A"/>
    <w:rsid w:val="00A96E14"/>
    <w:rsid w:val="00AA05EA"/>
    <w:rsid w:val="00AA0DB5"/>
    <w:rsid w:val="00AA16E4"/>
    <w:rsid w:val="00AA1811"/>
    <w:rsid w:val="00AA2225"/>
    <w:rsid w:val="00AA239B"/>
    <w:rsid w:val="00AA23D5"/>
    <w:rsid w:val="00AA2D59"/>
    <w:rsid w:val="00AA3592"/>
    <w:rsid w:val="00AA3BB4"/>
    <w:rsid w:val="00AA3F6C"/>
    <w:rsid w:val="00AA40CA"/>
    <w:rsid w:val="00AA525E"/>
    <w:rsid w:val="00AA5EAD"/>
    <w:rsid w:val="00AA6402"/>
    <w:rsid w:val="00AA6B22"/>
    <w:rsid w:val="00AA6E5E"/>
    <w:rsid w:val="00AA6E67"/>
    <w:rsid w:val="00AB0408"/>
    <w:rsid w:val="00AB0FE4"/>
    <w:rsid w:val="00AB1BAE"/>
    <w:rsid w:val="00AB267F"/>
    <w:rsid w:val="00AB29BA"/>
    <w:rsid w:val="00AB32AB"/>
    <w:rsid w:val="00AB3364"/>
    <w:rsid w:val="00AB3505"/>
    <w:rsid w:val="00AB39F3"/>
    <w:rsid w:val="00AB46DE"/>
    <w:rsid w:val="00AB5AC2"/>
    <w:rsid w:val="00AB5BBF"/>
    <w:rsid w:val="00AB60D2"/>
    <w:rsid w:val="00AB77F7"/>
    <w:rsid w:val="00AB798B"/>
    <w:rsid w:val="00AB7BCC"/>
    <w:rsid w:val="00AB7C0D"/>
    <w:rsid w:val="00AC05FA"/>
    <w:rsid w:val="00AC0E37"/>
    <w:rsid w:val="00AC18AF"/>
    <w:rsid w:val="00AC2480"/>
    <w:rsid w:val="00AC356B"/>
    <w:rsid w:val="00AC37CF"/>
    <w:rsid w:val="00AC3D7A"/>
    <w:rsid w:val="00AC3DE4"/>
    <w:rsid w:val="00AC3FBA"/>
    <w:rsid w:val="00AC4358"/>
    <w:rsid w:val="00AC4441"/>
    <w:rsid w:val="00AC530E"/>
    <w:rsid w:val="00AC6CC0"/>
    <w:rsid w:val="00AC6EEA"/>
    <w:rsid w:val="00AC74B8"/>
    <w:rsid w:val="00AD0282"/>
    <w:rsid w:val="00AD0A00"/>
    <w:rsid w:val="00AD17D7"/>
    <w:rsid w:val="00AD2B06"/>
    <w:rsid w:val="00AD3089"/>
    <w:rsid w:val="00AD3485"/>
    <w:rsid w:val="00AD36CD"/>
    <w:rsid w:val="00AD4277"/>
    <w:rsid w:val="00AD50FB"/>
    <w:rsid w:val="00AD5DD5"/>
    <w:rsid w:val="00AD6D30"/>
    <w:rsid w:val="00AD7984"/>
    <w:rsid w:val="00AD7E9A"/>
    <w:rsid w:val="00AE0750"/>
    <w:rsid w:val="00AE1466"/>
    <w:rsid w:val="00AE2F77"/>
    <w:rsid w:val="00AE3C89"/>
    <w:rsid w:val="00AE3F39"/>
    <w:rsid w:val="00AE4481"/>
    <w:rsid w:val="00AE5FA1"/>
    <w:rsid w:val="00AE62AE"/>
    <w:rsid w:val="00AE67FE"/>
    <w:rsid w:val="00AE7338"/>
    <w:rsid w:val="00AE737F"/>
    <w:rsid w:val="00AE7A6B"/>
    <w:rsid w:val="00AE7CF2"/>
    <w:rsid w:val="00AF0331"/>
    <w:rsid w:val="00AF07AB"/>
    <w:rsid w:val="00AF0CF5"/>
    <w:rsid w:val="00AF2263"/>
    <w:rsid w:val="00AF27E3"/>
    <w:rsid w:val="00AF313D"/>
    <w:rsid w:val="00AF31D5"/>
    <w:rsid w:val="00AF366D"/>
    <w:rsid w:val="00AF423A"/>
    <w:rsid w:val="00AF5CD0"/>
    <w:rsid w:val="00AF652E"/>
    <w:rsid w:val="00AF7D8F"/>
    <w:rsid w:val="00B00F08"/>
    <w:rsid w:val="00B056ED"/>
    <w:rsid w:val="00B0594B"/>
    <w:rsid w:val="00B05A3D"/>
    <w:rsid w:val="00B0710D"/>
    <w:rsid w:val="00B07E32"/>
    <w:rsid w:val="00B07F9D"/>
    <w:rsid w:val="00B1031A"/>
    <w:rsid w:val="00B1041B"/>
    <w:rsid w:val="00B107E0"/>
    <w:rsid w:val="00B10E90"/>
    <w:rsid w:val="00B10F6A"/>
    <w:rsid w:val="00B1103C"/>
    <w:rsid w:val="00B115AB"/>
    <w:rsid w:val="00B12507"/>
    <w:rsid w:val="00B1363A"/>
    <w:rsid w:val="00B13AFF"/>
    <w:rsid w:val="00B1551B"/>
    <w:rsid w:val="00B15E4A"/>
    <w:rsid w:val="00B16466"/>
    <w:rsid w:val="00B16F6D"/>
    <w:rsid w:val="00B20A82"/>
    <w:rsid w:val="00B2105A"/>
    <w:rsid w:val="00B21098"/>
    <w:rsid w:val="00B22A7E"/>
    <w:rsid w:val="00B238E4"/>
    <w:rsid w:val="00B2414F"/>
    <w:rsid w:val="00B2494C"/>
    <w:rsid w:val="00B24D09"/>
    <w:rsid w:val="00B250AB"/>
    <w:rsid w:val="00B25EAE"/>
    <w:rsid w:val="00B268CE"/>
    <w:rsid w:val="00B26AFD"/>
    <w:rsid w:val="00B27166"/>
    <w:rsid w:val="00B27404"/>
    <w:rsid w:val="00B27439"/>
    <w:rsid w:val="00B2754D"/>
    <w:rsid w:val="00B3159F"/>
    <w:rsid w:val="00B320A2"/>
    <w:rsid w:val="00B321DD"/>
    <w:rsid w:val="00B33024"/>
    <w:rsid w:val="00B337DB"/>
    <w:rsid w:val="00B33995"/>
    <w:rsid w:val="00B34764"/>
    <w:rsid w:val="00B35028"/>
    <w:rsid w:val="00B35F8C"/>
    <w:rsid w:val="00B37EB3"/>
    <w:rsid w:val="00B41D3D"/>
    <w:rsid w:val="00B42753"/>
    <w:rsid w:val="00B43EDE"/>
    <w:rsid w:val="00B440A7"/>
    <w:rsid w:val="00B449F8"/>
    <w:rsid w:val="00B44C7F"/>
    <w:rsid w:val="00B44E8B"/>
    <w:rsid w:val="00B453D7"/>
    <w:rsid w:val="00B45A5C"/>
    <w:rsid w:val="00B45B14"/>
    <w:rsid w:val="00B45F40"/>
    <w:rsid w:val="00B460A9"/>
    <w:rsid w:val="00B462D9"/>
    <w:rsid w:val="00B46B62"/>
    <w:rsid w:val="00B46C28"/>
    <w:rsid w:val="00B46FC6"/>
    <w:rsid w:val="00B47260"/>
    <w:rsid w:val="00B473BA"/>
    <w:rsid w:val="00B4741B"/>
    <w:rsid w:val="00B50AD6"/>
    <w:rsid w:val="00B51740"/>
    <w:rsid w:val="00B51830"/>
    <w:rsid w:val="00B51BCB"/>
    <w:rsid w:val="00B51C43"/>
    <w:rsid w:val="00B5206B"/>
    <w:rsid w:val="00B523D5"/>
    <w:rsid w:val="00B54206"/>
    <w:rsid w:val="00B54798"/>
    <w:rsid w:val="00B550CD"/>
    <w:rsid w:val="00B5581F"/>
    <w:rsid w:val="00B55D21"/>
    <w:rsid w:val="00B55F3E"/>
    <w:rsid w:val="00B57C95"/>
    <w:rsid w:val="00B60466"/>
    <w:rsid w:val="00B60CE6"/>
    <w:rsid w:val="00B60DB0"/>
    <w:rsid w:val="00B6283D"/>
    <w:rsid w:val="00B63266"/>
    <w:rsid w:val="00B6356F"/>
    <w:rsid w:val="00B640B7"/>
    <w:rsid w:val="00B641D3"/>
    <w:rsid w:val="00B642B1"/>
    <w:rsid w:val="00B64B76"/>
    <w:rsid w:val="00B64CA9"/>
    <w:rsid w:val="00B65880"/>
    <w:rsid w:val="00B65F63"/>
    <w:rsid w:val="00B668C1"/>
    <w:rsid w:val="00B669E6"/>
    <w:rsid w:val="00B6779D"/>
    <w:rsid w:val="00B67CE1"/>
    <w:rsid w:val="00B702C6"/>
    <w:rsid w:val="00B71052"/>
    <w:rsid w:val="00B71919"/>
    <w:rsid w:val="00B7344D"/>
    <w:rsid w:val="00B73BD1"/>
    <w:rsid w:val="00B73F70"/>
    <w:rsid w:val="00B742DC"/>
    <w:rsid w:val="00B74F7D"/>
    <w:rsid w:val="00B75007"/>
    <w:rsid w:val="00B751CC"/>
    <w:rsid w:val="00B76C41"/>
    <w:rsid w:val="00B770C2"/>
    <w:rsid w:val="00B80240"/>
    <w:rsid w:val="00B80DA6"/>
    <w:rsid w:val="00B8143E"/>
    <w:rsid w:val="00B814DA"/>
    <w:rsid w:val="00B81F8B"/>
    <w:rsid w:val="00B824A3"/>
    <w:rsid w:val="00B8268A"/>
    <w:rsid w:val="00B827B4"/>
    <w:rsid w:val="00B82CA8"/>
    <w:rsid w:val="00B83C00"/>
    <w:rsid w:val="00B84A65"/>
    <w:rsid w:val="00B84D65"/>
    <w:rsid w:val="00B84ED3"/>
    <w:rsid w:val="00B85EA3"/>
    <w:rsid w:val="00B86542"/>
    <w:rsid w:val="00B87984"/>
    <w:rsid w:val="00B90682"/>
    <w:rsid w:val="00B90850"/>
    <w:rsid w:val="00B91F19"/>
    <w:rsid w:val="00B924A0"/>
    <w:rsid w:val="00B92512"/>
    <w:rsid w:val="00B9309E"/>
    <w:rsid w:val="00B93CF7"/>
    <w:rsid w:val="00B95275"/>
    <w:rsid w:val="00B95D34"/>
    <w:rsid w:val="00B96088"/>
    <w:rsid w:val="00B9667F"/>
    <w:rsid w:val="00B97009"/>
    <w:rsid w:val="00B97907"/>
    <w:rsid w:val="00BA0D4D"/>
    <w:rsid w:val="00BA1D87"/>
    <w:rsid w:val="00BA2233"/>
    <w:rsid w:val="00BA253D"/>
    <w:rsid w:val="00BA2D6C"/>
    <w:rsid w:val="00BA2FF8"/>
    <w:rsid w:val="00BA31D5"/>
    <w:rsid w:val="00BA3362"/>
    <w:rsid w:val="00BA3937"/>
    <w:rsid w:val="00BA3ECC"/>
    <w:rsid w:val="00BA5479"/>
    <w:rsid w:val="00BA6999"/>
    <w:rsid w:val="00BA706A"/>
    <w:rsid w:val="00BA763D"/>
    <w:rsid w:val="00BB1550"/>
    <w:rsid w:val="00BB3F97"/>
    <w:rsid w:val="00BB52DE"/>
    <w:rsid w:val="00BB5627"/>
    <w:rsid w:val="00BB5EAC"/>
    <w:rsid w:val="00BB68DC"/>
    <w:rsid w:val="00BB74A9"/>
    <w:rsid w:val="00BB750B"/>
    <w:rsid w:val="00BC16EB"/>
    <w:rsid w:val="00BC1CB4"/>
    <w:rsid w:val="00BC1E89"/>
    <w:rsid w:val="00BC2150"/>
    <w:rsid w:val="00BC2F28"/>
    <w:rsid w:val="00BC302C"/>
    <w:rsid w:val="00BC3746"/>
    <w:rsid w:val="00BC39EE"/>
    <w:rsid w:val="00BC3B48"/>
    <w:rsid w:val="00BC5F49"/>
    <w:rsid w:val="00BC7593"/>
    <w:rsid w:val="00BC76DF"/>
    <w:rsid w:val="00BC7A99"/>
    <w:rsid w:val="00BC7DE5"/>
    <w:rsid w:val="00BD182B"/>
    <w:rsid w:val="00BD24AD"/>
    <w:rsid w:val="00BD30E5"/>
    <w:rsid w:val="00BD3FE9"/>
    <w:rsid w:val="00BD4262"/>
    <w:rsid w:val="00BD48B5"/>
    <w:rsid w:val="00BD7654"/>
    <w:rsid w:val="00BE09DC"/>
    <w:rsid w:val="00BE0DAB"/>
    <w:rsid w:val="00BE0E3B"/>
    <w:rsid w:val="00BE1E32"/>
    <w:rsid w:val="00BE1ECA"/>
    <w:rsid w:val="00BE391A"/>
    <w:rsid w:val="00BE40E4"/>
    <w:rsid w:val="00BE49A6"/>
    <w:rsid w:val="00BE4AD0"/>
    <w:rsid w:val="00BE4F6F"/>
    <w:rsid w:val="00BE500F"/>
    <w:rsid w:val="00BE7183"/>
    <w:rsid w:val="00BE7D46"/>
    <w:rsid w:val="00BE7F06"/>
    <w:rsid w:val="00BF2644"/>
    <w:rsid w:val="00BF312C"/>
    <w:rsid w:val="00BF3724"/>
    <w:rsid w:val="00BF3B1B"/>
    <w:rsid w:val="00BF5358"/>
    <w:rsid w:val="00BF5A5C"/>
    <w:rsid w:val="00BF6111"/>
    <w:rsid w:val="00BF6A3F"/>
    <w:rsid w:val="00BF736C"/>
    <w:rsid w:val="00BF7597"/>
    <w:rsid w:val="00BF7875"/>
    <w:rsid w:val="00BF7ACD"/>
    <w:rsid w:val="00BF7D7D"/>
    <w:rsid w:val="00BF7DD5"/>
    <w:rsid w:val="00C021BB"/>
    <w:rsid w:val="00C029D6"/>
    <w:rsid w:val="00C029DA"/>
    <w:rsid w:val="00C02F09"/>
    <w:rsid w:val="00C03406"/>
    <w:rsid w:val="00C03C29"/>
    <w:rsid w:val="00C04045"/>
    <w:rsid w:val="00C0473C"/>
    <w:rsid w:val="00C050F4"/>
    <w:rsid w:val="00C0572F"/>
    <w:rsid w:val="00C05C98"/>
    <w:rsid w:val="00C06FAC"/>
    <w:rsid w:val="00C07228"/>
    <w:rsid w:val="00C0768D"/>
    <w:rsid w:val="00C103B2"/>
    <w:rsid w:val="00C107CE"/>
    <w:rsid w:val="00C10A80"/>
    <w:rsid w:val="00C11A90"/>
    <w:rsid w:val="00C11C7F"/>
    <w:rsid w:val="00C12387"/>
    <w:rsid w:val="00C136FB"/>
    <w:rsid w:val="00C13AFC"/>
    <w:rsid w:val="00C14BA7"/>
    <w:rsid w:val="00C157B6"/>
    <w:rsid w:val="00C15EAB"/>
    <w:rsid w:val="00C16197"/>
    <w:rsid w:val="00C168D1"/>
    <w:rsid w:val="00C16C1D"/>
    <w:rsid w:val="00C16CAB"/>
    <w:rsid w:val="00C17474"/>
    <w:rsid w:val="00C17C0F"/>
    <w:rsid w:val="00C2120A"/>
    <w:rsid w:val="00C228EF"/>
    <w:rsid w:val="00C23412"/>
    <w:rsid w:val="00C23600"/>
    <w:rsid w:val="00C244B8"/>
    <w:rsid w:val="00C24CD5"/>
    <w:rsid w:val="00C24D48"/>
    <w:rsid w:val="00C259CE"/>
    <w:rsid w:val="00C270DE"/>
    <w:rsid w:val="00C30040"/>
    <w:rsid w:val="00C3014F"/>
    <w:rsid w:val="00C307CB"/>
    <w:rsid w:val="00C30C2F"/>
    <w:rsid w:val="00C31099"/>
    <w:rsid w:val="00C31A6C"/>
    <w:rsid w:val="00C3393A"/>
    <w:rsid w:val="00C34A06"/>
    <w:rsid w:val="00C34C55"/>
    <w:rsid w:val="00C35223"/>
    <w:rsid w:val="00C36092"/>
    <w:rsid w:val="00C363C5"/>
    <w:rsid w:val="00C36500"/>
    <w:rsid w:val="00C36E73"/>
    <w:rsid w:val="00C400B2"/>
    <w:rsid w:val="00C40D5A"/>
    <w:rsid w:val="00C40FF1"/>
    <w:rsid w:val="00C411B4"/>
    <w:rsid w:val="00C434A0"/>
    <w:rsid w:val="00C43941"/>
    <w:rsid w:val="00C43A23"/>
    <w:rsid w:val="00C44034"/>
    <w:rsid w:val="00C446C9"/>
    <w:rsid w:val="00C447C8"/>
    <w:rsid w:val="00C44901"/>
    <w:rsid w:val="00C456A3"/>
    <w:rsid w:val="00C4655E"/>
    <w:rsid w:val="00C46F3A"/>
    <w:rsid w:val="00C51EFE"/>
    <w:rsid w:val="00C5266D"/>
    <w:rsid w:val="00C54849"/>
    <w:rsid w:val="00C566AF"/>
    <w:rsid w:val="00C56A32"/>
    <w:rsid w:val="00C5747C"/>
    <w:rsid w:val="00C574A2"/>
    <w:rsid w:val="00C5781C"/>
    <w:rsid w:val="00C60912"/>
    <w:rsid w:val="00C61171"/>
    <w:rsid w:val="00C61522"/>
    <w:rsid w:val="00C615C4"/>
    <w:rsid w:val="00C61864"/>
    <w:rsid w:val="00C61EA6"/>
    <w:rsid w:val="00C6321A"/>
    <w:rsid w:val="00C637E1"/>
    <w:rsid w:val="00C63C7B"/>
    <w:rsid w:val="00C64045"/>
    <w:rsid w:val="00C64357"/>
    <w:rsid w:val="00C65367"/>
    <w:rsid w:val="00C65448"/>
    <w:rsid w:val="00C66725"/>
    <w:rsid w:val="00C675E2"/>
    <w:rsid w:val="00C67DBF"/>
    <w:rsid w:val="00C70175"/>
    <w:rsid w:val="00C70E37"/>
    <w:rsid w:val="00C710BB"/>
    <w:rsid w:val="00C71BCB"/>
    <w:rsid w:val="00C71D07"/>
    <w:rsid w:val="00C74BFC"/>
    <w:rsid w:val="00C75C4A"/>
    <w:rsid w:val="00C761F1"/>
    <w:rsid w:val="00C76941"/>
    <w:rsid w:val="00C77690"/>
    <w:rsid w:val="00C813F6"/>
    <w:rsid w:val="00C81466"/>
    <w:rsid w:val="00C814BE"/>
    <w:rsid w:val="00C81E97"/>
    <w:rsid w:val="00C82B55"/>
    <w:rsid w:val="00C82E4C"/>
    <w:rsid w:val="00C83D06"/>
    <w:rsid w:val="00C84196"/>
    <w:rsid w:val="00C8481F"/>
    <w:rsid w:val="00C85D3F"/>
    <w:rsid w:val="00C866A4"/>
    <w:rsid w:val="00C86913"/>
    <w:rsid w:val="00C87330"/>
    <w:rsid w:val="00C917A1"/>
    <w:rsid w:val="00C9247A"/>
    <w:rsid w:val="00C93162"/>
    <w:rsid w:val="00C94A7F"/>
    <w:rsid w:val="00C95761"/>
    <w:rsid w:val="00C9600B"/>
    <w:rsid w:val="00C97E4D"/>
    <w:rsid w:val="00CA0C55"/>
    <w:rsid w:val="00CA2BA3"/>
    <w:rsid w:val="00CA4D18"/>
    <w:rsid w:val="00CA56A5"/>
    <w:rsid w:val="00CA5C23"/>
    <w:rsid w:val="00CA62CF"/>
    <w:rsid w:val="00CA6BBC"/>
    <w:rsid w:val="00CA7653"/>
    <w:rsid w:val="00CA7EE4"/>
    <w:rsid w:val="00CB0C7E"/>
    <w:rsid w:val="00CB0F3D"/>
    <w:rsid w:val="00CB145E"/>
    <w:rsid w:val="00CB19E5"/>
    <w:rsid w:val="00CB2C95"/>
    <w:rsid w:val="00CB43D4"/>
    <w:rsid w:val="00CB46E3"/>
    <w:rsid w:val="00CB5835"/>
    <w:rsid w:val="00CB5966"/>
    <w:rsid w:val="00CB6D07"/>
    <w:rsid w:val="00CB6F3D"/>
    <w:rsid w:val="00CC031F"/>
    <w:rsid w:val="00CC1AD4"/>
    <w:rsid w:val="00CC1F04"/>
    <w:rsid w:val="00CC225C"/>
    <w:rsid w:val="00CC2D29"/>
    <w:rsid w:val="00CC2F22"/>
    <w:rsid w:val="00CC453C"/>
    <w:rsid w:val="00CC50F6"/>
    <w:rsid w:val="00CC5DE6"/>
    <w:rsid w:val="00CC6348"/>
    <w:rsid w:val="00CC64B7"/>
    <w:rsid w:val="00CC6618"/>
    <w:rsid w:val="00CC6BE3"/>
    <w:rsid w:val="00CC7C2D"/>
    <w:rsid w:val="00CD025B"/>
    <w:rsid w:val="00CD0F30"/>
    <w:rsid w:val="00CD1191"/>
    <w:rsid w:val="00CD16FA"/>
    <w:rsid w:val="00CD1763"/>
    <w:rsid w:val="00CD190A"/>
    <w:rsid w:val="00CD1DB6"/>
    <w:rsid w:val="00CD219B"/>
    <w:rsid w:val="00CD2ACD"/>
    <w:rsid w:val="00CD2E9E"/>
    <w:rsid w:val="00CD3048"/>
    <w:rsid w:val="00CD35D4"/>
    <w:rsid w:val="00CD39B5"/>
    <w:rsid w:val="00CD599E"/>
    <w:rsid w:val="00CD5C3D"/>
    <w:rsid w:val="00CD6659"/>
    <w:rsid w:val="00CD7AC5"/>
    <w:rsid w:val="00CE0374"/>
    <w:rsid w:val="00CE071A"/>
    <w:rsid w:val="00CE0A1E"/>
    <w:rsid w:val="00CE0C4B"/>
    <w:rsid w:val="00CE15C3"/>
    <w:rsid w:val="00CE217A"/>
    <w:rsid w:val="00CE22AF"/>
    <w:rsid w:val="00CE2804"/>
    <w:rsid w:val="00CE315C"/>
    <w:rsid w:val="00CE42D9"/>
    <w:rsid w:val="00CE4BDA"/>
    <w:rsid w:val="00CE5246"/>
    <w:rsid w:val="00CE64C7"/>
    <w:rsid w:val="00CE7BD4"/>
    <w:rsid w:val="00CF053C"/>
    <w:rsid w:val="00CF12CC"/>
    <w:rsid w:val="00CF1B9C"/>
    <w:rsid w:val="00CF1BB7"/>
    <w:rsid w:val="00CF21BE"/>
    <w:rsid w:val="00CF2E61"/>
    <w:rsid w:val="00CF3C7A"/>
    <w:rsid w:val="00CF3DEB"/>
    <w:rsid w:val="00CF419C"/>
    <w:rsid w:val="00CF4A6F"/>
    <w:rsid w:val="00CF4B17"/>
    <w:rsid w:val="00CF5DF2"/>
    <w:rsid w:val="00CF7B7A"/>
    <w:rsid w:val="00CF7BE2"/>
    <w:rsid w:val="00CF7DCF"/>
    <w:rsid w:val="00CF7F4A"/>
    <w:rsid w:val="00D00049"/>
    <w:rsid w:val="00D00599"/>
    <w:rsid w:val="00D00EB6"/>
    <w:rsid w:val="00D01F65"/>
    <w:rsid w:val="00D030A0"/>
    <w:rsid w:val="00D032BB"/>
    <w:rsid w:val="00D03878"/>
    <w:rsid w:val="00D0391E"/>
    <w:rsid w:val="00D03948"/>
    <w:rsid w:val="00D03BBE"/>
    <w:rsid w:val="00D049FE"/>
    <w:rsid w:val="00D0665D"/>
    <w:rsid w:val="00D075A1"/>
    <w:rsid w:val="00D10D34"/>
    <w:rsid w:val="00D11AEB"/>
    <w:rsid w:val="00D12FE5"/>
    <w:rsid w:val="00D13C60"/>
    <w:rsid w:val="00D140C8"/>
    <w:rsid w:val="00D14A34"/>
    <w:rsid w:val="00D14AE1"/>
    <w:rsid w:val="00D1619E"/>
    <w:rsid w:val="00D16B85"/>
    <w:rsid w:val="00D16CA6"/>
    <w:rsid w:val="00D1702B"/>
    <w:rsid w:val="00D17713"/>
    <w:rsid w:val="00D2126B"/>
    <w:rsid w:val="00D214E3"/>
    <w:rsid w:val="00D21EE8"/>
    <w:rsid w:val="00D223C9"/>
    <w:rsid w:val="00D22EB5"/>
    <w:rsid w:val="00D23D06"/>
    <w:rsid w:val="00D23D21"/>
    <w:rsid w:val="00D2426D"/>
    <w:rsid w:val="00D24A54"/>
    <w:rsid w:val="00D24B6C"/>
    <w:rsid w:val="00D254AC"/>
    <w:rsid w:val="00D25B20"/>
    <w:rsid w:val="00D269BA"/>
    <w:rsid w:val="00D26B82"/>
    <w:rsid w:val="00D26E68"/>
    <w:rsid w:val="00D278B8"/>
    <w:rsid w:val="00D301F6"/>
    <w:rsid w:val="00D30C4E"/>
    <w:rsid w:val="00D31013"/>
    <w:rsid w:val="00D32956"/>
    <w:rsid w:val="00D32BEB"/>
    <w:rsid w:val="00D3301B"/>
    <w:rsid w:val="00D332CD"/>
    <w:rsid w:val="00D33B75"/>
    <w:rsid w:val="00D34580"/>
    <w:rsid w:val="00D36AFE"/>
    <w:rsid w:val="00D40277"/>
    <w:rsid w:val="00D41E50"/>
    <w:rsid w:val="00D420E9"/>
    <w:rsid w:val="00D42C12"/>
    <w:rsid w:val="00D42E90"/>
    <w:rsid w:val="00D43F40"/>
    <w:rsid w:val="00D4406C"/>
    <w:rsid w:val="00D441F3"/>
    <w:rsid w:val="00D4428B"/>
    <w:rsid w:val="00D44D6A"/>
    <w:rsid w:val="00D44FFA"/>
    <w:rsid w:val="00D4505E"/>
    <w:rsid w:val="00D45C49"/>
    <w:rsid w:val="00D46D25"/>
    <w:rsid w:val="00D47268"/>
    <w:rsid w:val="00D5008D"/>
    <w:rsid w:val="00D506DF"/>
    <w:rsid w:val="00D50B20"/>
    <w:rsid w:val="00D51804"/>
    <w:rsid w:val="00D51BBF"/>
    <w:rsid w:val="00D525FE"/>
    <w:rsid w:val="00D543A2"/>
    <w:rsid w:val="00D54BD3"/>
    <w:rsid w:val="00D54CF2"/>
    <w:rsid w:val="00D54F9E"/>
    <w:rsid w:val="00D55593"/>
    <w:rsid w:val="00D55EF4"/>
    <w:rsid w:val="00D55FA9"/>
    <w:rsid w:val="00D56678"/>
    <w:rsid w:val="00D570CD"/>
    <w:rsid w:val="00D575D1"/>
    <w:rsid w:val="00D604B7"/>
    <w:rsid w:val="00D605F5"/>
    <w:rsid w:val="00D6060C"/>
    <w:rsid w:val="00D60620"/>
    <w:rsid w:val="00D6062F"/>
    <w:rsid w:val="00D606AA"/>
    <w:rsid w:val="00D6110A"/>
    <w:rsid w:val="00D61AF1"/>
    <w:rsid w:val="00D62BB2"/>
    <w:rsid w:val="00D64787"/>
    <w:rsid w:val="00D653D8"/>
    <w:rsid w:val="00D65D29"/>
    <w:rsid w:val="00D65D65"/>
    <w:rsid w:val="00D65FE1"/>
    <w:rsid w:val="00D660B1"/>
    <w:rsid w:val="00D660EC"/>
    <w:rsid w:val="00D66412"/>
    <w:rsid w:val="00D665F0"/>
    <w:rsid w:val="00D66A70"/>
    <w:rsid w:val="00D66C19"/>
    <w:rsid w:val="00D66FD8"/>
    <w:rsid w:val="00D67B12"/>
    <w:rsid w:val="00D67F28"/>
    <w:rsid w:val="00D707BF"/>
    <w:rsid w:val="00D70AC8"/>
    <w:rsid w:val="00D71B78"/>
    <w:rsid w:val="00D71CBD"/>
    <w:rsid w:val="00D72B68"/>
    <w:rsid w:val="00D76670"/>
    <w:rsid w:val="00D76DBB"/>
    <w:rsid w:val="00D773A8"/>
    <w:rsid w:val="00D80307"/>
    <w:rsid w:val="00D81B4A"/>
    <w:rsid w:val="00D83FA4"/>
    <w:rsid w:val="00D845D0"/>
    <w:rsid w:val="00D84692"/>
    <w:rsid w:val="00D8660B"/>
    <w:rsid w:val="00D86D35"/>
    <w:rsid w:val="00D910A6"/>
    <w:rsid w:val="00D91F0F"/>
    <w:rsid w:val="00D922D3"/>
    <w:rsid w:val="00D94D2A"/>
    <w:rsid w:val="00D95338"/>
    <w:rsid w:val="00D96023"/>
    <w:rsid w:val="00D973BA"/>
    <w:rsid w:val="00D973BF"/>
    <w:rsid w:val="00DA0542"/>
    <w:rsid w:val="00DA0805"/>
    <w:rsid w:val="00DA0B3A"/>
    <w:rsid w:val="00DA0C5B"/>
    <w:rsid w:val="00DA1B52"/>
    <w:rsid w:val="00DA2762"/>
    <w:rsid w:val="00DA3969"/>
    <w:rsid w:val="00DA4133"/>
    <w:rsid w:val="00DB0158"/>
    <w:rsid w:val="00DB0EE0"/>
    <w:rsid w:val="00DB144D"/>
    <w:rsid w:val="00DB191D"/>
    <w:rsid w:val="00DB342C"/>
    <w:rsid w:val="00DB4EA6"/>
    <w:rsid w:val="00DB4ED8"/>
    <w:rsid w:val="00DB5969"/>
    <w:rsid w:val="00DB597D"/>
    <w:rsid w:val="00DB5FD1"/>
    <w:rsid w:val="00DB6541"/>
    <w:rsid w:val="00DB6B00"/>
    <w:rsid w:val="00DC019D"/>
    <w:rsid w:val="00DC20F6"/>
    <w:rsid w:val="00DC240B"/>
    <w:rsid w:val="00DC3E79"/>
    <w:rsid w:val="00DC499F"/>
    <w:rsid w:val="00DC4DC9"/>
    <w:rsid w:val="00DC5095"/>
    <w:rsid w:val="00DC5175"/>
    <w:rsid w:val="00DC5978"/>
    <w:rsid w:val="00DC7847"/>
    <w:rsid w:val="00DD06D8"/>
    <w:rsid w:val="00DD0D48"/>
    <w:rsid w:val="00DD0DB9"/>
    <w:rsid w:val="00DD2BE4"/>
    <w:rsid w:val="00DD3764"/>
    <w:rsid w:val="00DD3E1A"/>
    <w:rsid w:val="00DD43DB"/>
    <w:rsid w:val="00DD4B28"/>
    <w:rsid w:val="00DD4D8B"/>
    <w:rsid w:val="00DD517D"/>
    <w:rsid w:val="00DD5DDA"/>
    <w:rsid w:val="00DD61EC"/>
    <w:rsid w:val="00DD6901"/>
    <w:rsid w:val="00DE0166"/>
    <w:rsid w:val="00DE08DA"/>
    <w:rsid w:val="00DE1798"/>
    <w:rsid w:val="00DE224D"/>
    <w:rsid w:val="00DE343E"/>
    <w:rsid w:val="00DE3D7B"/>
    <w:rsid w:val="00DE492A"/>
    <w:rsid w:val="00DE5B24"/>
    <w:rsid w:val="00DE5EFC"/>
    <w:rsid w:val="00DE625B"/>
    <w:rsid w:val="00DE6422"/>
    <w:rsid w:val="00DE6D66"/>
    <w:rsid w:val="00DE7FA0"/>
    <w:rsid w:val="00DF0297"/>
    <w:rsid w:val="00DF1DD9"/>
    <w:rsid w:val="00DF2847"/>
    <w:rsid w:val="00DF2A1B"/>
    <w:rsid w:val="00DF2CE5"/>
    <w:rsid w:val="00DF2D79"/>
    <w:rsid w:val="00DF38F8"/>
    <w:rsid w:val="00DF3CD5"/>
    <w:rsid w:val="00DF3D3F"/>
    <w:rsid w:val="00DF4484"/>
    <w:rsid w:val="00DF6657"/>
    <w:rsid w:val="00DF6AEB"/>
    <w:rsid w:val="00DF706C"/>
    <w:rsid w:val="00DF75A5"/>
    <w:rsid w:val="00E01BD4"/>
    <w:rsid w:val="00E02311"/>
    <w:rsid w:val="00E026F9"/>
    <w:rsid w:val="00E02C2E"/>
    <w:rsid w:val="00E05274"/>
    <w:rsid w:val="00E0557F"/>
    <w:rsid w:val="00E058FC"/>
    <w:rsid w:val="00E05BCF"/>
    <w:rsid w:val="00E06113"/>
    <w:rsid w:val="00E073F2"/>
    <w:rsid w:val="00E12CE6"/>
    <w:rsid w:val="00E12FA0"/>
    <w:rsid w:val="00E14426"/>
    <w:rsid w:val="00E1517E"/>
    <w:rsid w:val="00E153FC"/>
    <w:rsid w:val="00E1663E"/>
    <w:rsid w:val="00E17302"/>
    <w:rsid w:val="00E20248"/>
    <w:rsid w:val="00E20AAC"/>
    <w:rsid w:val="00E20C65"/>
    <w:rsid w:val="00E20F3E"/>
    <w:rsid w:val="00E20FA0"/>
    <w:rsid w:val="00E21C31"/>
    <w:rsid w:val="00E21F99"/>
    <w:rsid w:val="00E22062"/>
    <w:rsid w:val="00E24784"/>
    <w:rsid w:val="00E24AD6"/>
    <w:rsid w:val="00E25B82"/>
    <w:rsid w:val="00E266F3"/>
    <w:rsid w:val="00E26A8B"/>
    <w:rsid w:val="00E270D3"/>
    <w:rsid w:val="00E27DDF"/>
    <w:rsid w:val="00E27E93"/>
    <w:rsid w:val="00E32717"/>
    <w:rsid w:val="00E3283C"/>
    <w:rsid w:val="00E32891"/>
    <w:rsid w:val="00E33303"/>
    <w:rsid w:val="00E3475B"/>
    <w:rsid w:val="00E34CAD"/>
    <w:rsid w:val="00E34D40"/>
    <w:rsid w:val="00E35A7A"/>
    <w:rsid w:val="00E35BA7"/>
    <w:rsid w:val="00E35D42"/>
    <w:rsid w:val="00E3645D"/>
    <w:rsid w:val="00E36F82"/>
    <w:rsid w:val="00E37E45"/>
    <w:rsid w:val="00E400D6"/>
    <w:rsid w:val="00E407F8"/>
    <w:rsid w:val="00E40AC2"/>
    <w:rsid w:val="00E40CA4"/>
    <w:rsid w:val="00E40EEA"/>
    <w:rsid w:val="00E41E09"/>
    <w:rsid w:val="00E42330"/>
    <w:rsid w:val="00E4301F"/>
    <w:rsid w:val="00E4332F"/>
    <w:rsid w:val="00E4337F"/>
    <w:rsid w:val="00E43A32"/>
    <w:rsid w:val="00E43BC1"/>
    <w:rsid w:val="00E44A79"/>
    <w:rsid w:val="00E45341"/>
    <w:rsid w:val="00E45A95"/>
    <w:rsid w:val="00E460FB"/>
    <w:rsid w:val="00E4622B"/>
    <w:rsid w:val="00E4631D"/>
    <w:rsid w:val="00E46C98"/>
    <w:rsid w:val="00E47C4A"/>
    <w:rsid w:val="00E47D17"/>
    <w:rsid w:val="00E47D4B"/>
    <w:rsid w:val="00E47EB9"/>
    <w:rsid w:val="00E504EE"/>
    <w:rsid w:val="00E51AFF"/>
    <w:rsid w:val="00E51E2C"/>
    <w:rsid w:val="00E52B71"/>
    <w:rsid w:val="00E53C9E"/>
    <w:rsid w:val="00E53E5F"/>
    <w:rsid w:val="00E54561"/>
    <w:rsid w:val="00E55A89"/>
    <w:rsid w:val="00E55C0D"/>
    <w:rsid w:val="00E56191"/>
    <w:rsid w:val="00E568D0"/>
    <w:rsid w:val="00E56981"/>
    <w:rsid w:val="00E57E28"/>
    <w:rsid w:val="00E57E42"/>
    <w:rsid w:val="00E602DA"/>
    <w:rsid w:val="00E6185D"/>
    <w:rsid w:val="00E618EE"/>
    <w:rsid w:val="00E62FB5"/>
    <w:rsid w:val="00E63C22"/>
    <w:rsid w:val="00E63CC8"/>
    <w:rsid w:val="00E63FAB"/>
    <w:rsid w:val="00E64600"/>
    <w:rsid w:val="00E65138"/>
    <w:rsid w:val="00E6543B"/>
    <w:rsid w:val="00E65799"/>
    <w:rsid w:val="00E65B16"/>
    <w:rsid w:val="00E664F4"/>
    <w:rsid w:val="00E67C03"/>
    <w:rsid w:val="00E70273"/>
    <w:rsid w:val="00E70E2B"/>
    <w:rsid w:val="00E70E5C"/>
    <w:rsid w:val="00E7117E"/>
    <w:rsid w:val="00E71536"/>
    <w:rsid w:val="00E71FD6"/>
    <w:rsid w:val="00E72AE6"/>
    <w:rsid w:val="00E7436C"/>
    <w:rsid w:val="00E74507"/>
    <w:rsid w:val="00E74611"/>
    <w:rsid w:val="00E74718"/>
    <w:rsid w:val="00E748CE"/>
    <w:rsid w:val="00E751D0"/>
    <w:rsid w:val="00E75C89"/>
    <w:rsid w:val="00E765EE"/>
    <w:rsid w:val="00E7661C"/>
    <w:rsid w:val="00E76AD1"/>
    <w:rsid w:val="00E775C9"/>
    <w:rsid w:val="00E7782F"/>
    <w:rsid w:val="00E778C4"/>
    <w:rsid w:val="00E77D13"/>
    <w:rsid w:val="00E77E13"/>
    <w:rsid w:val="00E81C6A"/>
    <w:rsid w:val="00E81DED"/>
    <w:rsid w:val="00E8210A"/>
    <w:rsid w:val="00E8240B"/>
    <w:rsid w:val="00E835CB"/>
    <w:rsid w:val="00E83DF9"/>
    <w:rsid w:val="00E85A74"/>
    <w:rsid w:val="00E85C9C"/>
    <w:rsid w:val="00E85FAE"/>
    <w:rsid w:val="00E8628A"/>
    <w:rsid w:val="00E86445"/>
    <w:rsid w:val="00E866D8"/>
    <w:rsid w:val="00E86906"/>
    <w:rsid w:val="00E87E48"/>
    <w:rsid w:val="00E90387"/>
    <w:rsid w:val="00E90399"/>
    <w:rsid w:val="00E90A29"/>
    <w:rsid w:val="00E9139F"/>
    <w:rsid w:val="00E91A7A"/>
    <w:rsid w:val="00E9266F"/>
    <w:rsid w:val="00E931C7"/>
    <w:rsid w:val="00E932BE"/>
    <w:rsid w:val="00E94749"/>
    <w:rsid w:val="00E94FF9"/>
    <w:rsid w:val="00E950CE"/>
    <w:rsid w:val="00E959B6"/>
    <w:rsid w:val="00E966EB"/>
    <w:rsid w:val="00E96962"/>
    <w:rsid w:val="00EA0324"/>
    <w:rsid w:val="00EA1576"/>
    <w:rsid w:val="00EA2456"/>
    <w:rsid w:val="00EA2486"/>
    <w:rsid w:val="00EA2659"/>
    <w:rsid w:val="00EA2E0A"/>
    <w:rsid w:val="00EA322D"/>
    <w:rsid w:val="00EA35CE"/>
    <w:rsid w:val="00EA36D4"/>
    <w:rsid w:val="00EA38BA"/>
    <w:rsid w:val="00EA4F4A"/>
    <w:rsid w:val="00EA50C4"/>
    <w:rsid w:val="00EA54CE"/>
    <w:rsid w:val="00EA62AE"/>
    <w:rsid w:val="00EA62D9"/>
    <w:rsid w:val="00EA647F"/>
    <w:rsid w:val="00EA6A74"/>
    <w:rsid w:val="00EA6EF8"/>
    <w:rsid w:val="00EA6FDC"/>
    <w:rsid w:val="00EA7341"/>
    <w:rsid w:val="00EA73FB"/>
    <w:rsid w:val="00EA7C59"/>
    <w:rsid w:val="00EB014D"/>
    <w:rsid w:val="00EB03D1"/>
    <w:rsid w:val="00EB35AC"/>
    <w:rsid w:val="00EB46CD"/>
    <w:rsid w:val="00EB514C"/>
    <w:rsid w:val="00EB63ED"/>
    <w:rsid w:val="00EB6538"/>
    <w:rsid w:val="00EB65E2"/>
    <w:rsid w:val="00EB71B2"/>
    <w:rsid w:val="00EB7568"/>
    <w:rsid w:val="00EB7A53"/>
    <w:rsid w:val="00EB7B4C"/>
    <w:rsid w:val="00EB7CA8"/>
    <w:rsid w:val="00EB7EA1"/>
    <w:rsid w:val="00EB7F1F"/>
    <w:rsid w:val="00EC0412"/>
    <w:rsid w:val="00EC0487"/>
    <w:rsid w:val="00EC087F"/>
    <w:rsid w:val="00EC0B79"/>
    <w:rsid w:val="00EC0EBB"/>
    <w:rsid w:val="00EC1192"/>
    <w:rsid w:val="00EC3661"/>
    <w:rsid w:val="00EC3C5D"/>
    <w:rsid w:val="00EC3DF0"/>
    <w:rsid w:val="00EC469E"/>
    <w:rsid w:val="00EC4A8E"/>
    <w:rsid w:val="00EC6E82"/>
    <w:rsid w:val="00EC7B29"/>
    <w:rsid w:val="00ED0054"/>
    <w:rsid w:val="00ED0DC8"/>
    <w:rsid w:val="00ED1328"/>
    <w:rsid w:val="00ED17F1"/>
    <w:rsid w:val="00ED1F81"/>
    <w:rsid w:val="00ED2193"/>
    <w:rsid w:val="00ED2F7A"/>
    <w:rsid w:val="00ED31A7"/>
    <w:rsid w:val="00ED3276"/>
    <w:rsid w:val="00ED3452"/>
    <w:rsid w:val="00ED3A2A"/>
    <w:rsid w:val="00ED4D35"/>
    <w:rsid w:val="00ED5416"/>
    <w:rsid w:val="00ED591B"/>
    <w:rsid w:val="00ED5A2F"/>
    <w:rsid w:val="00ED5FDF"/>
    <w:rsid w:val="00EE1829"/>
    <w:rsid w:val="00EE2ABF"/>
    <w:rsid w:val="00EE31F9"/>
    <w:rsid w:val="00EE4533"/>
    <w:rsid w:val="00EE4D7A"/>
    <w:rsid w:val="00EE5529"/>
    <w:rsid w:val="00EE589F"/>
    <w:rsid w:val="00EE6CC1"/>
    <w:rsid w:val="00EE7350"/>
    <w:rsid w:val="00EE7C22"/>
    <w:rsid w:val="00EF00BF"/>
    <w:rsid w:val="00EF0317"/>
    <w:rsid w:val="00EF0504"/>
    <w:rsid w:val="00EF0C57"/>
    <w:rsid w:val="00EF154E"/>
    <w:rsid w:val="00EF1E07"/>
    <w:rsid w:val="00EF2281"/>
    <w:rsid w:val="00EF3215"/>
    <w:rsid w:val="00EF3398"/>
    <w:rsid w:val="00EF3B49"/>
    <w:rsid w:val="00EF4080"/>
    <w:rsid w:val="00EF4102"/>
    <w:rsid w:val="00EF447D"/>
    <w:rsid w:val="00EF666B"/>
    <w:rsid w:val="00EF73F9"/>
    <w:rsid w:val="00EF794E"/>
    <w:rsid w:val="00F00267"/>
    <w:rsid w:val="00F00D38"/>
    <w:rsid w:val="00F011CD"/>
    <w:rsid w:val="00F02CBE"/>
    <w:rsid w:val="00F02D22"/>
    <w:rsid w:val="00F02D96"/>
    <w:rsid w:val="00F0391B"/>
    <w:rsid w:val="00F03FE6"/>
    <w:rsid w:val="00F04946"/>
    <w:rsid w:val="00F066E2"/>
    <w:rsid w:val="00F06993"/>
    <w:rsid w:val="00F07124"/>
    <w:rsid w:val="00F07DBA"/>
    <w:rsid w:val="00F10983"/>
    <w:rsid w:val="00F1098E"/>
    <w:rsid w:val="00F1199C"/>
    <w:rsid w:val="00F12621"/>
    <w:rsid w:val="00F12630"/>
    <w:rsid w:val="00F1274E"/>
    <w:rsid w:val="00F13362"/>
    <w:rsid w:val="00F13936"/>
    <w:rsid w:val="00F139F5"/>
    <w:rsid w:val="00F147F9"/>
    <w:rsid w:val="00F14DC0"/>
    <w:rsid w:val="00F1513C"/>
    <w:rsid w:val="00F16084"/>
    <w:rsid w:val="00F16DE6"/>
    <w:rsid w:val="00F16E61"/>
    <w:rsid w:val="00F20FCE"/>
    <w:rsid w:val="00F211FC"/>
    <w:rsid w:val="00F21324"/>
    <w:rsid w:val="00F21529"/>
    <w:rsid w:val="00F2275A"/>
    <w:rsid w:val="00F22889"/>
    <w:rsid w:val="00F22AEC"/>
    <w:rsid w:val="00F22D3C"/>
    <w:rsid w:val="00F231C1"/>
    <w:rsid w:val="00F23ABC"/>
    <w:rsid w:val="00F23EE2"/>
    <w:rsid w:val="00F242B4"/>
    <w:rsid w:val="00F25222"/>
    <w:rsid w:val="00F254ED"/>
    <w:rsid w:val="00F25E28"/>
    <w:rsid w:val="00F26213"/>
    <w:rsid w:val="00F26776"/>
    <w:rsid w:val="00F26F1B"/>
    <w:rsid w:val="00F271D1"/>
    <w:rsid w:val="00F27224"/>
    <w:rsid w:val="00F2757C"/>
    <w:rsid w:val="00F27B63"/>
    <w:rsid w:val="00F27DA0"/>
    <w:rsid w:val="00F30543"/>
    <w:rsid w:val="00F30769"/>
    <w:rsid w:val="00F30DF3"/>
    <w:rsid w:val="00F3154D"/>
    <w:rsid w:val="00F31710"/>
    <w:rsid w:val="00F3213C"/>
    <w:rsid w:val="00F326DD"/>
    <w:rsid w:val="00F33773"/>
    <w:rsid w:val="00F33D6E"/>
    <w:rsid w:val="00F34B9D"/>
    <w:rsid w:val="00F3721D"/>
    <w:rsid w:val="00F372F6"/>
    <w:rsid w:val="00F37591"/>
    <w:rsid w:val="00F37712"/>
    <w:rsid w:val="00F37DA1"/>
    <w:rsid w:val="00F37F68"/>
    <w:rsid w:val="00F408F1"/>
    <w:rsid w:val="00F410A6"/>
    <w:rsid w:val="00F4196C"/>
    <w:rsid w:val="00F41E20"/>
    <w:rsid w:val="00F42B8E"/>
    <w:rsid w:val="00F4370B"/>
    <w:rsid w:val="00F440E5"/>
    <w:rsid w:val="00F4423A"/>
    <w:rsid w:val="00F443BF"/>
    <w:rsid w:val="00F447C2"/>
    <w:rsid w:val="00F4560E"/>
    <w:rsid w:val="00F4651C"/>
    <w:rsid w:val="00F47048"/>
    <w:rsid w:val="00F47112"/>
    <w:rsid w:val="00F50242"/>
    <w:rsid w:val="00F50D8D"/>
    <w:rsid w:val="00F51128"/>
    <w:rsid w:val="00F51484"/>
    <w:rsid w:val="00F51DE7"/>
    <w:rsid w:val="00F529A1"/>
    <w:rsid w:val="00F534D3"/>
    <w:rsid w:val="00F5393B"/>
    <w:rsid w:val="00F54096"/>
    <w:rsid w:val="00F54D2A"/>
    <w:rsid w:val="00F57020"/>
    <w:rsid w:val="00F61976"/>
    <w:rsid w:val="00F62AE5"/>
    <w:rsid w:val="00F62DC9"/>
    <w:rsid w:val="00F64480"/>
    <w:rsid w:val="00F64631"/>
    <w:rsid w:val="00F64D82"/>
    <w:rsid w:val="00F655E1"/>
    <w:rsid w:val="00F6589E"/>
    <w:rsid w:val="00F65C8E"/>
    <w:rsid w:val="00F66413"/>
    <w:rsid w:val="00F67908"/>
    <w:rsid w:val="00F70129"/>
    <w:rsid w:val="00F71279"/>
    <w:rsid w:val="00F716F7"/>
    <w:rsid w:val="00F71EEF"/>
    <w:rsid w:val="00F72841"/>
    <w:rsid w:val="00F72F24"/>
    <w:rsid w:val="00F72FCD"/>
    <w:rsid w:val="00F739D4"/>
    <w:rsid w:val="00F73A01"/>
    <w:rsid w:val="00F73C42"/>
    <w:rsid w:val="00F74200"/>
    <w:rsid w:val="00F747D4"/>
    <w:rsid w:val="00F751D7"/>
    <w:rsid w:val="00F75AEA"/>
    <w:rsid w:val="00F75B51"/>
    <w:rsid w:val="00F76EFC"/>
    <w:rsid w:val="00F777ED"/>
    <w:rsid w:val="00F7792D"/>
    <w:rsid w:val="00F801A3"/>
    <w:rsid w:val="00F8071E"/>
    <w:rsid w:val="00F808BF"/>
    <w:rsid w:val="00F815EE"/>
    <w:rsid w:val="00F82A00"/>
    <w:rsid w:val="00F84B35"/>
    <w:rsid w:val="00F851F7"/>
    <w:rsid w:val="00F8593E"/>
    <w:rsid w:val="00F86461"/>
    <w:rsid w:val="00F86C8F"/>
    <w:rsid w:val="00F9042E"/>
    <w:rsid w:val="00F911F1"/>
    <w:rsid w:val="00F927A4"/>
    <w:rsid w:val="00F92DF1"/>
    <w:rsid w:val="00F93709"/>
    <w:rsid w:val="00F94BD6"/>
    <w:rsid w:val="00F94C88"/>
    <w:rsid w:val="00F95633"/>
    <w:rsid w:val="00F9577A"/>
    <w:rsid w:val="00F964D6"/>
    <w:rsid w:val="00F96BA3"/>
    <w:rsid w:val="00F97347"/>
    <w:rsid w:val="00F97889"/>
    <w:rsid w:val="00F97D11"/>
    <w:rsid w:val="00F97D7F"/>
    <w:rsid w:val="00FA04B6"/>
    <w:rsid w:val="00FA0CFB"/>
    <w:rsid w:val="00FA1633"/>
    <w:rsid w:val="00FA17EF"/>
    <w:rsid w:val="00FA1D13"/>
    <w:rsid w:val="00FA1F70"/>
    <w:rsid w:val="00FA1FEB"/>
    <w:rsid w:val="00FA201C"/>
    <w:rsid w:val="00FA2171"/>
    <w:rsid w:val="00FA3BCF"/>
    <w:rsid w:val="00FA3F61"/>
    <w:rsid w:val="00FA40BB"/>
    <w:rsid w:val="00FA43BC"/>
    <w:rsid w:val="00FA53A8"/>
    <w:rsid w:val="00FA5401"/>
    <w:rsid w:val="00FA6AF5"/>
    <w:rsid w:val="00FA77F3"/>
    <w:rsid w:val="00FB0227"/>
    <w:rsid w:val="00FB04DE"/>
    <w:rsid w:val="00FB0889"/>
    <w:rsid w:val="00FB096A"/>
    <w:rsid w:val="00FB1126"/>
    <w:rsid w:val="00FB266C"/>
    <w:rsid w:val="00FB32A6"/>
    <w:rsid w:val="00FB3DAE"/>
    <w:rsid w:val="00FB4770"/>
    <w:rsid w:val="00FB54CC"/>
    <w:rsid w:val="00FB5E9D"/>
    <w:rsid w:val="00FB6F65"/>
    <w:rsid w:val="00FB6FCD"/>
    <w:rsid w:val="00FB7586"/>
    <w:rsid w:val="00FB76DC"/>
    <w:rsid w:val="00FB7FF7"/>
    <w:rsid w:val="00FC0A93"/>
    <w:rsid w:val="00FC0BD8"/>
    <w:rsid w:val="00FC27D1"/>
    <w:rsid w:val="00FC38E4"/>
    <w:rsid w:val="00FC38FB"/>
    <w:rsid w:val="00FC4091"/>
    <w:rsid w:val="00FC42E4"/>
    <w:rsid w:val="00FC4960"/>
    <w:rsid w:val="00FC4EA7"/>
    <w:rsid w:val="00FC55E4"/>
    <w:rsid w:val="00FC5B7E"/>
    <w:rsid w:val="00FC65CF"/>
    <w:rsid w:val="00FC6B81"/>
    <w:rsid w:val="00FC6E79"/>
    <w:rsid w:val="00FC7F99"/>
    <w:rsid w:val="00FD061F"/>
    <w:rsid w:val="00FD246E"/>
    <w:rsid w:val="00FD3584"/>
    <w:rsid w:val="00FD51E6"/>
    <w:rsid w:val="00FD54AC"/>
    <w:rsid w:val="00FD579B"/>
    <w:rsid w:val="00FD5F85"/>
    <w:rsid w:val="00FD6030"/>
    <w:rsid w:val="00FD6648"/>
    <w:rsid w:val="00FD7DC4"/>
    <w:rsid w:val="00FD7FA9"/>
    <w:rsid w:val="00FE00FF"/>
    <w:rsid w:val="00FE09F5"/>
    <w:rsid w:val="00FE16C1"/>
    <w:rsid w:val="00FE27F6"/>
    <w:rsid w:val="00FE2EA8"/>
    <w:rsid w:val="00FE2EEB"/>
    <w:rsid w:val="00FE3988"/>
    <w:rsid w:val="00FE452C"/>
    <w:rsid w:val="00FE467A"/>
    <w:rsid w:val="00FE4B51"/>
    <w:rsid w:val="00FE6111"/>
    <w:rsid w:val="00FE6771"/>
    <w:rsid w:val="00FE67F4"/>
    <w:rsid w:val="00FE738D"/>
    <w:rsid w:val="00FF0FC1"/>
    <w:rsid w:val="00FF1C97"/>
    <w:rsid w:val="00FF219D"/>
    <w:rsid w:val="00FF2313"/>
    <w:rsid w:val="00FF26E3"/>
    <w:rsid w:val="00FF2D96"/>
    <w:rsid w:val="00FF302E"/>
    <w:rsid w:val="00FF4BA4"/>
    <w:rsid w:val="00FF5373"/>
    <w:rsid w:val="00FF5A4F"/>
    <w:rsid w:val="00FF5AD6"/>
    <w:rsid w:val="00FF6025"/>
    <w:rsid w:val="00FF6110"/>
    <w:rsid w:val="00FF6347"/>
    <w:rsid w:val="00FF64B7"/>
    <w:rsid w:val="00FF65EC"/>
    <w:rsid w:val="00FF6C0E"/>
    <w:rsid w:val="00FF6DA1"/>
    <w:rsid w:val="00FF7016"/>
    <w:rsid w:val="00FF7B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width-relative:margin;mso-height-relative:margin" fill="f" fillcolor="white" stroke="f">
      <v:fill color="white" on="f"/>
      <v:stroke on="f"/>
      <v:textbox inset="0,1.5mm,0,0"/>
    </o:shapedefaults>
    <o:shapelayout v:ext="edit">
      <o:idmap v:ext="edit" data="1"/>
    </o:shapelayout>
  </w:shapeDefaults>
  <w:decimalSymbol w:val="."/>
  <w:listSeparator w:val=","/>
  <w14:docId w14:val="0FAEC30D"/>
  <w15:chartTrackingRefBased/>
  <w15:docId w15:val="{19CBD6CD-8314-476E-B09B-5E6F346F3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D5C2D"/>
    <w:rPr>
      <w:lang w:eastAsia="en-US"/>
    </w:rPr>
  </w:style>
  <w:style w:type="paragraph" w:styleId="Heading1">
    <w:name w:val="heading 1"/>
    <w:basedOn w:val="Normal"/>
    <w:next w:val="Normal"/>
    <w:link w:val="Heading1Char"/>
    <w:qFormat/>
    <w:rsid w:val="002D5C2D"/>
    <w:pPr>
      <w:keepNext/>
      <w:jc w:val="center"/>
      <w:outlineLvl w:val="0"/>
    </w:pPr>
    <w:rPr>
      <w:b/>
      <w:sz w:val="28"/>
      <w:lang w:val="x-none" w:eastAsia="x-none"/>
    </w:rPr>
  </w:style>
  <w:style w:type="paragraph" w:styleId="Heading2">
    <w:name w:val="heading 2"/>
    <w:basedOn w:val="Normal"/>
    <w:next w:val="Normal"/>
    <w:qFormat/>
    <w:rsid w:val="002D5C2D"/>
    <w:pPr>
      <w:keepNext/>
      <w:spacing w:line="360" w:lineRule="atLeast"/>
      <w:jc w:val="both"/>
      <w:outlineLvl w:val="1"/>
    </w:pPr>
    <w:rPr>
      <w:sz w:val="26"/>
    </w:rPr>
  </w:style>
  <w:style w:type="paragraph" w:styleId="Heading3">
    <w:name w:val="heading 3"/>
    <w:basedOn w:val="Normal"/>
    <w:next w:val="Normal"/>
    <w:qFormat/>
    <w:rsid w:val="002D5C2D"/>
    <w:pPr>
      <w:keepNext/>
      <w:jc w:val="both"/>
      <w:outlineLvl w:val="2"/>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2D5C2D"/>
    <w:pPr>
      <w:ind w:firstLine="720"/>
      <w:jc w:val="both"/>
    </w:pPr>
    <w:rPr>
      <w:sz w:val="24"/>
      <w:lang w:val="x-none" w:eastAsia="x-none"/>
    </w:rPr>
  </w:style>
  <w:style w:type="paragraph" w:styleId="Footer">
    <w:name w:val="footer"/>
    <w:basedOn w:val="Normal"/>
    <w:link w:val="FooterChar"/>
    <w:uiPriority w:val="99"/>
    <w:rsid w:val="002D5C2D"/>
    <w:pPr>
      <w:tabs>
        <w:tab w:val="center" w:pos="4320"/>
        <w:tab w:val="right" w:pos="8640"/>
      </w:tabs>
    </w:pPr>
  </w:style>
  <w:style w:type="paragraph" w:styleId="Header">
    <w:name w:val="header"/>
    <w:basedOn w:val="Normal"/>
    <w:link w:val="HeaderChar"/>
    <w:uiPriority w:val="99"/>
    <w:rsid w:val="002D5C2D"/>
    <w:pPr>
      <w:tabs>
        <w:tab w:val="center" w:pos="4320"/>
        <w:tab w:val="right" w:pos="8640"/>
      </w:tabs>
    </w:pPr>
  </w:style>
  <w:style w:type="character" w:styleId="PageNumber">
    <w:name w:val="page number"/>
    <w:basedOn w:val="DefaultParagraphFont"/>
    <w:rsid w:val="002D5C2D"/>
  </w:style>
  <w:style w:type="paragraph" w:styleId="BodyText">
    <w:name w:val="Body Text"/>
    <w:basedOn w:val="Normal"/>
    <w:rsid w:val="002D5C2D"/>
    <w:rPr>
      <w:sz w:val="22"/>
    </w:rPr>
  </w:style>
  <w:style w:type="paragraph" w:styleId="BalloonText">
    <w:name w:val="Balloon Text"/>
    <w:basedOn w:val="Normal"/>
    <w:semiHidden/>
    <w:rsid w:val="00E6543B"/>
    <w:rPr>
      <w:rFonts w:ascii="Tahoma" w:hAnsi="Tahoma" w:cs="Tahoma"/>
      <w:sz w:val="16"/>
      <w:szCs w:val="16"/>
    </w:rPr>
  </w:style>
  <w:style w:type="paragraph" w:styleId="Title">
    <w:name w:val="Title"/>
    <w:basedOn w:val="Normal"/>
    <w:link w:val="TitleChar"/>
    <w:qFormat/>
    <w:rsid w:val="00525E1C"/>
    <w:pPr>
      <w:jc w:val="center"/>
    </w:pPr>
    <w:rPr>
      <w:b/>
      <w:sz w:val="24"/>
      <w:lang w:val="x-none" w:eastAsia="x-none"/>
    </w:rPr>
  </w:style>
  <w:style w:type="character" w:customStyle="1" w:styleId="TitleChar">
    <w:name w:val="Title Char"/>
    <w:link w:val="Title"/>
    <w:rsid w:val="00525E1C"/>
    <w:rPr>
      <w:b/>
      <w:sz w:val="24"/>
    </w:rPr>
  </w:style>
  <w:style w:type="paragraph" w:styleId="Subtitle">
    <w:name w:val="Subtitle"/>
    <w:basedOn w:val="Normal"/>
    <w:link w:val="SubtitleChar"/>
    <w:qFormat/>
    <w:rsid w:val="00525E1C"/>
    <w:pPr>
      <w:jc w:val="both"/>
    </w:pPr>
    <w:rPr>
      <w:b/>
      <w:sz w:val="24"/>
      <w:u w:val="single"/>
      <w:lang w:val="x-none" w:eastAsia="x-none"/>
    </w:rPr>
  </w:style>
  <w:style w:type="character" w:customStyle="1" w:styleId="SubtitleChar">
    <w:name w:val="Subtitle Char"/>
    <w:link w:val="Subtitle"/>
    <w:rsid w:val="00525E1C"/>
    <w:rPr>
      <w:b/>
      <w:sz w:val="24"/>
      <w:u w:val="single"/>
    </w:rPr>
  </w:style>
  <w:style w:type="paragraph" w:styleId="ListParagraph">
    <w:name w:val="List Paragraph"/>
    <w:basedOn w:val="Normal"/>
    <w:uiPriority w:val="34"/>
    <w:qFormat/>
    <w:rsid w:val="00F07DBA"/>
    <w:pPr>
      <w:ind w:left="720"/>
    </w:pPr>
  </w:style>
  <w:style w:type="paragraph" w:styleId="BlockText">
    <w:name w:val="Block Text"/>
    <w:basedOn w:val="Normal"/>
    <w:rsid w:val="00D773A8"/>
    <w:pPr>
      <w:tabs>
        <w:tab w:val="left" w:pos="720"/>
        <w:tab w:val="left" w:pos="1440"/>
      </w:tabs>
      <w:spacing w:line="240" w:lineRule="atLeast"/>
      <w:ind w:left="2160" w:right="1152" w:hanging="2160"/>
      <w:jc w:val="both"/>
    </w:pPr>
    <w:rPr>
      <w:sz w:val="24"/>
    </w:rPr>
  </w:style>
  <w:style w:type="character" w:customStyle="1" w:styleId="HeaderChar">
    <w:name w:val="Header Char"/>
    <w:basedOn w:val="DefaultParagraphFont"/>
    <w:link w:val="Header"/>
    <w:uiPriority w:val="99"/>
    <w:rsid w:val="00175BC7"/>
  </w:style>
  <w:style w:type="character" w:customStyle="1" w:styleId="FooterChar">
    <w:name w:val="Footer Char"/>
    <w:basedOn w:val="DefaultParagraphFont"/>
    <w:link w:val="Footer"/>
    <w:uiPriority w:val="99"/>
    <w:rsid w:val="00175BC7"/>
  </w:style>
  <w:style w:type="character" w:customStyle="1" w:styleId="BodyTextIndentChar">
    <w:name w:val="Body Text Indent Char"/>
    <w:link w:val="BodyTextIndent"/>
    <w:rsid w:val="00722373"/>
    <w:rPr>
      <w:sz w:val="24"/>
    </w:rPr>
  </w:style>
  <w:style w:type="table" w:styleId="TableGrid">
    <w:name w:val="Table Grid"/>
    <w:basedOn w:val="TableNormal"/>
    <w:uiPriority w:val="39"/>
    <w:rsid w:val="009328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205715"/>
    <w:rPr>
      <w:b/>
      <w:sz w:val="28"/>
    </w:rPr>
  </w:style>
  <w:style w:type="character" w:styleId="Hyperlink">
    <w:name w:val="Hyperlink"/>
    <w:basedOn w:val="DefaultParagraphFont"/>
    <w:rsid w:val="009B16C7"/>
    <w:rPr>
      <w:color w:val="0563C1" w:themeColor="hyperlink"/>
      <w:u w:val="single"/>
    </w:rPr>
  </w:style>
  <w:style w:type="paragraph" w:styleId="Revision">
    <w:name w:val="Revision"/>
    <w:hidden/>
    <w:uiPriority w:val="99"/>
    <w:semiHidden/>
    <w:rsid w:val="0015122E"/>
    <w:rPr>
      <w:lang w:eastAsia="en-US"/>
    </w:rPr>
  </w:style>
  <w:style w:type="character" w:styleId="CommentReference">
    <w:name w:val="annotation reference"/>
    <w:basedOn w:val="DefaultParagraphFont"/>
    <w:rsid w:val="00C446C9"/>
    <w:rPr>
      <w:sz w:val="16"/>
      <w:szCs w:val="16"/>
    </w:rPr>
  </w:style>
  <w:style w:type="paragraph" w:styleId="CommentText">
    <w:name w:val="annotation text"/>
    <w:basedOn w:val="Normal"/>
    <w:link w:val="CommentTextChar"/>
    <w:rsid w:val="00C446C9"/>
  </w:style>
  <w:style w:type="character" w:customStyle="1" w:styleId="CommentTextChar">
    <w:name w:val="Comment Text Char"/>
    <w:basedOn w:val="DefaultParagraphFont"/>
    <w:link w:val="CommentText"/>
    <w:rsid w:val="00C446C9"/>
    <w:rPr>
      <w:lang w:eastAsia="en-US"/>
    </w:rPr>
  </w:style>
  <w:style w:type="paragraph" w:styleId="CommentSubject">
    <w:name w:val="annotation subject"/>
    <w:basedOn w:val="CommentText"/>
    <w:next w:val="CommentText"/>
    <w:link w:val="CommentSubjectChar"/>
    <w:rsid w:val="00C446C9"/>
    <w:rPr>
      <w:b/>
      <w:bCs/>
    </w:rPr>
  </w:style>
  <w:style w:type="character" w:customStyle="1" w:styleId="CommentSubjectChar">
    <w:name w:val="Comment Subject Char"/>
    <w:basedOn w:val="CommentTextChar"/>
    <w:link w:val="CommentSubject"/>
    <w:rsid w:val="00C446C9"/>
    <w:rPr>
      <w:b/>
      <w:bCs/>
      <w:lang w:eastAsia="en-US"/>
    </w:rPr>
  </w:style>
  <w:style w:type="character" w:styleId="UnresolvedMention">
    <w:name w:val="Unresolved Mention"/>
    <w:basedOn w:val="DefaultParagraphFont"/>
    <w:uiPriority w:val="99"/>
    <w:semiHidden/>
    <w:unhideWhenUsed/>
    <w:rsid w:val="004B02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128070">
      <w:bodyDiv w:val="1"/>
      <w:marLeft w:val="0"/>
      <w:marRight w:val="0"/>
      <w:marTop w:val="0"/>
      <w:marBottom w:val="0"/>
      <w:divBdr>
        <w:top w:val="none" w:sz="0" w:space="0" w:color="auto"/>
        <w:left w:val="none" w:sz="0" w:space="0" w:color="auto"/>
        <w:bottom w:val="none" w:sz="0" w:space="0" w:color="auto"/>
        <w:right w:val="none" w:sz="0" w:space="0" w:color="auto"/>
      </w:divBdr>
    </w:div>
    <w:div w:id="201139438">
      <w:bodyDiv w:val="1"/>
      <w:marLeft w:val="0"/>
      <w:marRight w:val="0"/>
      <w:marTop w:val="0"/>
      <w:marBottom w:val="0"/>
      <w:divBdr>
        <w:top w:val="none" w:sz="0" w:space="0" w:color="auto"/>
        <w:left w:val="none" w:sz="0" w:space="0" w:color="auto"/>
        <w:bottom w:val="none" w:sz="0" w:space="0" w:color="auto"/>
        <w:right w:val="none" w:sz="0" w:space="0" w:color="auto"/>
      </w:divBdr>
    </w:div>
    <w:div w:id="218058011">
      <w:bodyDiv w:val="1"/>
      <w:marLeft w:val="0"/>
      <w:marRight w:val="0"/>
      <w:marTop w:val="0"/>
      <w:marBottom w:val="0"/>
      <w:divBdr>
        <w:top w:val="none" w:sz="0" w:space="0" w:color="auto"/>
        <w:left w:val="none" w:sz="0" w:space="0" w:color="auto"/>
        <w:bottom w:val="none" w:sz="0" w:space="0" w:color="auto"/>
        <w:right w:val="none" w:sz="0" w:space="0" w:color="auto"/>
      </w:divBdr>
    </w:div>
    <w:div w:id="307394580">
      <w:bodyDiv w:val="1"/>
      <w:marLeft w:val="0"/>
      <w:marRight w:val="0"/>
      <w:marTop w:val="0"/>
      <w:marBottom w:val="0"/>
      <w:divBdr>
        <w:top w:val="none" w:sz="0" w:space="0" w:color="auto"/>
        <w:left w:val="none" w:sz="0" w:space="0" w:color="auto"/>
        <w:bottom w:val="none" w:sz="0" w:space="0" w:color="auto"/>
        <w:right w:val="none" w:sz="0" w:space="0" w:color="auto"/>
      </w:divBdr>
    </w:div>
    <w:div w:id="312879756">
      <w:bodyDiv w:val="1"/>
      <w:marLeft w:val="0"/>
      <w:marRight w:val="0"/>
      <w:marTop w:val="0"/>
      <w:marBottom w:val="0"/>
      <w:divBdr>
        <w:top w:val="none" w:sz="0" w:space="0" w:color="auto"/>
        <w:left w:val="none" w:sz="0" w:space="0" w:color="auto"/>
        <w:bottom w:val="none" w:sz="0" w:space="0" w:color="auto"/>
        <w:right w:val="none" w:sz="0" w:space="0" w:color="auto"/>
      </w:divBdr>
    </w:div>
    <w:div w:id="341977683">
      <w:bodyDiv w:val="1"/>
      <w:marLeft w:val="0"/>
      <w:marRight w:val="0"/>
      <w:marTop w:val="0"/>
      <w:marBottom w:val="0"/>
      <w:divBdr>
        <w:top w:val="none" w:sz="0" w:space="0" w:color="auto"/>
        <w:left w:val="none" w:sz="0" w:space="0" w:color="auto"/>
        <w:bottom w:val="none" w:sz="0" w:space="0" w:color="auto"/>
        <w:right w:val="none" w:sz="0" w:space="0" w:color="auto"/>
      </w:divBdr>
    </w:div>
    <w:div w:id="369495334">
      <w:bodyDiv w:val="1"/>
      <w:marLeft w:val="0"/>
      <w:marRight w:val="0"/>
      <w:marTop w:val="0"/>
      <w:marBottom w:val="0"/>
      <w:divBdr>
        <w:top w:val="none" w:sz="0" w:space="0" w:color="auto"/>
        <w:left w:val="none" w:sz="0" w:space="0" w:color="auto"/>
        <w:bottom w:val="none" w:sz="0" w:space="0" w:color="auto"/>
        <w:right w:val="none" w:sz="0" w:space="0" w:color="auto"/>
      </w:divBdr>
    </w:div>
    <w:div w:id="624846312">
      <w:bodyDiv w:val="1"/>
      <w:marLeft w:val="0"/>
      <w:marRight w:val="0"/>
      <w:marTop w:val="0"/>
      <w:marBottom w:val="0"/>
      <w:divBdr>
        <w:top w:val="none" w:sz="0" w:space="0" w:color="auto"/>
        <w:left w:val="none" w:sz="0" w:space="0" w:color="auto"/>
        <w:bottom w:val="none" w:sz="0" w:space="0" w:color="auto"/>
        <w:right w:val="none" w:sz="0" w:space="0" w:color="auto"/>
      </w:divBdr>
    </w:div>
    <w:div w:id="911279930">
      <w:bodyDiv w:val="1"/>
      <w:marLeft w:val="0"/>
      <w:marRight w:val="0"/>
      <w:marTop w:val="0"/>
      <w:marBottom w:val="0"/>
      <w:divBdr>
        <w:top w:val="none" w:sz="0" w:space="0" w:color="auto"/>
        <w:left w:val="none" w:sz="0" w:space="0" w:color="auto"/>
        <w:bottom w:val="none" w:sz="0" w:space="0" w:color="auto"/>
        <w:right w:val="none" w:sz="0" w:space="0" w:color="auto"/>
      </w:divBdr>
    </w:div>
    <w:div w:id="935669852">
      <w:bodyDiv w:val="1"/>
      <w:marLeft w:val="0"/>
      <w:marRight w:val="0"/>
      <w:marTop w:val="0"/>
      <w:marBottom w:val="0"/>
      <w:divBdr>
        <w:top w:val="none" w:sz="0" w:space="0" w:color="auto"/>
        <w:left w:val="none" w:sz="0" w:space="0" w:color="auto"/>
        <w:bottom w:val="none" w:sz="0" w:space="0" w:color="auto"/>
        <w:right w:val="none" w:sz="0" w:space="0" w:color="auto"/>
      </w:divBdr>
    </w:div>
    <w:div w:id="1115294004">
      <w:bodyDiv w:val="1"/>
      <w:marLeft w:val="0"/>
      <w:marRight w:val="0"/>
      <w:marTop w:val="0"/>
      <w:marBottom w:val="0"/>
      <w:divBdr>
        <w:top w:val="none" w:sz="0" w:space="0" w:color="auto"/>
        <w:left w:val="none" w:sz="0" w:space="0" w:color="auto"/>
        <w:bottom w:val="none" w:sz="0" w:space="0" w:color="auto"/>
        <w:right w:val="none" w:sz="0" w:space="0" w:color="auto"/>
      </w:divBdr>
    </w:div>
    <w:div w:id="1147168553">
      <w:bodyDiv w:val="1"/>
      <w:marLeft w:val="0"/>
      <w:marRight w:val="0"/>
      <w:marTop w:val="0"/>
      <w:marBottom w:val="0"/>
      <w:divBdr>
        <w:top w:val="none" w:sz="0" w:space="0" w:color="auto"/>
        <w:left w:val="none" w:sz="0" w:space="0" w:color="auto"/>
        <w:bottom w:val="none" w:sz="0" w:space="0" w:color="auto"/>
        <w:right w:val="none" w:sz="0" w:space="0" w:color="auto"/>
      </w:divBdr>
    </w:div>
    <w:div w:id="1217398321">
      <w:bodyDiv w:val="1"/>
      <w:marLeft w:val="0"/>
      <w:marRight w:val="0"/>
      <w:marTop w:val="0"/>
      <w:marBottom w:val="0"/>
      <w:divBdr>
        <w:top w:val="none" w:sz="0" w:space="0" w:color="auto"/>
        <w:left w:val="none" w:sz="0" w:space="0" w:color="auto"/>
        <w:bottom w:val="none" w:sz="0" w:space="0" w:color="auto"/>
        <w:right w:val="none" w:sz="0" w:space="0" w:color="auto"/>
      </w:divBdr>
    </w:div>
    <w:div w:id="1221408450">
      <w:bodyDiv w:val="1"/>
      <w:marLeft w:val="0"/>
      <w:marRight w:val="0"/>
      <w:marTop w:val="0"/>
      <w:marBottom w:val="0"/>
      <w:divBdr>
        <w:top w:val="none" w:sz="0" w:space="0" w:color="auto"/>
        <w:left w:val="none" w:sz="0" w:space="0" w:color="auto"/>
        <w:bottom w:val="none" w:sz="0" w:space="0" w:color="auto"/>
        <w:right w:val="none" w:sz="0" w:space="0" w:color="auto"/>
      </w:divBdr>
    </w:div>
    <w:div w:id="1309820373">
      <w:bodyDiv w:val="1"/>
      <w:marLeft w:val="0"/>
      <w:marRight w:val="0"/>
      <w:marTop w:val="0"/>
      <w:marBottom w:val="0"/>
      <w:divBdr>
        <w:top w:val="none" w:sz="0" w:space="0" w:color="auto"/>
        <w:left w:val="none" w:sz="0" w:space="0" w:color="auto"/>
        <w:bottom w:val="none" w:sz="0" w:space="0" w:color="auto"/>
        <w:right w:val="none" w:sz="0" w:space="0" w:color="auto"/>
      </w:divBdr>
    </w:div>
    <w:div w:id="1575243012">
      <w:bodyDiv w:val="1"/>
      <w:marLeft w:val="0"/>
      <w:marRight w:val="0"/>
      <w:marTop w:val="0"/>
      <w:marBottom w:val="0"/>
      <w:divBdr>
        <w:top w:val="none" w:sz="0" w:space="0" w:color="auto"/>
        <w:left w:val="none" w:sz="0" w:space="0" w:color="auto"/>
        <w:bottom w:val="none" w:sz="0" w:space="0" w:color="auto"/>
        <w:right w:val="none" w:sz="0" w:space="0" w:color="auto"/>
      </w:divBdr>
    </w:div>
    <w:div w:id="1739355717">
      <w:bodyDiv w:val="1"/>
      <w:marLeft w:val="0"/>
      <w:marRight w:val="0"/>
      <w:marTop w:val="0"/>
      <w:marBottom w:val="0"/>
      <w:divBdr>
        <w:top w:val="none" w:sz="0" w:space="0" w:color="auto"/>
        <w:left w:val="none" w:sz="0" w:space="0" w:color="auto"/>
        <w:bottom w:val="none" w:sz="0" w:space="0" w:color="auto"/>
        <w:right w:val="none" w:sz="0" w:space="0" w:color="auto"/>
      </w:divBdr>
    </w:div>
    <w:div w:id="1797330510">
      <w:bodyDiv w:val="1"/>
      <w:marLeft w:val="0"/>
      <w:marRight w:val="0"/>
      <w:marTop w:val="0"/>
      <w:marBottom w:val="0"/>
      <w:divBdr>
        <w:top w:val="none" w:sz="0" w:space="0" w:color="auto"/>
        <w:left w:val="none" w:sz="0" w:space="0" w:color="auto"/>
        <w:bottom w:val="none" w:sz="0" w:space="0" w:color="auto"/>
        <w:right w:val="none" w:sz="0" w:space="0" w:color="auto"/>
      </w:divBdr>
    </w:div>
    <w:div w:id="1882008904">
      <w:bodyDiv w:val="1"/>
      <w:marLeft w:val="0"/>
      <w:marRight w:val="0"/>
      <w:marTop w:val="0"/>
      <w:marBottom w:val="0"/>
      <w:divBdr>
        <w:top w:val="none" w:sz="0" w:space="0" w:color="auto"/>
        <w:left w:val="none" w:sz="0" w:space="0" w:color="auto"/>
        <w:bottom w:val="none" w:sz="0" w:space="0" w:color="auto"/>
        <w:right w:val="none" w:sz="0" w:space="0" w:color="auto"/>
      </w:divBdr>
    </w:div>
    <w:div w:id="2051413790">
      <w:bodyDiv w:val="1"/>
      <w:marLeft w:val="0"/>
      <w:marRight w:val="0"/>
      <w:marTop w:val="0"/>
      <w:marBottom w:val="0"/>
      <w:divBdr>
        <w:top w:val="none" w:sz="0" w:space="0" w:color="auto"/>
        <w:left w:val="none" w:sz="0" w:space="0" w:color="auto"/>
        <w:bottom w:val="none" w:sz="0" w:space="0" w:color="auto"/>
        <w:right w:val="none" w:sz="0" w:space="0" w:color="auto"/>
      </w:divBdr>
    </w:div>
    <w:div w:id="2081321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so_labour@govmu.org" TargetMode="Externa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yperlink" Target="mailto:cso_labour@govmu.org"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93FC4C48176D4BA39FB2B3A58FDD54" ma:contentTypeVersion="1" ma:contentTypeDescription="Create a new document." ma:contentTypeScope="" ma:versionID="7350b534a8aa33a7f4abf92fcd5ca326">
  <xsd:schema xmlns:xsd="http://www.w3.org/2001/XMLSchema" xmlns:xs="http://www.w3.org/2001/XMLSchema" xmlns:p="http://schemas.microsoft.com/office/2006/metadata/properties" xmlns:ns1="http://schemas.microsoft.com/sharepoint/v3" targetNamespace="http://schemas.microsoft.com/office/2006/metadata/properties" ma:root="true" ma:fieldsID="ff01fac345008aa34b3a53f2166bf3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E20B472-D18D-4D66-B89B-8962F760A952}">
  <ds:schemaRefs>
    <ds:schemaRef ds:uri="http://schemas.openxmlformats.org/officeDocument/2006/bibliography"/>
  </ds:schemaRefs>
</ds:datastoreItem>
</file>

<file path=customXml/itemProps2.xml><?xml version="1.0" encoding="utf-8"?>
<ds:datastoreItem xmlns:ds="http://schemas.openxmlformats.org/officeDocument/2006/customXml" ds:itemID="{4CE5C887-F611-4336-A46A-E2CDA2A3FF53}"/>
</file>

<file path=customXml/itemProps3.xml><?xml version="1.0" encoding="utf-8"?>
<ds:datastoreItem xmlns:ds="http://schemas.openxmlformats.org/officeDocument/2006/customXml" ds:itemID="{183F7061-4AF2-439B-A8C0-44F58750F389}"/>
</file>

<file path=customXml/itemProps4.xml><?xml version="1.0" encoding="utf-8"?>
<ds:datastoreItem xmlns:ds="http://schemas.openxmlformats.org/officeDocument/2006/customXml" ds:itemID="{D274B884-F41B-463E-A0C6-F36871A44ACC}"/>
</file>

<file path=docProps/app.xml><?xml version="1.0" encoding="utf-8"?>
<Properties xmlns="http://schemas.openxmlformats.org/officeDocument/2006/extended-properties" xmlns:vt="http://schemas.openxmlformats.org/officeDocument/2006/docPropsVTypes">
  <Template>Normal</Template>
  <TotalTime>994</TotalTime>
  <Pages>6</Pages>
  <Words>1339</Words>
  <Characters>7634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1</vt:lpstr>
    </vt:vector>
  </TitlesOfParts>
  <Company/>
  <LinksUpToDate>false</LinksUpToDate>
  <CharactersWithSpaces>8956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cisd</dc:creator>
  <cp:keywords/>
  <cp:lastModifiedBy>Sujata Devi Venkatasami</cp:lastModifiedBy>
  <cp:revision>100</cp:revision>
  <cp:lastPrinted>2024-12-17T06:15:00Z</cp:lastPrinted>
  <dcterms:created xsi:type="dcterms:W3CDTF">2024-03-26T05:05:00Z</dcterms:created>
  <dcterms:modified xsi:type="dcterms:W3CDTF">2024-12-17T06:30:00Z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0x0101002493FC4C48176D4BA39FB2B3A58FDD54</vt:lpwstr>
  </property>
</Properties>
</file>