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B708B" w14:textId="77777777" w:rsidR="00C87009" w:rsidRDefault="00C87009" w:rsidP="00217E58">
      <w:pPr>
        <w:spacing w:line="276" w:lineRule="auto"/>
        <w:jc w:val="center"/>
        <w:rPr>
          <w:b/>
          <w:bCs/>
          <w:sz w:val="22"/>
          <w:szCs w:val="22"/>
        </w:rPr>
      </w:pPr>
    </w:p>
    <w:p w14:paraId="3C79557E" w14:textId="77777777" w:rsidR="003B2687" w:rsidRPr="003042A4" w:rsidRDefault="003B2687" w:rsidP="00217E58">
      <w:pPr>
        <w:spacing w:line="276" w:lineRule="auto"/>
        <w:jc w:val="center"/>
        <w:rPr>
          <w:b/>
          <w:bCs/>
          <w:sz w:val="22"/>
          <w:szCs w:val="22"/>
        </w:rPr>
      </w:pPr>
      <w:r w:rsidRPr="003042A4">
        <w:rPr>
          <w:b/>
          <w:bCs/>
          <w:sz w:val="22"/>
          <w:szCs w:val="22"/>
        </w:rPr>
        <w:t>PRODUCER PRICE INDEX - MANUFACTURING (PPI-M)</w:t>
      </w:r>
    </w:p>
    <w:p w14:paraId="15D1AA2D" w14:textId="597FF511" w:rsidR="003B2687" w:rsidRPr="003042A4" w:rsidRDefault="00320F26" w:rsidP="00217E58">
      <w:pPr>
        <w:spacing w:line="276" w:lineRule="auto"/>
        <w:jc w:val="center"/>
        <w:rPr>
          <w:b/>
          <w:bCs/>
          <w:sz w:val="22"/>
          <w:szCs w:val="22"/>
        </w:rPr>
      </w:pPr>
      <w:r>
        <w:rPr>
          <w:b/>
          <w:bCs/>
          <w:sz w:val="22"/>
          <w:szCs w:val="22"/>
        </w:rPr>
        <w:t>1</w:t>
      </w:r>
      <w:r>
        <w:rPr>
          <w:b/>
          <w:bCs/>
          <w:sz w:val="22"/>
          <w:szCs w:val="22"/>
          <w:vertAlign w:val="superscript"/>
        </w:rPr>
        <w:t>st</w:t>
      </w:r>
      <w:r w:rsidR="003B2687" w:rsidRPr="003042A4">
        <w:rPr>
          <w:b/>
          <w:bCs/>
          <w:sz w:val="22"/>
          <w:szCs w:val="22"/>
        </w:rPr>
        <w:t xml:space="preserve"> Quarter 20</w:t>
      </w:r>
      <w:r w:rsidR="00AD1C2F">
        <w:rPr>
          <w:b/>
          <w:bCs/>
          <w:sz w:val="22"/>
          <w:szCs w:val="22"/>
        </w:rPr>
        <w:t>2</w:t>
      </w:r>
      <w:r>
        <w:rPr>
          <w:b/>
          <w:bCs/>
          <w:sz w:val="22"/>
          <w:szCs w:val="22"/>
        </w:rPr>
        <w:t>3</w:t>
      </w:r>
    </w:p>
    <w:p w14:paraId="277A4D4D" w14:textId="77777777" w:rsidR="003B2687" w:rsidRPr="003042A4" w:rsidRDefault="003B2687" w:rsidP="00217E58">
      <w:pPr>
        <w:spacing w:line="276" w:lineRule="auto"/>
        <w:jc w:val="center"/>
        <w:rPr>
          <w:b/>
          <w:bCs/>
          <w:sz w:val="22"/>
          <w:szCs w:val="22"/>
        </w:rPr>
      </w:pPr>
      <w:r w:rsidRPr="003042A4">
        <w:rPr>
          <w:b/>
          <w:bCs/>
          <w:sz w:val="22"/>
          <w:szCs w:val="22"/>
        </w:rPr>
        <w:t xml:space="preserve"> (Base year: 201</w:t>
      </w:r>
      <w:r w:rsidR="001409E4">
        <w:rPr>
          <w:b/>
          <w:bCs/>
          <w:sz w:val="22"/>
          <w:szCs w:val="22"/>
        </w:rPr>
        <w:t>8</w:t>
      </w:r>
      <w:r w:rsidRPr="003042A4">
        <w:rPr>
          <w:b/>
          <w:bCs/>
          <w:sz w:val="22"/>
          <w:szCs w:val="22"/>
        </w:rPr>
        <w:t xml:space="preserve"> =100) </w:t>
      </w:r>
    </w:p>
    <w:p w14:paraId="19F44B5B" w14:textId="77777777" w:rsidR="003B2687" w:rsidRPr="001B6409" w:rsidRDefault="003B2687" w:rsidP="003B2687">
      <w:pPr>
        <w:tabs>
          <w:tab w:val="left" w:pos="567"/>
        </w:tabs>
        <w:spacing w:before="120" w:after="120"/>
        <w:jc w:val="both"/>
        <w:rPr>
          <w:b/>
          <w:bCs/>
          <w:sz w:val="24"/>
          <w:szCs w:val="24"/>
        </w:rPr>
      </w:pPr>
      <w:r w:rsidRPr="001B6409">
        <w:rPr>
          <w:b/>
          <w:bCs/>
          <w:sz w:val="24"/>
          <w:szCs w:val="24"/>
        </w:rPr>
        <w:t>1.</w:t>
      </w:r>
      <w:r w:rsidRPr="001B6409">
        <w:rPr>
          <w:sz w:val="24"/>
          <w:szCs w:val="24"/>
        </w:rPr>
        <w:tab/>
      </w:r>
      <w:r w:rsidRPr="001B6409">
        <w:rPr>
          <w:b/>
          <w:bCs/>
          <w:sz w:val="24"/>
          <w:szCs w:val="24"/>
        </w:rPr>
        <w:t>Introduction</w:t>
      </w:r>
    </w:p>
    <w:p w14:paraId="4BFBA75E" w14:textId="0230A0EB" w:rsidR="003B2687" w:rsidRPr="001B6409" w:rsidRDefault="005D51E9" w:rsidP="00E810AC">
      <w:pPr>
        <w:pStyle w:val="BodyTextIndent"/>
        <w:spacing w:before="120" w:after="240"/>
        <w:ind w:firstLine="0"/>
        <w:rPr>
          <w:color w:val="000000"/>
          <w:sz w:val="24"/>
          <w:szCs w:val="24"/>
        </w:rPr>
      </w:pPr>
      <w:r>
        <w:rPr>
          <w:color w:val="000000"/>
          <w:sz w:val="24"/>
          <w:szCs w:val="24"/>
        </w:rPr>
        <w:t xml:space="preserve">The Producer Price </w:t>
      </w:r>
      <w:r w:rsidRPr="00AD5C80">
        <w:rPr>
          <w:color w:val="000000"/>
          <w:sz w:val="24"/>
          <w:szCs w:val="24"/>
        </w:rPr>
        <w:t>Index for</w:t>
      </w:r>
      <w:r w:rsidR="003B2687" w:rsidRPr="00AD5C80">
        <w:rPr>
          <w:color w:val="000000"/>
          <w:sz w:val="24"/>
          <w:szCs w:val="24"/>
        </w:rPr>
        <w:t xml:space="preserve"> the Manufacturing</w:t>
      </w:r>
      <w:r w:rsidR="003B2687" w:rsidRPr="001B6409">
        <w:rPr>
          <w:color w:val="000000"/>
          <w:sz w:val="24"/>
          <w:szCs w:val="24"/>
        </w:rPr>
        <w:t xml:space="preserve"> sector (PPI-M) measures pure price changes in the effective prices received by producers for that part of their output, which is sold on the domestic market (in Mauritian rupees) and therefore excludes Export Oriented Enterprises.</w:t>
      </w:r>
    </w:p>
    <w:p w14:paraId="10509BAA" w14:textId="50006234" w:rsidR="003B2687" w:rsidRPr="00F037FF" w:rsidRDefault="003B2687" w:rsidP="003B2687">
      <w:pPr>
        <w:pStyle w:val="BodyTextIndent"/>
        <w:spacing w:before="120" w:after="120"/>
        <w:ind w:firstLine="0"/>
        <w:rPr>
          <w:sz w:val="24"/>
          <w:szCs w:val="24"/>
        </w:rPr>
      </w:pPr>
      <w:r w:rsidRPr="001B6409">
        <w:rPr>
          <w:color w:val="000000"/>
          <w:sz w:val="24"/>
          <w:szCs w:val="24"/>
        </w:rPr>
        <w:t xml:space="preserve">This issue of the Economic and Social Indicators (ESI) presents a series of monthly PPI-M for the period </w:t>
      </w:r>
      <w:r w:rsidR="00320F26">
        <w:rPr>
          <w:color w:val="000000"/>
          <w:sz w:val="24"/>
          <w:szCs w:val="24"/>
        </w:rPr>
        <w:t>April</w:t>
      </w:r>
      <w:r w:rsidR="006133BD">
        <w:rPr>
          <w:color w:val="000000"/>
          <w:sz w:val="24"/>
          <w:szCs w:val="24"/>
        </w:rPr>
        <w:t xml:space="preserve"> </w:t>
      </w:r>
      <w:r w:rsidR="0099788B" w:rsidRPr="001409E4">
        <w:rPr>
          <w:color w:val="000000"/>
          <w:sz w:val="24"/>
          <w:szCs w:val="24"/>
        </w:rPr>
        <w:t>202</w:t>
      </w:r>
      <w:r w:rsidR="006133BD">
        <w:rPr>
          <w:color w:val="000000"/>
          <w:sz w:val="24"/>
          <w:szCs w:val="24"/>
        </w:rPr>
        <w:t>2</w:t>
      </w:r>
      <w:r w:rsidRPr="001409E4">
        <w:rPr>
          <w:color w:val="000000"/>
          <w:sz w:val="24"/>
          <w:szCs w:val="24"/>
        </w:rPr>
        <w:t xml:space="preserve"> to </w:t>
      </w:r>
      <w:r w:rsidR="00320F26">
        <w:rPr>
          <w:color w:val="000000"/>
          <w:sz w:val="24"/>
          <w:szCs w:val="24"/>
        </w:rPr>
        <w:t>March</w:t>
      </w:r>
      <w:r w:rsidRPr="001409E4">
        <w:rPr>
          <w:color w:val="000000"/>
          <w:sz w:val="24"/>
          <w:szCs w:val="24"/>
        </w:rPr>
        <w:t xml:space="preserve"> 20</w:t>
      </w:r>
      <w:r w:rsidR="003A3793" w:rsidRPr="001409E4">
        <w:rPr>
          <w:color w:val="000000"/>
          <w:sz w:val="24"/>
          <w:szCs w:val="24"/>
        </w:rPr>
        <w:t>2</w:t>
      </w:r>
      <w:r w:rsidR="00320F26">
        <w:rPr>
          <w:color w:val="000000"/>
          <w:sz w:val="24"/>
          <w:szCs w:val="24"/>
        </w:rPr>
        <w:t>3</w:t>
      </w:r>
      <w:r w:rsidRPr="001B6409">
        <w:rPr>
          <w:color w:val="000000"/>
          <w:sz w:val="24"/>
          <w:szCs w:val="24"/>
        </w:rPr>
        <w:t xml:space="preserve"> and </w:t>
      </w:r>
      <w:r w:rsidR="00670DC5">
        <w:rPr>
          <w:sz w:val="24"/>
          <w:szCs w:val="24"/>
        </w:rPr>
        <w:t>q</w:t>
      </w:r>
      <w:r w:rsidR="00864839">
        <w:rPr>
          <w:sz w:val="24"/>
          <w:szCs w:val="24"/>
        </w:rPr>
        <w:t xml:space="preserve">uarterly indices from the </w:t>
      </w:r>
      <w:r w:rsidR="00320F26">
        <w:rPr>
          <w:sz w:val="24"/>
          <w:szCs w:val="24"/>
        </w:rPr>
        <w:t>second</w:t>
      </w:r>
      <w:r w:rsidR="00C041DB">
        <w:rPr>
          <w:sz w:val="24"/>
          <w:szCs w:val="24"/>
        </w:rPr>
        <w:t xml:space="preserve"> </w:t>
      </w:r>
      <w:r w:rsidRPr="0024007D">
        <w:rPr>
          <w:sz w:val="24"/>
          <w:szCs w:val="24"/>
        </w:rPr>
        <w:t>quarter</w:t>
      </w:r>
      <w:r w:rsidRPr="00CD0A32">
        <w:rPr>
          <w:color w:val="FF0000"/>
          <w:sz w:val="24"/>
          <w:szCs w:val="24"/>
        </w:rPr>
        <w:t xml:space="preserve"> </w:t>
      </w:r>
      <w:r w:rsidRPr="0024007D">
        <w:rPr>
          <w:sz w:val="24"/>
          <w:szCs w:val="24"/>
        </w:rPr>
        <w:t xml:space="preserve">of </w:t>
      </w:r>
      <w:r w:rsidR="006133BD">
        <w:rPr>
          <w:sz w:val="24"/>
          <w:szCs w:val="24"/>
        </w:rPr>
        <w:t>2021</w:t>
      </w:r>
      <w:r w:rsidRPr="0024007D">
        <w:rPr>
          <w:sz w:val="24"/>
          <w:szCs w:val="24"/>
        </w:rPr>
        <w:t xml:space="preserve"> to the </w:t>
      </w:r>
      <w:r w:rsidR="00320F26">
        <w:rPr>
          <w:sz w:val="24"/>
          <w:szCs w:val="24"/>
        </w:rPr>
        <w:t>first</w:t>
      </w:r>
      <w:r w:rsidR="006133BD">
        <w:rPr>
          <w:sz w:val="24"/>
          <w:szCs w:val="24"/>
        </w:rPr>
        <w:t xml:space="preserve"> </w:t>
      </w:r>
      <w:r w:rsidRPr="0024007D">
        <w:rPr>
          <w:sz w:val="24"/>
          <w:szCs w:val="24"/>
        </w:rPr>
        <w:t>quarter of 20</w:t>
      </w:r>
      <w:r w:rsidR="003A3793">
        <w:rPr>
          <w:sz w:val="24"/>
          <w:szCs w:val="24"/>
        </w:rPr>
        <w:t>2</w:t>
      </w:r>
      <w:r w:rsidR="00320F26">
        <w:rPr>
          <w:sz w:val="24"/>
          <w:szCs w:val="24"/>
        </w:rPr>
        <w:t>3</w:t>
      </w:r>
      <w:r w:rsidR="00925B3F">
        <w:rPr>
          <w:color w:val="000000"/>
          <w:sz w:val="24"/>
          <w:szCs w:val="24"/>
        </w:rPr>
        <w:t xml:space="preserve">. </w:t>
      </w:r>
      <w:r w:rsidRPr="001B6409">
        <w:rPr>
          <w:color w:val="000000"/>
          <w:sz w:val="24"/>
          <w:szCs w:val="24"/>
        </w:rPr>
        <w:t xml:space="preserve">The weights for the PPI-M have been derived from the results of </w:t>
      </w:r>
      <w:r w:rsidRPr="00F037FF">
        <w:rPr>
          <w:color w:val="000000"/>
          <w:sz w:val="24"/>
          <w:szCs w:val="24"/>
        </w:rPr>
        <w:t>the 201</w:t>
      </w:r>
      <w:r w:rsidR="00BA43E1" w:rsidRPr="00F037FF">
        <w:rPr>
          <w:color w:val="000000"/>
          <w:sz w:val="24"/>
          <w:szCs w:val="24"/>
        </w:rPr>
        <w:t>8</w:t>
      </w:r>
      <w:r w:rsidR="00542F2F" w:rsidRPr="00F037FF">
        <w:rPr>
          <w:color w:val="000000"/>
          <w:sz w:val="24"/>
          <w:szCs w:val="24"/>
        </w:rPr>
        <w:t xml:space="preserve"> Census of Economic Activities.</w:t>
      </w:r>
    </w:p>
    <w:p w14:paraId="7F708C6A" w14:textId="5BA78661" w:rsidR="000E12E5" w:rsidRDefault="003B2687" w:rsidP="003D0EB1">
      <w:pPr>
        <w:pStyle w:val="BodyTextIndent"/>
        <w:spacing w:before="120" w:after="240"/>
        <w:ind w:firstLine="0"/>
        <w:rPr>
          <w:color w:val="000000"/>
          <w:sz w:val="24"/>
          <w:szCs w:val="24"/>
        </w:rPr>
      </w:pPr>
      <w:r w:rsidRPr="004257FF">
        <w:rPr>
          <w:color w:val="000000"/>
          <w:sz w:val="24"/>
          <w:szCs w:val="24"/>
        </w:rPr>
        <w:t xml:space="preserve">Indices prior to </w:t>
      </w:r>
      <w:r w:rsidR="00320F26">
        <w:rPr>
          <w:sz w:val="24"/>
          <w:szCs w:val="24"/>
        </w:rPr>
        <w:t>April</w:t>
      </w:r>
      <w:r w:rsidR="006133BD">
        <w:rPr>
          <w:sz w:val="24"/>
          <w:szCs w:val="24"/>
        </w:rPr>
        <w:t xml:space="preserve"> </w:t>
      </w:r>
      <w:r w:rsidRPr="004257FF">
        <w:rPr>
          <w:sz w:val="24"/>
          <w:szCs w:val="24"/>
        </w:rPr>
        <w:t>20</w:t>
      </w:r>
      <w:r w:rsidR="007F6D75" w:rsidRPr="004257FF">
        <w:rPr>
          <w:sz w:val="24"/>
          <w:szCs w:val="24"/>
        </w:rPr>
        <w:t>2</w:t>
      </w:r>
      <w:r w:rsidR="006133BD">
        <w:rPr>
          <w:sz w:val="24"/>
          <w:szCs w:val="24"/>
        </w:rPr>
        <w:t>2</w:t>
      </w:r>
      <w:r w:rsidRPr="004257FF">
        <w:rPr>
          <w:color w:val="000000"/>
          <w:sz w:val="24"/>
          <w:szCs w:val="24"/>
        </w:rPr>
        <w:t xml:space="preserve"> are posted on Statistics Mauritius website in the historical </w:t>
      </w:r>
      <w:r w:rsidR="003D0EB1" w:rsidRPr="004257FF">
        <w:rPr>
          <w:color w:val="000000"/>
          <w:sz w:val="24"/>
          <w:szCs w:val="24"/>
        </w:rPr>
        <w:t>s</w:t>
      </w:r>
      <w:r w:rsidRPr="004257FF">
        <w:rPr>
          <w:color w:val="000000"/>
          <w:sz w:val="24"/>
          <w:szCs w:val="24"/>
        </w:rPr>
        <w:t>eries of m</w:t>
      </w:r>
      <w:r w:rsidR="00BD4F12" w:rsidRPr="004257FF">
        <w:rPr>
          <w:color w:val="000000"/>
          <w:sz w:val="24"/>
          <w:szCs w:val="24"/>
        </w:rPr>
        <w:t>anufacturing statistics</w:t>
      </w:r>
      <w:r w:rsidR="00041762" w:rsidRPr="004257FF">
        <w:rPr>
          <w:color w:val="000000"/>
          <w:sz w:val="24"/>
          <w:szCs w:val="24"/>
        </w:rPr>
        <w:t>:</w:t>
      </w:r>
      <w:r w:rsidR="00B43B12">
        <w:rPr>
          <w:color w:val="000000"/>
          <w:sz w:val="24"/>
          <w:szCs w:val="24"/>
        </w:rPr>
        <w:t xml:space="preserve"> </w:t>
      </w:r>
    </w:p>
    <w:p w14:paraId="1BC7BF89" w14:textId="77777777" w:rsidR="000E12E5" w:rsidRDefault="007C0DF0" w:rsidP="00B43B12">
      <w:pPr>
        <w:pStyle w:val="BodyTextIndent"/>
        <w:spacing w:before="120" w:after="240"/>
        <w:ind w:firstLine="0"/>
        <w:jc w:val="left"/>
        <w:rPr>
          <w:color w:val="000000"/>
          <w:sz w:val="24"/>
          <w:szCs w:val="24"/>
        </w:rPr>
      </w:pPr>
      <w:hyperlink r:id="rId11" w:history="1">
        <w:r w:rsidR="000E12E5" w:rsidRPr="000E12E5">
          <w:rPr>
            <w:rStyle w:val="Hyperlink"/>
            <w:sz w:val="24"/>
            <w:szCs w:val="24"/>
          </w:rPr>
          <w:t>https://statsmauritius.govmu.org/Pages/Statistics/By_Subject/Indices/SB_Indices.aspx</w:t>
        </w:r>
      </w:hyperlink>
    </w:p>
    <w:p w14:paraId="590BBC84" w14:textId="77777777" w:rsidR="003B2687" w:rsidRPr="001B6409" w:rsidRDefault="003B2687" w:rsidP="003B2687">
      <w:pPr>
        <w:pStyle w:val="BodyTextIndent"/>
        <w:tabs>
          <w:tab w:val="left" w:pos="540"/>
          <w:tab w:val="left" w:pos="567"/>
        </w:tabs>
        <w:spacing w:before="120" w:after="240"/>
        <w:ind w:right="-22" w:firstLine="0"/>
        <w:rPr>
          <w:sz w:val="24"/>
          <w:szCs w:val="24"/>
        </w:rPr>
      </w:pPr>
      <w:r w:rsidRPr="001B6409">
        <w:rPr>
          <w:sz w:val="24"/>
          <w:szCs w:val="24"/>
        </w:rPr>
        <w:t>The methodology used for the computation of PPI-M is annexed.</w:t>
      </w:r>
    </w:p>
    <w:p w14:paraId="324BF450" w14:textId="4C6F178B" w:rsidR="003B2687" w:rsidRPr="001B6409" w:rsidRDefault="003B2687" w:rsidP="003B2687">
      <w:pPr>
        <w:tabs>
          <w:tab w:val="left" w:pos="567"/>
        </w:tabs>
        <w:spacing w:before="120" w:after="120"/>
        <w:ind w:right="-22"/>
        <w:jc w:val="both"/>
        <w:rPr>
          <w:b/>
          <w:bCs/>
          <w:sz w:val="24"/>
          <w:szCs w:val="24"/>
        </w:rPr>
      </w:pPr>
      <w:r w:rsidRPr="001B6409">
        <w:rPr>
          <w:b/>
          <w:bCs/>
          <w:sz w:val="24"/>
          <w:szCs w:val="24"/>
        </w:rPr>
        <w:t>2.</w:t>
      </w:r>
      <w:r w:rsidRPr="001B6409">
        <w:rPr>
          <w:b/>
          <w:bCs/>
          <w:sz w:val="24"/>
          <w:szCs w:val="24"/>
        </w:rPr>
        <w:tab/>
        <w:t xml:space="preserve">Changes during </w:t>
      </w:r>
      <w:r w:rsidR="00F7653A">
        <w:rPr>
          <w:b/>
          <w:bCs/>
          <w:sz w:val="24"/>
          <w:szCs w:val="24"/>
        </w:rPr>
        <w:t xml:space="preserve">the </w:t>
      </w:r>
      <w:r w:rsidR="00320F26">
        <w:rPr>
          <w:b/>
          <w:bCs/>
          <w:sz w:val="24"/>
          <w:szCs w:val="24"/>
        </w:rPr>
        <w:t>first</w:t>
      </w:r>
      <w:r w:rsidRPr="001B6409">
        <w:rPr>
          <w:b/>
          <w:bCs/>
          <w:sz w:val="24"/>
          <w:szCs w:val="24"/>
        </w:rPr>
        <w:t xml:space="preserve"> quarter </w:t>
      </w:r>
      <w:r w:rsidR="00F7653A">
        <w:rPr>
          <w:b/>
          <w:bCs/>
          <w:sz w:val="24"/>
          <w:szCs w:val="24"/>
        </w:rPr>
        <w:t xml:space="preserve">of </w:t>
      </w:r>
      <w:r w:rsidRPr="001B6409">
        <w:rPr>
          <w:b/>
          <w:bCs/>
          <w:sz w:val="24"/>
          <w:szCs w:val="24"/>
        </w:rPr>
        <w:t>20</w:t>
      </w:r>
      <w:r w:rsidR="003A3793">
        <w:rPr>
          <w:b/>
          <w:bCs/>
          <w:sz w:val="24"/>
          <w:szCs w:val="24"/>
        </w:rPr>
        <w:t>2</w:t>
      </w:r>
      <w:r w:rsidR="00320F26">
        <w:rPr>
          <w:b/>
          <w:bCs/>
          <w:sz w:val="24"/>
          <w:szCs w:val="24"/>
        </w:rPr>
        <w:t>3</w:t>
      </w:r>
    </w:p>
    <w:p w14:paraId="26E86B2B" w14:textId="77777777" w:rsidR="003B2687" w:rsidRPr="001B6409" w:rsidRDefault="003B2687" w:rsidP="003B2687">
      <w:pPr>
        <w:tabs>
          <w:tab w:val="left" w:pos="567"/>
          <w:tab w:val="left" w:pos="720"/>
        </w:tabs>
        <w:spacing w:before="120" w:after="120"/>
        <w:ind w:right="-22"/>
        <w:jc w:val="both"/>
        <w:rPr>
          <w:b/>
          <w:iCs/>
          <w:sz w:val="24"/>
          <w:szCs w:val="24"/>
          <w:u w:val="single"/>
        </w:rPr>
      </w:pPr>
      <w:r w:rsidRPr="001B6409">
        <w:rPr>
          <w:b/>
          <w:bCs/>
          <w:iCs/>
          <w:sz w:val="24"/>
          <w:szCs w:val="24"/>
        </w:rPr>
        <w:t>2.1</w:t>
      </w:r>
      <w:r w:rsidRPr="001B6409">
        <w:rPr>
          <w:b/>
          <w:bCs/>
          <w:iCs/>
          <w:sz w:val="24"/>
          <w:szCs w:val="24"/>
        </w:rPr>
        <w:tab/>
      </w:r>
      <w:r w:rsidRPr="001B6409">
        <w:rPr>
          <w:b/>
          <w:bCs/>
          <w:iCs/>
          <w:sz w:val="24"/>
          <w:szCs w:val="24"/>
          <w:u w:val="single"/>
        </w:rPr>
        <w:t>Manufacturing Sector</w:t>
      </w:r>
    </w:p>
    <w:p w14:paraId="3D641CC0" w14:textId="3B535355" w:rsidR="00C806F8" w:rsidRPr="00EB795E" w:rsidRDefault="003B2687" w:rsidP="00E810AC">
      <w:pPr>
        <w:pStyle w:val="BodyTextIndent"/>
        <w:tabs>
          <w:tab w:val="left" w:pos="567"/>
        </w:tabs>
        <w:spacing w:before="120" w:after="120"/>
        <w:ind w:right="-29" w:firstLine="0"/>
        <w:rPr>
          <w:sz w:val="24"/>
          <w:szCs w:val="24"/>
        </w:rPr>
      </w:pPr>
      <w:r w:rsidRPr="001B6409">
        <w:rPr>
          <w:sz w:val="24"/>
          <w:szCs w:val="24"/>
        </w:rPr>
        <w:t xml:space="preserve">The Producer Price Index for the manufacturing sector registered </w:t>
      </w:r>
      <w:r w:rsidR="00320F26">
        <w:rPr>
          <w:sz w:val="24"/>
          <w:szCs w:val="24"/>
        </w:rPr>
        <w:t>a</w:t>
      </w:r>
      <w:r w:rsidR="00CD2BB2">
        <w:rPr>
          <w:sz w:val="24"/>
          <w:szCs w:val="24"/>
        </w:rPr>
        <w:t>n</w:t>
      </w:r>
      <w:r w:rsidR="00320F26">
        <w:rPr>
          <w:sz w:val="24"/>
          <w:szCs w:val="24"/>
        </w:rPr>
        <w:t xml:space="preserve"> increase</w:t>
      </w:r>
      <w:r w:rsidR="00C041DB">
        <w:rPr>
          <w:sz w:val="24"/>
          <w:szCs w:val="24"/>
        </w:rPr>
        <w:t xml:space="preserve"> of </w:t>
      </w:r>
      <w:r w:rsidR="00320F26">
        <w:rPr>
          <w:sz w:val="24"/>
          <w:szCs w:val="24"/>
        </w:rPr>
        <w:t>2.3</w:t>
      </w:r>
      <w:r w:rsidRPr="00D90C34">
        <w:rPr>
          <w:sz w:val="24"/>
          <w:szCs w:val="24"/>
        </w:rPr>
        <w:t xml:space="preserve"> point</w:t>
      </w:r>
      <w:r w:rsidR="00100850">
        <w:rPr>
          <w:sz w:val="24"/>
          <w:szCs w:val="24"/>
        </w:rPr>
        <w:t>s</w:t>
      </w:r>
      <w:r w:rsidRPr="00CD0A32">
        <w:rPr>
          <w:color w:val="FF0000"/>
          <w:sz w:val="24"/>
          <w:szCs w:val="24"/>
        </w:rPr>
        <w:t xml:space="preserve"> </w:t>
      </w:r>
      <w:r w:rsidR="00320F26">
        <w:rPr>
          <w:sz w:val="24"/>
          <w:szCs w:val="24"/>
        </w:rPr>
        <w:t>(</w:t>
      </w:r>
      <w:r w:rsidR="00FC486A">
        <w:rPr>
          <w:sz w:val="24"/>
          <w:szCs w:val="24"/>
        </w:rPr>
        <w:t>+</w:t>
      </w:r>
      <w:r w:rsidR="00320F26">
        <w:rPr>
          <w:sz w:val="24"/>
          <w:szCs w:val="24"/>
        </w:rPr>
        <w:t>1.6</w:t>
      </w:r>
      <w:r w:rsidRPr="00D90C34">
        <w:rPr>
          <w:sz w:val="24"/>
          <w:szCs w:val="24"/>
        </w:rPr>
        <w:t>%) from</w:t>
      </w:r>
      <w:r w:rsidRPr="00CD0A32">
        <w:rPr>
          <w:color w:val="FF0000"/>
          <w:sz w:val="24"/>
          <w:szCs w:val="24"/>
        </w:rPr>
        <w:t xml:space="preserve"> </w:t>
      </w:r>
      <w:r w:rsidR="00320F26">
        <w:rPr>
          <w:sz w:val="24"/>
          <w:szCs w:val="24"/>
        </w:rPr>
        <w:t>147.9</w:t>
      </w:r>
      <w:r w:rsidRPr="00D90C34">
        <w:rPr>
          <w:sz w:val="24"/>
          <w:szCs w:val="24"/>
        </w:rPr>
        <w:t xml:space="preserve"> in </w:t>
      </w:r>
      <w:r w:rsidR="00320F26">
        <w:rPr>
          <w:sz w:val="24"/>
          <w:szCs w:val="24"/>
        </w:rPr>
        <w:t>December</w:t>
      </w:r>
      <w:r w:rsidR="00100850">
        <w:rPr>
          <w:sz w:val="24"/>
          <w:szCs w:val="24"/>
        </w:rPr>
        <w:t xml:space="preserve"> </w:t>
      </w:r>
      <w:r w:rsidR="00ED15F0">
        <w:rPr>
          <w:sz w:val="24"/>
          <w:szCs w:val="24"/>
        </w:rPr>
        <w:t>20</w:t>
      </w:r>
      <w:r w:rsidR="004407C6">
        <w:rPr>
          <w:sz w:val="24"/>
          <w:szCs w:val="24"/>
        </w:rPr>
        <w:t>2</w:t>
      </w:r>
      <w:r w:rsidR="00BA43E1">
        <w:rPr>
          <w:sz w:val="24"/>
          <w:szCs w:val="24"/>
        </w:rPr>
        <w:t>2</w:t>
      </w:r>
      <w:r w:rsidR="00ED15F0">
        <w:rPr>
          <w:sz w:val="24"/>
          <w:szCs w:val="24"/>
        </w:rPr>
        <w:t xml:space="preserve"> </w:t>
      </w:r>
      <w:r w:rsidR="005C45FA" w:rsidRPr="00D90C34">
        <w:rPr>
          <w:sz w:val="24"/>
          <w:szCs w:val="24"/>
        </w:rPr>
        <w:t xml:space="preserve">to </w:t>
      </w:r>
      <w:r w:rsidR="00A4330A">
        <w:rPr>
          <w:sz w:val="24"/>
          <w:szCs w:val="24"/>
        </w:rPr>
        <w:t>1</w:t>
      </w:r>
      <w:r w:rsidR="00320F26">
        <w:rPr>
          <w:sz w:val="24"/>
          <w:szCs w:val="24"/>
        </w:rPr>
        <w:t>50.2 in March</w:t>
      </w:r>
      <w:r w:rsidR="003A3793">
        <w:rPr>
          <w:sz w:val="24"/>
          <w:szCs w:val="24"/>
        </w:rPr>
        <w:t xml:space="preserve"> 202</w:t>
      </w:r>
      <w:r w:rsidR="00320F26">
        <w:rPr>
          <w:sz w:val="24"/>
          <w:szCs w:val="24"/>
        </w:rPr>
        <w:t>3</w:t>
      </w:r>
      <w:r w:rsidR="005C45FA" w:rsidRPr="00A405D7">
        <w:rPr>
          <w:sz w:val="24"/>
          <w:szCs w:val="24"/>
        </w:rPr>
        <w:t xml:space="preserve">. </w:t>
      </w:r>
      <w:r w:rsidR="00320F26">
        <w:rPr>
          <w:sz w:val="24"/>
          <w:szCs w:val="24"/>
        </w:rPr>
        <w:t>The main reason for the net in</w:t>
      </w:r>
      <w:r w:rsidR="006133BD">
        <w:rPr>
          <w:sz w:val="24"/>
          <w:szCs w:val="24"/>
        </w:rPr>
        <w:t xml:space="preserve">crease was </w:t>
      </w:r>
      <w:r w:rsidR="00320F26">
        <w:rPr>
          <w:sz w:val="24"/>
          <w:szCs w:val="24"/>
        </w:rPr>
        <w:t>higher</w:t>
      </w:r>
      <w:r w:rsidRPr="006B4B48">
        <w:rPr>
          <w:sz w:val="24"/>
          <w:szCs w:val="24"/>
        </w:rPr>
        <w:t xml:space="preserve"> price</w:t>
      </w:r>
      <w:r w:rsidR="005C45FA" w:rsidRPr="006B4B48">
        <w:rPr>
          <w:sz w:val="24"/>
          <w:szCs w:val="24"/>
        </w:rPr>
        <w:t>s</w:t>
      </w:r>
      <w:r w:rsidRPr="006B4B48">
        <w:rPr>
          <w:sz w:val="24"/>
          <w:szCs w:val="24"/>
        </w:rPr>
        <w:t xml:space="preserve"> of </w:t>
      </w:r>
      <w:r w:rsidR="003A3793" w:rsidRPr="006B4B48">
        <w:rPr>
          <w:sz w:val="24"/>
          <w:szCs w:val="24"/>
        </w:rPr>
        <w:t>“</w:t>
      </w:r>
      <w:r w:rsidR="004407C6" w:rsidRPr="006B4B48">
        <w:rPr>
          <w:sz w:val="24"/>
          <w:szCs w:val="24"/>
        </w:rPr>
        <w:t>Food products and beverages</w:t>
      </w:r>
      <w:r w:rsidR="007868F9">
        <w:rPr>
          <w:sz w:val="24"/>
          <w:szCs w:val="24"/>
        </w:rPr>
        <w:t>” (+2.0</w:t>
      </w:r>
      <w:r w:rsidR="00C041DB" w:rsidRPr="00901BED">
        <w:rPr>
          <w:sz w:val="24"/>
          <w:szCs w:val="24"/>
        </w:rPr>
        <w:t>%),</w:t>
      </w:r>
      <w:r w:rsidR="00BA43E1" w:rsidRPr="00901BED">
        <w:rPr>
          <w:sz w:val="24"/>
          <w:szCs w:val="24"/>
        </w:rPr>
        <w:t xml:space="preserve"> </w:t>
      </w:r>
      <w:r w:rsidR="00320F26">
        <w:rPr>
          <w:noProof/>
          <w:sz w:val="24"/>
          <w:szCs w:val="24"/>
        </w:rPr>
        <w:t>“</w:t>
      </w:r>
      <w:r w:rsidR="00320F26" w:rsidRPr="006946AC">
        <w:rPr>
          <w:noProof/>
          <w:sz w:val="24"/>
          <w:szCs w:val="24"/>
        </w:rPr>
        <w:t>Other non-metallic mineral products</w:t>
      </w:r>
      <w:r w:rsidR="00320F26">
        <w:rPr>
          <w:noProof/>
          <w:sz w:val="24"/>
          <w:szCs w:val="24"/>
        </w:rPr>
        <w:t>”    (</w:t>
      </w:r>
      <w:r w:rsidR="00320F26">
        <w:rPr>
          <w:sz w:val="24"/>
          <w:szCs w:val="24"/>
        </w:rPr>
        <w:t xml:space="preserve">+4.5%) and </w:t>
      </w:r>
      <w:r w:rsidR="006133BD">
        <w:rPr>
          <w:sz w:val="24"/>
          <w:szCs w:val="24"/>
        </w:rPr>
        <w:t>“</w:t>
      </w:r>
      <w:r w:rsidR="006133BD" w:rsidRPr="005D07D0">
        <w:rPr>
          <w:sz w:val="24"/>
          <w:szCs w:val="24"/>
        </w:rPr>
        <w:t>Other</w:t>
      </w:r>
      <w:r w:rsidR="00320F26">
        <w:rPr>
          <w:sz w:val="24"/>
          <w:szCs w:val="24"/>
        </w:rPr>
        <w:t xml:space="preserve"> products” (+8.2</w:t>
      </w:r>
      <w:r w:rsidR="006133BD">
        <w:rPr>
          <w:sz w:val="24"/>
          <w:szCs w:val="24"/>
        </w:rPr>
        <w:t>%)</w:t>
      </w:r>
      <w:r w:rsidR="00320F26">
        <w:rPr>
          <w:sz w:val="24"/>
          <w:szCs w:val="24"/>
        </w:rPr>
        <w:t xml:space="preserve">, partly offset by lower </w:t>
      </w:r>
      <w:r w:rsidR="006133BD">
        <w:rPr>
          <w:sz w:val="24"/>
          <w:szCs w:val="24"/>
        </w:rPr>
        <w:t xml:space="preserve">prices of </w:t>
      </w:r>
      <w:r w:rsidR="00125C2B" w:rsidRPr="00901BED">
        <w:rPr>
          <w:sz w:val="24"/>
          <w:szCs w:val="24"/>
        </w:rPr>
        <w:t>“Chemical</w:t>
      </w:r>
      <w:r w:rsidR="00F134E3" w:rsidRPr="00901BED">
        <w:rPr>
          <w:sz w:val="24"/>
          <w:szCs w:val="24"/>
        </w:rPr>
        <w:t>s</w:t>
      </w:r>
      <w:r w:rsidR="00320F26">
        <w:rPr>
          <w:sz w:val="24"/>
          <w:szCs w:val="24"/>
        </w:rPr>
        <w:t xml:space="preserve"> and chemical products” (-2.2%)</w:t>
      </w:r>
      <w:r w:rsidR="006946AC">
        <w:rPr>
          <w:noProof/>
          <w:sz w:val="24"/>
          <w:szCs w:val="24"/>
        </w:rPr>
        <w:t>.</w:t>
      </w:r>
    </w:p>
    <w:p w14:paraId="7602EACC" w14:textId="46A25079" w:rsidR="00986FCD" w:rsidRDefault="00863B67" w:rsidP="000D6A4E">
      <w:pPr>
        <w:pStyle w:val="BodyTextIndent"/>
        <w:tabs>
          <w:tab w:val="left" w:pos="567"/>
        </w:tabs>
        <w:spacing w:before="120" w:after="120"/>
        <w:ind w:right="-29" w:firstLine="0"/>
        <w:rPr>
          <w:noProof/>
          <w:lang w:val="en-US"/>
        </w:rPr>
      </w:pPr>
      <w:r>
        <w:rPr>
          <w:color w:val="000000"/>
          <w:sz w:val="24"/>
          <w:szCs w:val="24"/>
        </w:rPr>
        <w:t xml:space="preserve">On a </w:t>
      </w:r>
      <w:r w:rsidR="003B2687" w:rsidRPr="001B6409">
        <w:rPr>
          <w:color w:val="000000"/>
          <w:sz w:val="24"/>
          <w:szCs w:val="24"/>
        </w:rPr>
        <w:t xml:space="preserve">monthly </w:t>
      </w:r>
      <w:r w:rsidR="00837472">
        <w:rPr>
          <w:color w:val="000000"/>
          <w:sz w:val="24"/>
          <w:szCs w:val="24"/>
        </w:rPr>
        <w:t>basis,</w:t>
      </w:r>
      <w:r w:rsidR="00320F26">
        <w:rPr>
          <w:color w:val="000000"/>
          <w:sz w:val="24"/>
          <w:szCs w:val="24"/>
        </w:rPr>
        <w:t xml:space="preserve"> PPI-M in</w:t>
      </w:r>
      <w:r>
        <w:rPr>
          <w:color w:val="000000"/>
          <w:sz w:val="24"/>
          <w:szCs w:val="24"/>
        </w:rPr>
        <w:t xml:space="preserve">creased by </w:t>
      </w:r>
      <w:r w:rsidR="00320F26">
        <w:rPr>
          <w:color w:val="000000"/>
          <w:sz w:val="24"/>
          <w:szCs w:val="24"/>
        </w:rPr>
        <w:t>0.7</w:t>
      </w:r>
      <w:r>
        <w:rPr>
          <w:color w:val="000000"/>
          <w:sz w:val="24"/>
          <w:szCs w:val="24"/>
        </w:rPr>
        <w:t xml:space="preserve"> point</w:t>
      </w:r>
      <w:r w:rsidR="00320F26">
        <w:rPr>
          <w:color w:val="000000"/>
          <w:sz w:val="24"/>
          <w:szCs w:val="24"/>
        </w:rPr>
        <w:t xml:space="preserve"> (+0.5</w:t>
      </w:r>
      <w:r>
        <w:rPr>
          <w:color w:val="000000"/>
          <w:sz w:val="24"/>
          <w:szCs w:val="24"/>
        </w:rPr>
        <w:t>%) in</w:t>
      </w:r>
      <w:r w:rsidR="001A5876">
        <w:rPr>
          <w:color w:val="000000"/>
          <w:sz w:val="24"/>
          <w:szCs w:val="24"/>
        </w:rPr>
        <w:t xml:space="preserve"> </w:t>
      </w:r>
      <w:r w:rsidR="00D54B56">
        <w:rPr>
          <w:color w:val="000000"/>
          <w:sz w:val="24"/>
          <w:szCs w:val="24"/>
        </w:rPr>
        <w:t>January, 0.9 point (+0.6</w:t>
      </w:r>
      <w:r w:rsidR="00320F26">
        <w:rPr>
          <w:color w:val="000000"/>
          <w:sz w:val="24"/>
          <w:szCs w:val="24"/>
        </w:rPr>
        <w:t>%) in February and 0.7 point (+0.5%) in March</w:t>
      </w:r>
      <w:r w:rsidR="00575704">
        <w:rPr>
          <w:sz w:val="24"/>
          <w:szCs w:val="24"/>
        </w:rPr>
        <w:t xml:space="preserve"> </w:t>
      </w:r>
      <w:r w:rsidR="00320F26">
        <w:rPr>
          <w:sz w:val="24"/>
          <w:szCs w:val="24"/>
        </w:rPr>
        <w:t xml:space="preserve">2023 </w:t>
      </w:r>
      <w:r w:rsidR="00055C2F">
        <w:rPr>
          <w:sz w:val="24"/>
          <w:szCs w:val="24"/>
        </w:rPr>
        <w:t>(Table 1a)</w:t>
      </w:r>
      <w:r w:rsidR="00575704">
        <w:rPr>
          <w:sz w:val="24"/>
          <w:szCs w:val="24"/>
        </w:rPr>
        <w:t>.</w:t>
      </w:r>
    </w:p>
    <w:p w14:paraId="68F67E81" w14:textId="77777777" w:rsidR="00FC080C" w:rsidRDefault="00FC080C" w:rsidP="00273C63">
      <w:pPr>
        <w:jc w:val="center"/>
        <w:rPr>
          <w:noProof/>
          <w:lang w:val="en-US"/>
        </w:rPr>
      </w:pPr>
    </w:p>
    <w:p w14:paraId="2893B181" w14:textId="06775D78" w:rsidR="0066617C" w:rsidRDefault="00800B95" w:rsidP="00273C63">
      <w:pPr>
        <w:jc w:val="center"/>
        <w:rPr>
          <w:noProof/>
          <w:lang w:val="en-US"/>
        </w:rPr>
      </w:pPr>
      <w:r>
        <w:rPr>
          <w:noProof/>
          <w:lang w:val="en-US"/>
        </w:rPr>
        <w:drawing>
          <wp:inline distT="0" distB="0" distL="0" distR="0" wp14:anchorId="2C4979F2" wp14:editId="6EEF25DD">
            <wp:extent cx="4393509" cy="2859570"/>
            <wp:effectExtent l="0" t="0" r="762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AFF54A" w14:textId="77777777" w:rsidR="00A8010E" w:rsidRDefault="00A8010E" w:rsidP="001B6409">
      <w:pPr>
        <w:rPr>
          <w:b/>
          <w:bCs/>
          <w:iCs/>
          <w:sz w:val="24"/>
          <w:szCs w:val="24"/>
        </w:rPr>
      </w:pPr>
    </w:p>
    <w:p w14:paraId="2962171D" w14:textId="77777777" w:rsidR="00395F2F" w:rsidRDefault="007B059F" w:rsidP="001B6409">
      <w:pPr>
        <w:rPr>
          <w:b/>
          <w:bCs/>
          <w:iCs/>
          <w:sz w:val="24"/>
          <w:szCs w:val="24"/>
          <w:u w:val="single"/>
        </w:rPr>
      </w:pPr>
      <w:r w:rsidRPr="00ED4BE6">
        <w:rPr>
          <w:b/>
          <w:bCs/>
          <w:iCs/>
          <w:sz w:val="24"/>
          <w:szCs w:val="24"/>
        </w:rPr>
        <w:t>2.2</w:t>
      </w:r>
      <w:r w:rsidRPr="00ED4BE6">
        <w:rPr>
          <w:b/>
          <w:bCs/>
          <w:iCs/>
          <w:sz w:val="24"/>
          <w:szCs w:val="24"/>
        </w:rPr>
        <w:tab/>
      </w:r>
      <w:r w:rsidRPr="00ED4BE6">
        <w:rPr>
          <w:b/>
          <w:bCs/>
          <w:iCs/>
          <w:sz w:val="24"/>
          <w:szCs w:val="24"/>
          <w:u w:val="single"/>
        </w:rPr>
        <w:t xml:space="preserve"> Manufacture of Food Products and Beverages</w:t>
      </w:r>
      <w:r w:rsidRPr="001B6409">
        <w:rPr>
          <w:b/>
          <w:bCs/>
          <w:iCs/>
          <w:sz w:val="24"/>
          <w:szCs w:val="24"/>
          <w:u w:val="single"/>
        </w:rPr>
        <w:t xml:space="preserve"> </w:t>
      </w:r>
    </w:p>
    <w:p w14:paraId="331D777F" w14:textId="77777777" w:rsidR="00630017" w:rsidRPr="001B6409" w:rsidRDefault="00630017" w:rsidP="001B6409">
      <w:pPr>
        <w:rPr>
          <w:lang w:val="en-US"/>
        </w:rPr>
      </w:pPr>
    </w:p>
    <w:p w14:paraId="0C7E1350" w14:textId="2E30FE6D" w:rsidR="00B24A33" w:rsidRDefault="007B059F" w:rsidP="00B24A33">
      <w:pPr>
        <w:jc w:val="both"/>
        <w:rPr>
          <w:sz w:val="24"/>
          <w:szCs w:val="24"/>
        </w:rPr>
      </w:pPr>
      <w:r w:rsidRPr="001B6409">
        <w:rPr>
          <w:sz w:val="24"/>
          <w:szCs w:val="24"/>
        </w:rPr>
        <w:t xml:space="preserve">The Producer Price Index for “Food products and beverages”, which accounts </w:t>
      </w:r>
      <w:r w:rsidRPr="00BD7D00">
        <w:rPr>
          <w:sz w:val="24"/>
          <w:szCs w:val="24"/>
        </w:rPr>
        <w:t xml:space="preserve">for </w:t>
      </w:r>
      <w:r w:rsidR="00BD7D00" w:rsidRPr="00BD7D00">
        <w:rPr>
          <w:sz w:val="24"/>
          <w:szCs w:val="24"/>
        </w:rPr>
        <w:t>44.7</w:t>
      </w:r>
      <w:r w:rsidRPr="00BD7D00">
        <w:rPr>
          <w:sz w:val="24"/>
          <w:szCs w:val="24"/>
        </w:rPr>
        <w:t>%</w:t>
      </w:r>
      <w:r w:rsidRPr="001B6409">
        <w:rPr>
          <w:sz w:val="24"/>
          <w:szCs w:val="24"/>
        </w:rPr>
        <w:t xml:space="preserve"> of </w:t>
      </w:r>
      <w:r w:rsidRPr="001B6409">
        <w:rPr>
          <w:color w:val="000000"/>
          <w:sz w:val="24"/>
          <w:szCs w:val="24"/>
        </w:rPr>
        <w:t xml:space="preserve">the </w:t>
      </w:r>
      <w:r w:rsidR="00EB7331" w:rsidRPr="001B6409">
        <w:rPr>
          <w:color w:val="000000"/>
          <w:sz w:val="24"/>
          <w:szCs w:val="24"/>
        </w:rPr>
        <w:t xml:space="preserve">total </w:t>
      </w:r>
      <w:r w:rsidRPr="001B6409">
        <w:rPr>
          <w:color w:val="000000"/>
          <w:sz w:val="24"/>
          <w:szCs w:val="24"/>
        </w:rPr>
        <w:t xml:space="preserve">weight, </w:t>
      </w:r>
      <w:r w:rsidRPr="005256B9">
        <w:rPr>
          <w:sz w:val="24"/>
          <w:szCs w:val="24"/>
        </w:rPr>
        <w:t xml:space="preserve">registered a net </w:t>
      </w:r>
      <w:r w:rsidR="00320F26">
        <w:rPr>
          <w:sz w:val="24"/>
          <w:szCs w:val="24"/>
        </w:rPr>
        <w:t>in</w:t>
      </w:r>
      <w:r w:rsidR="003B2687" w:rsidRPr="005256B9">
        <w:rPr>
          <w:sz w:val="24"/>
          <w:szCs w:val="24"/>
        </w:rPr>
        <w:t>crease</w:t>
      </w:r>
      <w:r w:rsidRPr="005256B9">
        <w:rPr>
          <w:sz w:val="24"/>
          <w:szCs w:val="24"/>
        </w:rPr>
        <w:t xml:space="preserve"> </w:t>
      </w:r>
      <w:r w:rsidR="003B2687" w:rsidRPr="005256B9">
        <w:rPr>
          <w:sz w:val="24"/>
          <w:szCs w:val="24"/>
        </w:rPr>
        <w:t xml:space="preserve">of </w:t>
      </w:r>
      <w:r w:rsidR="00757A65">
        <w:rPr>
          <w:sz w:val="24"/>
          <w:szCs w:val="24"/>
        </w:rPr>
        <w:t>2.9</w:t>
      </w:r>
      <w:r w:rsidR="005642EC" w:rsidRPr="005256B9">
        <w:rPr>
          <w:sz w:val="24"/>
          <w:szCs w:val="24"/>
        </w:rPr>
        <w:t xml:space="preserve"> </w:t>
      </w:r>
      <w:r w:rsidRPr="000822C9">
        <w:rPr>
          <w:sz w:val="24"/>
          <w:szCs w:val="24"/>
        </w:rPr>
        <w:t>point</w:t>
      </w:r>
      <w:r w:rsidR="00122B44">
        <w:rPr>
          <w:sz w:val="24"/>
          <w:szCs w:val="24"/>
        </w:rPr>
        <w:t>s</w:t>
      </w:r>
      <w:r w:rsidRPr="000822C9">
        <w:rPr>
          <w:sz w:val="24"/>
          <w:szCs w:val="24"/>
        </w:rPr>
        <w:t xml:space="preserve"> </w:t>
      </w:r>
      <w:r w:rsidR="003B2687" w:rsidRPr="000822C9">
        <w:rPr>
          <w:sz w:val="24"/>
          <w:szCs w:val="24"/>
        </w:rPr>
        <w:t>(</w:t>
      </w:r>
      <w:r w:rsidR="00757A65">
        <w:rPr>
          <w:sz w:val="24"/>
          <w:szCs w:val="24"/>
        </w:rPr>
        <w:t>+2.0</w:t>
      </w:r>
      <w:r w:rsidRPr="000822C9">
        <w:rPr>
          <w:sz w:val="24"/>
          <w:szCs w:val="24"/>
        </w:rPr>
        <w:t>%)</w:t>
      </w:r>
      <w:r w:rsidRPr="00141D43">
        <w:rPr>
          <w:color w:val="FF0000"/>
          <w:sz w:val="24"/>
          <w:szCs w:val="24"/>
        </w:rPr>
        <w:t xml:space="preserve"> </w:t>
      </w:r>
      <w:r w:rsidRPr="00D8405E">
        <w:rPr>
          <w:sz w:val="24"/>
          <w:szCs w:val="24"/>
        </w:rPr>
        <w:t>from 1</w:t>
      </w:r>
      <w:r w:rsidR="00320F26">
        <w:rPr>
          <w:sz w:val="24"/>
          <w:szCs w:val="24"/>
        </w:rPr>
        <w:t>44.0</w:t>
      </w:r>
      <w:r w:rsidRPr="00D8405E">
        <w:rPr>
          <w:sz w:val="24"/>
          <w:szCs w:val="24"/>
        </w:rPr>
        <w:t xml:space="preserve"> </w:t>
      </w:r>
      <w:r w:rsidR="00AF54C7" w:rsidRPr="00D90C34">
        <w:rPr>
          <w:sz w:val="24"/>
          <w:szCs w:val="24"/>
        </w:rPr>
        <w:t xml:space="preserve">in </w:t>
      </w:r>
      <w:r w:rsidR="00320F26">
        <w:rPr>
          <w:sz w:val="24"/>
          <w:szCs w:val="24"/>
        </w:rPr>
        <w:t>Decem</w:t>
      </w:r>
      <w:r w:rsidR="004C6EEB">
        <w:rPr>
          <w:sz w:val="24"/>
          <w:szCs w:val="24"/>
        </w:rPr>
        <w:t>ber</w:t>
      </w:r>
      <w:r w:rsidR="00B52725">
        <w:rPr>
          <w:sz w:val="24"/>
          <w:szCs w:val="24"/>
        </w:rPr>
        <w:t xml:space="preserve"> </w:t>
      </w:r>
      <w:r w:rsidR="00AF54C7">
        <w:rPr>
          <w:sz w:val="24"/>
          <w:szCs w:val="24"/>
        </w:rPr>
        <w:t>202</w:t>
      </w:r>
      <w:r w:rsidR="00A8010E">
        <w:rPr>
          <w:sz w:val="24"/>
          <w:szCs w:val="24"/>
        </w:rPr>
        <w:t>2</w:t>
      </w:r>
      <w:r w:rsidR="00AF54C7">
        <w:rPr>
          <w:sz w:val="24"/>
          <w:szCs w:val="24"/>
        </w:rPr>
        <w:t xml:space="preserve"> </w:t>
      </w:r>
      <w:r w:rsidR="00AF54C7" w:rsidRPr="00D90C34">
        <w:rPr>
          <w:sz w:val="24"/>
          <w:szCs w:val="24"/>
        </w:rPr>
        <w:t xml:space="preserve">to </w:t>
      </w:r>
      <w:r w:rsidR="008542C2">
        <w:rPr>
          <w:sz w:val="24"/>
          <w:szCs w:val="24"/>
        </w:rPr>
        <w:t>1</w:t>
      </w:r>
      <w:r w:rsidR="00757A65">
        <w:rPr>
          <w:sz w:val="24"/>
          <w:szCs w:val="24"/>
        </w:rPr>
        <w:t>46.9</w:t>
      </w:r>
      <w:r w:rsidR="00AF54C7" w:rsidRPr="00D90C34">
        <w:rPr>
          <w:sz w:val="24"/>
          <w:szCs w:val="24"/>
        </w:rPr>
        <w:t xml:space="preserve"> in </w:t>
      </w:r>
      <w:r w:rsidR="00320F26">
        <w:rPr>
          <w:sz w:val="24"/>
          <w:szCs w:val="24"/>
        </w:rPr>
        <w:t xml:space="preserve">March </w:t>
      </w:r>
      <w:r w:rsidR="00122B44">
        <w:rPr>
          <w:sz w:val="24"/>
          <w:szCs w:val="24"/>
        </w:rPr>
        <w:t>202</w:t>
      </w:r>
      <w:r w:rsidR="00320F26">
        <w:rPr>
          <w:sz w:val="24"/>
          <w:szCs w:val="24"/>
        </w:rPr>
        <w:t>3</w:t>
      </w:r>
      <w:r w:rsidRPr="00141D43">
        <w:rPr>
          <w:sz w:val="24"/>
          <w:szCs w:val="24"/>
        </w:rPr>
        <w:t>.</w:t>
      </w:r>
      <w:r w:rsidRPr="00141D43">
        <w:rPr>
          <w:color w:val="FF0000"/>
          <w:sz w:val="24"/>
          <w:szCs w:val="24"/>
        </w:rPr>
        <w:t xml:space="preserve"> </w:t>
      </w:r>
      <w:r w:rsidR="00591A5A" w:rsidRPr="00D8405E">
        <w:rPr>
          <w:sz w:val="24"/>
          <w:szCs w:val="24"/>
        </w:rPr>
        <w:t>Th</w:t>
      </w:r>
      <w:r w:rsidR="00D30CB5">
        <w:rPr>
          <w:sz w:val="24"/>
          <w:szCs w:val="24"/>
        </w:rPr>
        <w:t>is</w:t>
      </w:r>
      <w:r w:rsidR="00591A5A" w:rsidRPr="00D8405E">
        <w:rPr>
          <w:sz w:val="24"/>
          <w:szCs w:val="24"/>
        </w:rPr>
        <w:t xml:space="preserve"> </w:t>
      </w:r>
      <w:r w:rsidR="00320F26">
        <w:rPr>
          <w:sz w:val="24"/>
          <w:szCs w:val="24"/>
        </w:rPr>
        <w:t>in</w:t>
      </w:r>
      <w:r w:rsidR="003B2687" w:rsidRPr="00D8405E">
        <w:rPr>
          <w:sz w:val="24"/>
          <w:szCs w:val="24"/>
        </w:rPr>
        <w:t xml:space="preserve">crease </w:t>
      </w:r>
      <w:r w:rsidR="00591A5A" w:rsidRPr="00D8405E">
        <w:rPr>
          <w:sz w:val="24"/>
          <w:szCs w:val="24"/>
        </w:rPr>
        <w:t xml:space="preserve">was mainly attributable to </w:t>
      </w:r>
      <w:r w:rsidR="00320F26">
        <w:rPr>
          <w:sz w:val="24"/>
          <w:szCs w:val="24"/>
        </w:rPr>
        <w:t>higher</w:t>
      </w:r>
      <w:r w:rsidR="004C6EEB">
        <w:rPr>
          <w:sz w:val="24"/>
          <w:szCs w:val="24"/>
        </w:rPr>
        <w:t xml:space="preserve"> </w:t>
      </w:r>
      <w:r w:rsidR="00591A5A" w:rsidRPr="00D8405E">
        <w:rPr>
          <w:sz w:val="24"/>
          <w:szCs w:val="24"/>
        </w:rPr>
        <w:t>price</w:t>
      </w:r>
      <w:r w:rsidR="006F7E10" w:rsidRPr="00D8405E">
        <w:rPr>
          <w:sz w:val="24"/>
          <w:szCs w:val="24"/>
        </w:rPr>
        <w:t>s</w:t>
      </w:r>
      <w:r w:rsidR="00591A5A" w:rsidRPr="00D8405E">
        <w:rPr>
          <w:sz w:val="24"/>
          <w:szCs w:val="24"/>
        </w:rPr>
        <w:t xml:space="preserve"> of</w:t>
      </w:r>
      <w:r w:rsidR="001102EF">
        <w:rPr>
          <w:sz w:val="24"/>
          <w:szCs w:val="24"/>
        </w:rPr>
        <w:t xml:space="preserve"> </w:t>
      </w:r>
      <w:r w:rsidR="00320F26">
        <w:rPr>
          <w:sz w:val="24"/>
          <w:szCs w:val="24"/>
        </w:rPr>
        <w:t xml:space="preserve">“Grain mill products” (+15.3%), </w:t>
      </w:r>
      <w:r w:rsidR="00D277B9">
        <w:rPr>
          <w:iCs/>
          <w:noProof/>
          <w:sz w:val="24"/>
          <w:szCs w:val="24"/>
        </w:rPr>
        <w:t>“</w:t>
      </w:r>
      <w:r w:rsidR="00D277B9" w:rsidRPr="00B96A76">
        <w:rPr>
          <w:iCs/>
          <w:noProof/>
          <w:sz w:val="24"/>
          <w:szCs w:val="24"/>
        </w:rPr>
        <w:t>Bakery products</w:t>
      </w:r>
      <w:r w:rsidR="00D277B9">
        <w:rPr>
          <w:iCs/>
          <w:noProof/>
          <w:sz w:val="24"/>
          <w:szCs w:val="24"/>
        </w:rPr>
        <w:t>” (+5.8%) of which “</w:t>
      </w:r>
      <w:r w:rsidR="00D277B9" w:rsidRPr="00B96A76">
        <w:rPr>
          <w:iCs/>
          <w:noProof/>
          <w:sz w:val="24"/>
          <w:szCs w:val="24"/>
        </w:rPr>
        <w:t>Bread/Pastries and cakes</w:t>
      </w:r>
      <w:r w:rsidR="00D277B9">
        <w:rPr>
          <w:iCs/>
          <w:noProof/>
          <w:sz w:val="24"/>
          <w:szCs w:val="24"/>
        </w:rPr>
        <w:t xml:space="preserve">” (+5.2%), </w:t>
      </w:r>
      <w:r w:rsidR="00D277B9" w:rsidRPr="00700378">
        <w:rPr>
          <w:sz w:val="24"/>
          <w:szCs w:val="24"/>
        </w:rPr>
        <w:t>“Animal feed</w:t>
      </w:r>
      <w:r w:rsidR="00D277B9">
        <w:rPr>
          <w:sz w:val="24"/>
          <w:szCs w:val="24"/>
        </w:rPr>
        <w:t xml:space="preserve">” </w:t>
      </w:r>
      <w:r w:rsidR="00757A65">
        <w:rPr>
          <w:sz w:val="24"/>
          <w:szCs w:val="24"/>
        </w:rPr>
        <w:lastRenderedPageBreak/>
        <w:t>(+2.7</w:t>
      </w:r>
      <w:r w:rsidR="00D277B9">
        <w:rPr>
          <w:sz w:val="24"/>
          <w:szCs w:val="24"/>
        </w:rPr>
        <w:t xml:space="preserve">%) and </w:t>
      </w:r>
      <w:r w:rsidR="00D277B9" w:rsidRPr="00FF4E1A">
        <w:rPr>
          <w:noProof/>
          <w:sz w:val="24"/>
          <w:szCs w:val="24"/>
        </w:rPr>
        <w:t xml:space="preserve">“Malt liquors and malt including </w:t>
      </w:r>
      <w:r w:rsidR="005174B0">
        <w:rPr>
          <w:noProof/>
          <w:sz w:val="24"/>
          <w:szCs w:val="24"/>
        </w:rPr>
        <w:t>non-alcoholic</w:t>
      </w:r>
      <w:r w:rsidR="00D277B9" w:rsidRPr="00FF4E1A">
        <w:rPr>
          <w:noProof/>
          <w:sz w:val="24"/>
          <w:szCs w:val="24"/>
        </w:rPr>
        <w:t xml:space="preserve"> beer” (</w:t>
      </w:r>
      <w:r w:rsidR="00D277B9">
        <w:rPr>
          <w:sz w:val="24"/>
          <w:szCs w:val="24"/>
        </w:rPr>
        <w:t>+1.3%), pa</w:t>
      </w:r>
      <w:r w:rsidR="00CD2BB2">
        <w:rPr>
          <w:sz w:val="24"/>
          <w:szCs w:val="24"/>
        </w:rPr>
        <w:t xml:space="preserve">rtly offset by lower prices of </w:t>
      </w:r>
      <w:r w:rsidR="008542C2">
        <w:rPr>
          <w:sz w:val="24"/>
          <w:szCs w:val="24"/>
        </w:rPr>
        <w:t>“</w:t>
      </w:r>
      <w:r w:rsidR="00970A55" w:rsidRPr="00970A55">
        <w:rPr>
          <w:sz w:val="24"/>
          <w:szCs w:val="24"/>
        </w:rPr>
        <w:t>Vegetable and animal</w:t>
      </w:r>
      <w:r w:rsidR="00D277B9">
        <w:rPr>
          <w:sz w:val="24"/>
          <w:szCs w:val="24"/>
        </w:rPr>
        <w:t xml:space="preserve"> </w:t>
      </w:r>
      <w:r w:rsidR="00970A55" w:rsidRPr="00970A55">
        <w:rPr>
          <w:sz w:val="24"/>
          <w:szCs w:val="24"/>
        </w:rPr>
        <w:t>oils and fats</w:t>
      </w:r>
      <w:r w:rsidR="00D277B9">
        <w:rPr>
          <w:sz w:val="24"/>
          <w:szCs w:val="24"/>
        </w:rPr>
        <w:t>” (-4.8</w:t>
      </w:r>
      <w:r w:rsidR="00970A55">
        <w:rPr>
          <w:sz w:val="24"/>
          <w:szCs w:val="24"/>
        </w:rPr>
        <w:t>%)</w:t>
      </w:r>
      <w:r w:rsidR="00D277B9">
        <w:rPr>
          <w:sz w:val="24"/>
          <w:szCs w:val="24"/>
        </w:rPr>
        <w:t>.</w:t>
      </w:r>
    </w:p>
    <w:p w14:paraId="5BB7A52C" w14:textId="77777777" w:rsidR="00B24A33" w:rsidRPr="00B24A33" w:rsidRDefault="00B24A33" w:rsidP="00B24A33">
      <w:pPr>
        <w:jc w:val="both"/>
        <w:rPr>
          <w:sz w:val="24"/>
          <w:szCs w:val="24"/>
        </w:rPr>
      </w:pPr>
      <w:r w:rsidRPr="00B24A33">
        <w:rPr>
          <w:sz w:val="24"/>
          <w:szCs w:val="24"/>
        </w:rPr>
        <w:t xml:space="preserve"> </w:t>
      </w:r>
    </w:p>
    <w:p w14:paraId="2F488345" w14:textId="632339D9" w:rsidR="00B31E29" w:rsidRDefault="007868F9" w:rsidP="00A230DA">
      <w:pPr>
        <w:pStyle w:val="BodyTextIndent"/>
        <w:tabs>
          <w:tab w:val="left" w:pos="567"/>
        </w:tabs>
        <w:spacing w:before="120" w:after="240"/>
        <w:ind w:right="-22" w:firstLine="0"/>
        <w:jc w:val="center"/>
      </w:pPr>
      <w:r>
        <w:rPr>
          <w:noProof/>
          <w:lang w:val="en-US"/>
        </w:rPr>
        <w:drawing>
          <wp:inline distT="0" distB="0" distL="0" distR="0" wp14:anchorId="596F2414" wp14:editId="0EF8361E">
            <wp:extent cx="4084567" cy="2783786"/>
            <wp:effectExtent l="0" t="0" r="0" b="0"/>
            <wp:docPr id="2" name="Chart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E0B254" w14:textId="094661C0" w:rsidR="00693E29" w:rsidRDefault="007B059F" w:rsidP="00630017">
      <w:pPr>
        <w:pStyle w:val="BodyTextIndent"/>
        <w:tabs>
          <w:tab w:val="left" w:pos="567"/>
        </w:tabs>
        <w:spacing w:before="120" w:after="240"/>
        <w:ind w:right="-22" w:firstLine="0"/>
        <w:rPr>
          <w:sz w:val="24"/>
          <w:szCs w:val="24"/>
        </w:rPr>
      </w:pPr>
      <w:r w:rsidRPr="001B6409">
        <w:rPr>
          <w:sz w:val="24"/>
          <w:szCs w:val="24"/>
        </w:rPr>
        <w:t>On a monthly basis, th</w:t>
      </w:r>
      <w:r w:rsidR="004A3EEB">
        <w:rPr>
          <w:sz w:val="24"/>
          <w:szCs w:val="24"/>
        </w:rPr>
        <w:t>e index for this activity group</w:t>
      </w:r>
      <w:r w:rsidR="00D277B9">
        <w:rPr>
          <w:sz w:val="24"/>
          <w:szCs w:val="24"/>
        </w:rPr>
        <w:t xml:space="preserve"> in</w:t>
      </w:r>
      <w:r w:rsidR="00797E40">
        <w:rPr>
          <w:sz w:val="24"/>
          <w:szCs w:val="24"/>
        </w:rPr>
        <w:t>creased</w:t>
      </w:r>
      <w:r w:rsidR="00B35DD1">
        <w:rPr>
          <w:sz w:val="24"/>
          <w:szCs w:val="24"/>
        </w:rPr>
        <w:t xml:space="preserve"> by </w:t>
      </w:r>
      <w:r w:rsidR="00D277B9">
        <w:rPr>
          <w:sz w:val="24"/>
          <w:szCs w:val="24"/>
        </w:rPr>
        <w:t>0.6</w:t>
      </w:r>
      <w:r w:rsidR="004A3EEB">
        <w:rPr>
          <w:sz w:val="24"/>
          <w:szCs w:val="24"/>
        </w:rPr>
        <w:t xml:space="preserve"> point</w:t>
      </w:r>
      <w:r w:rsidR="00D277B9">
        <w:rPr>
          <w:sz w:val="24"/>
          <w:szCs w:val="24"/>
        </w:rPr>
        <w:t xml:space="preserve"> (+0.4</w:t>
      </w:r>
      <w:r w:rsidR="004A3EEB">
        <w:rPr>
          <w:sz w:val="24"/>
          <w:szCs w:val="24"/>
        </w:rPr>
        <w:t>%) in</w:t>
      </w:r>
      <w:r w:rsidR="00D277B9">
        <w:rPr>
          <w:sz w:val="24"/>
          <w:szCs w:val="24"/>
        </w:rPr>
        <w:t xml:space="preserve"> January</w:t>
      </w:r>
      <w:r w:rsidR="00B24A33">
        <w:rPr>
          <w:sz w:val="24"/>
          <w:szCs w:val="24"/>
        </w:rPr>
        <w:t>,</w:t>
      </w:r>
      <w:r w:rsidR="00797E40">
        <w:rPr>
          <w:sz w:val="24"/>
          <w:szCs w:val="24"/>
        </w:rPr>
        <w:t xml:space="preserve"> </w:t>
      </w:r>
      <w:r w:rsidR="00D277B9">
        <w:rPr>
          <w:sz w:val="24"/>
          <w:szCs w:val="24"/>
        </w:rPr>
        <w:t>0.8</w:t>
      </w:r>
      <w:r w:rsidR="00797E40">
        <w:rPr>
          <w:sz w:val="24"/>
          <w:szCs w:val="24"/>
        </w:rPr>
        <w:t xml:space="preserve"> point</w:t>
      </w:r>
      <w:r w:rsidR="00D54B56">
        <w:rPr>
          <w:sz w:val="24"/>
          <w:szCs w:val="24"/>
        </w:rPr>
        <w:t xml:space="preserve"> (+0.6</w:t>
      </w:r>
      <w:r w:rsidR="00797E40">
        <w:rPr>
          <w:sz w:val="24"/>
          <w:szCs w:val="24"/>
        </w:rPr>
        <w:t xml:space="preserve">%) in </w:t>
      </w:r>
      <w:r w:rsidR="00D277B9">
        <w:rPr>
          <w:sz w:val="24"/>
          <w:szCs w:val="24"/>
        </w:rPr>
        <w:t>February</w:t>
      </w:r>
      <w:r w:rsidR="004C6EEB">
        <w:rPr>
          <w:sz w:val="24"/>
          <w:szCs w:val="24"/>
        </w:rPr>
        <w:t xml:space="preserve"> </w:t>
      </w:r>
      <w:r w:rsidR="00797E40">
        <w:rPr>
          <w:sz w:val="24"/>
          <w:szCs w:val="24"/>
        </w:rPr>
        <w:t>and</w:t>
      </w:r>
      <w:r w:rsidR="00757A65">
        <w:rPr>
          <w:sz w:val="24"/>
          <w:szCs w:val="24"/>
        </w:rPr>
        <w:t xml:space="preserve"> 1.5 points (+1.0</w:t>
      </w:r>
      <w:r w:rsidR="00D277B9">
        <w:rPr>
          <w:sz w:val="24"/>
          <w:szCs w:val="24"/>
        </w:rPr>
        <w:t xml:space="preserve">%) in March 2023 </w:t>
      </w:r>
      <w:r w:rsidR="00861B21">
        <w:rPr>
          <w:sz w:val="24"/>
          <w:szCs w:val="24"/>
        </w:rPr>
        <w:t>(Table 1b)</w:t>
      </w:r>
      <w:r w:rsidR="00575704">
        <w:rPr>
          <w:sz w:val="24"/>
          <w:szCs w:val="24"/>
        </w:rPr>
        <w:t>.</w:t>
      </w:r>
    </w:p>
    <w:p w14:paraId="4B2D9D31" w14:textId="77777777" w:rsidR="000D6A4E" w:rsidRDefault="000D6A4E" w:rsidP="00630017">
      <w:pPr>
        <w:pStyle w:val="BodyTextIndent"/>
        <w:tabs>
          <w:tab w:val="left" w:pos="567"/>
        </w:tabs>
        <w:spacing w:before="120" w:after="240"/>
        <w:ind w:right="-22" w:firstLine="0"/>
        <w:rPr>
          <w:b/>
          <w:bCs/>
          <w:iCs/>
          <w:sz w:val="24"/>
          <w:szCs w:val="24"/>
        </w:rPr>
      </w:pPr>
    </w:p>
    <w:p w14:paraId="46260633" w14:textId="77777777" w:rsidR="00693E29" w:rsidRDefault="00693E29" w:rsidP="00693E29">
      <w:pPr>
        <w:tabs>
          <w:tab w:val="left" w:pos="851"/>
        </w:tabs>
      </w:pPr>
      <w:r w:rsidRPr="00C241F9">
        <w:rPr>
          <w:b/>
          <w:bCs/>
          <w:iCs/>
          <w:sz w:val="24"/>
          <w:szCs w:val="24"/>
        </w:rPr>
        <w:t xml:space="preserve">2.3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Chemicals and Chemical Products </w:t>
      </w:r>
    </w:p>
    <w:p w14:paraId="3BC8A985" w14:textId="65093235" w:rsidR="00D83A85" w:rsidRDefault="00693E29" w:rsidP="00A25B4D">
      <w:pPr>
        <w:pStyle w:val="BodyTextIndent"/>
        <w:tabs>
          <w:tab w:val="left" w:pos="567"/>
        </w:tabs>
        <w:spacing w:before="240" w:after="120"/>
        <w:ind w:right="-28" w:firstLine="0"/>
        <w:rPr>
          <w:sz w:val="24"/>
          <w:szCs w:val="24"/>
        </w:rPr>
      </w:pPr>
      <w:r w:rsidRPr="001B6409">
        <w:rPr>
          <w:sz w:val="24"/>
          <w:szCs w:val="24"/>
        </w:rPr>
        <w:t>The Producer Price Index for “</w:t>
      </w:r>
      <w:r w:rsidRPr="009D6F8E">
        <w:rPr>
          <w:sz w:val="24"/>
          <w:szCs w:val="24"/>
        </w:rPr>
        <w:t>Chemicals and Chemical Products</w:t>
      </w:r>
      <w:r w:rsidRPr="001B6409">
        <w:rPr>
          <w:sz w:val="24"/>
          <w:szCs w:val="24"/>
        </w:rPr>
        <w:t>”</w:t>
      </w:r>
      <w:r>
        <w:rPr>
          <w:sz w:val="24"/>
          <w:szCs w:val="24"/>
        </w:rPr>
        <w:t>, which accounts for 8.9% of the total weight,</w:t>
      </w:r>
      <w:r w:rsidR="00C5050B">
        <w:rPr>
          <w:sz w:val="24"/>
          <w:szCs w:val="24"/>
        </w:rPr>
        <w:t xml:space="preserve"> registered a net decrease of 3.4 points (-2.2</w:t>
      </w:r>
      <w:r>
        <w:rPr>
          <w:sz w:val="24"/>
          <w:szCs w:val="24"/>
        </w:rPr>
        <w:t>%) from 1</w:t>
      </w:r>
      <w:r w:rsidR="00C5050B">
        <w:rPr>
          <w:sz w:val="24"/>
          <w:szCs w:val="24"/>
        </w:rPr>
        <w:t>57.9 in December 2022 to 154.5</w:t>
      </w:r>
      <w:r>
        <w:rPr>
          <w:sz w:val="24"/>
          <w:szCs w:val="24"/>
        </w:rPr>
        <w:t xml:space="preserve"> in</w:t>
      </w:r>
      <w:r w:rsidR="00800B95">
        <w:rPr>
          <w:sz w:val="24"/>
          <w:szCs w:val="24"/>
        </w:rPr>
        <w:t xml:space="preserve"> </w:t>
      </w:r>
      <w:r w:rsidR="00C5050B">
        <w:rPr>
          <w:sz w:val="24"/>
          <w:szCs w:val="24"/>
        </w:rPr>
        <w:t>March 2023. This de</w:t>
      </w:r>
      <w:r w:rsidR="00062FCD">
        <w:rPr>
          <w:sz w:val="24"/>
          <w:szCs w:val="24"/>
        </w:rPr>
        <w:t>crease was</w:t>
      </w:r>
      <w:r w:rsidR="00BF661A">
        <w:rPr>
          <w:sz w:val="24"/>
          <w:szCs w:val="24"/>
        </w:rPr>
        <w:t xml:space="preserve"> </w:t>
      </w:r>
      <w:r w:rsidR="00C5050B">
        <w:rPr>
          <w:sz w:val="24"/>
          <w:szCs w:val="24"/>
        </w:rPr>
        <w:t>attributable to lower prices of</w:t>
      </w:r>
      <w:r w:rsidR="00AE1617">
        <w:rPr>
          <w:sz w:val="24"/>
          <w:szCs w:val="24"/>
        </w:rPr>
        <w:t xml:space="preserve"> </w:t>
      </w:r>
      <w:r w:rsidR="00D83A85">
        <w:rPr>
          <w:sz w:val="24"/>
          <w:szCs w:val="24"/>
        </w:rPr>
        <w:t>“</w:t>
      </w:r>
      <w:r w:rsidR="00D83A85" w:rsidRPr="00D83A85">
        <w:rPr>
          <w:sz w:val="24"/>
          <w:szCs w:val="24"/>
        </w:rPr>
        <w:t>Basic chemicals</w:t>
      </w:r>
      <w:r w:rsidR="00800B95">
        <w:rPr>
          <w:sz w:val="24"/>
          <w:szCs w:val="24"/>
        </w:rPr>
        <w:t>”</w:t>
      </w:r>
      <w:r w:rsidR="00C5050B">
        <w:rPr>
          <w:sz w:val="24"/>
          <w:szCs w:val="24"/>
        </w:rPr>
        <w:t xml:space="preserve"> (-12.2</w:t>
      </w:r>
      <w:r w:rsidR="00D83A85">
        <w:rPr>
          <w:sz w:val="24"/>
          <w:szCs w:val="24"/>
        </w:rPr>
        <w:t>%)</w:t>
      </w:r>
      <w:r w:rsidR="005174B0">
        <w:rPr>
          <w:sz w:val="24"/>
          <w:szCs w:val="24"/>
        </w:rPr>
        <w:t xml:space="preserve"> and “</w:t>
      </w:r>
      <w:r w:rsidR="005174B0" w:rsidRPr="005174B0">
        <w:rPr>
          <w:sz w:val="24"/>
          <w:szCs w:val="24"/>
        </w:rPr>
        <w:t>Soap and detergents, cleaning and polishing preparations, perfumes and toilet preparations</w:t>
      </w:r>
      <w:r w:rsidR="005174B0">
        <w:rPr>
          <w:sz w:val="24"/>
          <w:szCs w:val="24"/>
        </w:rPr>
        <w:t>”              (-0.1%).</w:t>
      </w:r>
    </w:p>
    <w:p w14:paraId="1C1C28BD" w14:textId="37AC4CA3" w:rsidR="00693E29" w:rsidRDefault="00800B95" w:rsidP="00E810AC">
      <w:pPr>
        <w:pStyle w:val="BodyTextIndent"/>
        <w:tabs>
          <w:tab w:val="left" w:pos="567"/>
        </w:tabs>
        <w:spacing w:before="240" w:after="120"/>
        <w:ind w:right="-28"/>
        <w:jc w:val="center"/>
        <w:rPr>
          <w:sz w:val="24"/>
          <w:szCs w:val="24"/>
        </w:rPr>
      </w:pPr>
      <w:r>
        <w:rPr>
          <w:noProof/>
          <w:lang w:val="en-US" w:eastAsia="en-US"/>
        </w:rPr>
        <w:drawing>
          <wp:inline distT="0" distB="0" distL="0" distR="0" wp14:anchorId="6804E3F3" wp14:editId="55399C10">
            <wp:extent cx="4010025" cy="2991485"/>
            <wp:effectExtent l="0" t="0" r="0" b="0"/>
            <wp:docPr id="15" name="Chart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5390D4" w14:textId="59C847E2" w:rsidR="00007287" w:rsidRDefault="00693E29" w:rsidP="00693E29">
      <w:pPr>
        <w:pStyle w:val="BodyTextIndent"/>
        <w:tabs>
          <w:tab w:val="left" w:pos="567"/>
        </w:tabs>
        <w:spacing w:before="240" w:after="120"/>
        <w:ind w:right="-28" w:firstLine="0"/>
        <w:rPr>
          <w:sz w:val="24"/>
          <w:szCs w:val="24"/>
        </w:rPr>
      </w:pPr>
      <w:r>
        <w:rPr>
          <w:sz w:val="24"/>
          <w:szCs w:val="24"/>
        </w:rPr>
        <w:t>O</w:t>
      </w:r>
      <w:r w:rsidR="00877E22">
        <w:rPr>
          <w:sz w:val="24"/>
          <w:szCs w:val="24"/>
        </w:rPr>
        <w:t>n a monthly basis, this index de</w:t>
      </w:r>
      <w:r>
        <w:rPr>
          <w:sz w:val="24"/>
          <w:szCs w:val="24"/>
        </w:rPr>
        <w:t xml:space="preserve">creased by </w:t>
      </w:r>
      <w:r w:rsidR="00877E22">
        <w:rPr>
          <w:sz w:val="24"/>
          <w:szCs w:val="24"/>
        </w:rPr>
        <w:t>1.4 points (-0.9</w:t>
      </w:r>
      <w:r>
        <w:rPr>
          <w:sz w:val="24"/>
          <w:szCs w:val="24"/>
        </w:rPr>
        <w:t>%)</w:t>
      </w:r>
      <w:r w:rsidR="00877E22">
        <w:rPr>
          <w:sz w:val="24"/>
          <w:szCs w:val="24"/>
        </w:rPr>
        <w:t xml:space="preserve"> in January, 2.0</w:t>
      </w:r>
      <w:r w:rsidR="00AE1617">
        <w:rPr>
          <w:sz w:val="24"/>
          <w:szCs w:val="24"/>
        </w:rPr>
        <w:t xml:space="preserve"> </w:t>
      </w:r>
      <w:r>
        <w:rPr>
          <w:sz w:val="24"/>
          <w:szCs w:val="24"/>
        </w:rPr>
        <w:t>point</w:t>
      </w:r>
      <w:r w:rsidR="00D83A85">
        <w:rPr>
          <w:sz w:val="24"/>
          <w:szCs w:val="24"/>
        </w:rPr>
        <w:t>s</w:t>
      </w:r>
      <w:r w:rsidR="00877E22">
        <w:rPr>
          <w:sz w:val="24"/>
          <w:szCs w:val="24"/>
        </w:rPr>
        <w:t xml:space="preserve"> (-1.3</w:t>
      </w:r>
      <w:r w:rsidR="00A14C45">
        <w:rPr>
          <w:sz w:val="24"/>
          <w:szCs w:val="24"/>
        </w:rPr>
        <w:t xml:space="preserve">%) </w:t>
      </w:r>
      <w:r w:rsidR="00877E22">
        <w:rPr>
          <w:sz w:val="24"/>
          <w:szCs w:val="24"/>
        </w:rPr>
        <w:t>in February</w:t>
      </w:r>
      <w:r w:rsidR="00AB6FE6">
        <w:rPr>
          <w:sz w:val="24"/>
          <w:szCs w:val="24"/>
        </w:rPr>
        <w:t xml:space="preserve"> </w:t>
      </w:r>
      <w:r w:rsidR="00AE1617">
        <w:rPr>
          <w:sz w:val="24"/>
          <w:szCs w:val="24"/>
        </w:rPr>
        <w:t xml:space="preserve">and </w:t>
      </w:r>
      <w:r w:rsidR="00877E22">
        <w:rPr>
          <w:sz w:val="24"/>
          <w:szCs w:val="24"/>
        </w:rPr>
        <w:t>remained</w:t>
      </w:r>
      <w:r>
        <w:rPr>
          <w:sz w:val="24"/>
          <w:szCs w:val="24"/>
        </w:rPr>
        <w:t xml:space="preserve"> </w:t>
      </w:r>
      <w:r w:rsidR="00877E22">
        <w:rPr>
          <w:sz w:val="24"/>
          <w:szCs w:val="24"/>
        </w:rPr>
        <w:t>unchanged in March 2023</w:t>
      </w:r>
      <w:r w:rsidR="00861B21">
        <w:rPr>
          <w:sz w:val="24"/>
          <w:szCs w:val="24"/>
        </w:rPr>
        <w:t xml:space="preserve"> (Table 1c)</w:t>
      </w:r>
      <w:r w:rsidR="00BF661A">
        <w:rPr>
          <w:sz w:val="24"/>
          <w:szCs w:val="24"/>
        </w:rPr>
        <w:t>.</w:t>
      </w:r>
    </w:p>
    <w:p w14:paraId="06B6B270" w14:textId="77777777" w:rsidR="000D6A4E" w:rsidRDefault="000D6A4E" w:rsidP="00693E29">
      <w:pPr>
        <w:pStyle w:val="BodyTextIndent"/>
        <w:tabs>
          <w:tab w:val="left" w:pos="567"/>
        </w:tabs>
        <w:spacing w:before="240" w:after="120"/>
        <w:ind w:right="-28" w:firstLine="0"/>
        <w:rPr>
          <w:sz w:val="24"/>
          <w:szCs w:val="24"/>
        </w:rPr>
      </w:pPr>
    </w:p>
    <w:p w14:paraId="282CEF55" w14:textId="42BE4435" w:rsidR="00880A4C" w:rsidRDefault="00880A4C" w:rsidP="00880A4C">
      <w:pPr>
        <w:tabs>
          <w:tab w:val="left" w:pos="851"/>
        </w:tabs>
      </w:pPr>
      <w:r w:rsidRPr="00C241F9">
        <w:rPr>
          <w:b/>
          <w:bCs/>
          <w:iCs/>
          <w:sz w:val="24"/>
          <w:szCs w:val="24"/>
        </w:rPr>
        <w:t>2.</w:t>
      </w:r>
      <w:r>
        <w:rPr>
          <w:b/>
          <w:bCs/>
          <w:iCs/>
          <w:sz w:val="24"/>
          <w:szCs w:val="24"/>
        </w:rPr>
        <w:t>4</w:t>
      </w:r>
      <w:r w:rsidRPr="00C241F9">
        <w:rPr>
          <w:b/>
          <w:bCs/>
          <w:iCs/>
          <w:sz w:val="24"/>
          <w:szCs w:val="24"/>
        </w:rPr>
        <w:t xml:space="preserve">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w:t>
      </w:r>
      <w:r w:rsidRPr="00880A4C">
        <w:rPr>
          <w:b/>
          <w:bCs/>
          <w:iCs/>
          <w:sz w:val="24"/>
          <w:szCs w:val="24"/>
          <w:u w:val="single"/>
        </w:rPr>
        <w:t>Rubber and plastic products</w:t>
      </w:r>
    </w:p>
    <w:p w14:paraId="43E821BB" w14:textId="482E277C" w:rsidR="00F20A5A" w:rsidRDefault="00730601" w:rsidP="00693E29">
      <w:pPr>
        <w:pStyle w:val="BodyTextIndent"/>
        <w:tabs>
          <w:tab w:val="left" w:pos="567"/>
        </w:tabs>
        <w:spacing w:before="240" w:after="120"/>
        <w:ind w:right="-28" w:firstLine="0"/>
        <w:rPr>
          <w:sz w:val="24"/>
          <w:szCs w:val="24"/>
        </w:rPr>
      </w:pPr>
      <w:r w:rsidRPr="001B6409">
        <w:rPr>
          <w:sz w:val="24"/>
          <w:szCs w:val="24"/>
        </w:rPr>
        <w:t>The Producer Price Index for “</w:t>
      </w:r>
      <w:r w:rsidRPr="00730601">
        <w:rPr>
          <w:sz w:val="24"/>
          <w:szCs w:val="24"/>
        </w:rPr>
        <w:t>Rubber and plastic products</w:t>
      </w:r>
      <w:r w:rsidRPr="001B6409">
        <w:rPr>
          <w:sz w:val="24"/>
          <w:szCs w:val="24"/>
        </w:rPr>
        <w:t>”</w:t>
      </w:r>
      <w:r>
        <w:rPr>
          <w:sz w:val="24"/>
          <w:szCs w:val="24"/>
        </w:rPr>
        <w:t>, which accounts for 2.8% of the t</w:t>
      </w:r>
      <w:r w:rsidR="00E074D1">
        <w:rPr>
          <w:sz w:val="24"/>
          <w:szCs w:val="24"/>
        </w:rPr>
        <w:t>otal weight, registered a net decrease of 2.5 points (-1.6%) from 153.7 in Decem</w:t>
      </w:r>
      <w:r w:rsidR="00DF0455">
        <w:rPr>
          <w:sz w:val="24"/>
          <w:szCs w:val="24"/>
        </w:rPr>
        <w:t>ber 2022 to 151.2 in March 2023. This decrease was attributable to low</w:t>
      </w:r>
      <w:r>
        <w:rPr>
          <w:sz w:val="24"/>
          <w:szCs w:val="24"/>
        </w:rPr>
        <w:t>er prices of “</w:t>
      </w:r>
      <w:r w:rsidR="0084431A" w:rsidRPr="0084431A">
        <w:rPr>
          <w:sz w:val="24"/>
          <w:szCs w:val="24"/>
        </w:rPr>
        <w:t>Plastic products</w:t>
      </w:r>
      <w:r w:rsidR="00DF0455">
        <w:rPr>
          <w:sz w:val="24"/>
          <w:szCs w:val="24"/>
        </w:rPr>
        <w:t>” (-1.6</w:t>
      </w:r>
      <w:r w:rsidR="0084431A">
        <w:rPr>
          <w:sz w:val="24"/>
          <w:szCs w:val="24"/>
        </w:rPr>
        <w:t xml:space="preserve">%). </w:t>
      </w:r>
    </w:p>
    <w:p w14:paraId="001D98CE" w14:textId="7249A4FF" w:rsidR="00026E5C" w:rsidRDefault="00800B95" w:rsidP="00026E5C">
      <w:pPr>
        <w:pStyle w:val="BodyTextIndent"/>
        <w:tabs>
          <w:tab w:val="left" w:pos="567"/>
        </w:tabs>
        <w:spacing w:before="240" w:after="120"/>
        <w:ind w:right="-28" w:firstLine="0"/>
        <w:jc w:val="center"/>
        <w:rPr>
          <w:sz w:val="24"/>
          <w:szCs w:val="24"/>
        </w:rPr>
      </w:pPr>
      <w:r>
        <w:rPr>
          <w:noProof/>
          <w:lang w:val="en-US" w:eastAsia="en-US"/>
        </w:rPr>
        <w:drawing>
          <wp:inline distT="0" distB="0" distL="0" distR="0" wp14:anchorId="0E4BAFCB" wp14:editId="638E78D2">
            <wp:extent cx="3667125" cy="2990850"/>
            <wp:effectExtent l="0" t="0" r="0" b="0"/>
            <wp:docPr id="17" name="Chart 17">
              <a:extLst xmlns:a="http://schemas.openxmlformats.org/drawingml/2006/main">
                <a:ext uri="{FF2B5EF4-FFF2-40B4-BE49-F238E27FC236}">
                  <a16:creationId xmlns:a16="http://schemas.microsoft.com/office/drawing/2014/main" id="{72F99EAF-0031-45C2-A3F2-F2E48C6B9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75B7CF" w14:textId="383BD56C" w:rsidR="00456D25" w:rsidRDefault="00B847E6" w:rsidP="00693E29">
      <w:pPr>
        <w:pStyle w:val="BodyTextIndent"/>
        <w:tabs>
          <w:tab w:val="left" w:pos="567"/>
        </w:tabs>
        <w:spacing w:before="240" w:after="120"/>
        <w:ind w:right="-28" w:firstLine="0"/>
        <w:rPr>
          <w:sz w:val="24"/>
          <w:szCs w:val="24"/>
        </w:rPr>
      </w:pPr>
      <w:r>
        <w:rPr>
          <w:sz w:val="24"/>
          <w:szCs w:val="24"/>
        </w:rPr>
        <w:t xml:space="preserve">On a monthly basis, this index </w:t>
      </w:r>
      <w:r w:rsidR="00DF0455">
        <w:rPr>
          <w:sz w:val="24"/>
          <w:szCs w:val="24"/>
        </w:rPr>
        <w:t>remained unchanged from December 2022 to January</w:t>
      </w:r>
      <w:r w:rsidR="00D54B56">
        <w:rPr>
          <w:sz w:val="24"/>
          <w:szCs w:val="24"/>
        </w:rPr>
        <w:t xml:space="preserve"> </w:t>
      </w:r>
      <w:r w:rsidR="00DF0455">
        <w:rPr>
          <w:sz w:val="24"/>
          <w:szCs w:val="24"/>
        </w:rPr>
        <w:t xml:space="preserve">2023, increased </w:t>
      </w:r>
      <w:r>
        <w:rPr>
          <w:sz w:val="24"/>
          <w:szCs w:val="24"/>
        </w:rPr>
        <w:t xml:space="preserve">by </w:t>
      </w:r>
      <w:r w:rsidR="00DF0455">
        <w:rPr>
          <w:sz w:val="24"/>
          <w:szCs w:val="24"/>
        </w:rPr>
        <w:t>3.0</w:t>
      </w:r>
      <w:r>
        <w:rPr>
          <w:sz w:val="24"/>
          <w:szCs w:val="24"/>
        </w:rPr>
        <w:t xml:space="preserve"> points (+</w:t>
      </w:r>
      <w:r w:rsidR="00DF0455">
        <w:rPr>
          <w:sz w:val="24"/>
          <w:szCs w:val="24"/>
        </w:rPr>
        <w:t>2.0</w:t>
      </w:r>
      <w:r>
        <w:rPr>
          <w:sz w:val="24"/>
          <w:szCs w:val="24"/>
        </w:rPr>
        <w:t xml:space="preserve">%) in </w:t>
      </w:r>
      <w:r w:rsidR="00DF0455">
        <w:rPr>
          <w:sz w:val="24"/>
          <w:szCs w:val="24"/>
        </w:rPr>
        <w:t xml:space="preserve">February </w:t>
      </w:r>
      <w:r w:rsidR="00630262">
        <w:rPr>
          <w:sz w:val="24"/>
          <w:szCs w:val="24"/>
        </w:rPr>
        <w:t xml:space="preserve">and </w:t>
      </w:r>
      <w:r w:rsidR="00D54B56">
        <w:rPr>
          <w:sz w:val="24"/>
          <w:szCs w:val="24"/>
        </w:rPr>
        <w:t>decreased by 5.5 points (-3.5</w:t>
      </w:r>
      <w:r w:rsidR="00DF0455">
        <w:rPr>
          <w:sz w:val="24"/>
          <w:szCs w:val="24"/>
        </w:rPr>
        <w:t xml:space="preserve">%) in March </w:t>
      </w:r>
      <w:r w:rsidR="004E360E">
        <w:rPr>
          <w:sz w:val="24"/>
          <w:szCs w:val="24"/>
        </w:rPr>
        <w:t xml:space="preserve">(Table 1c). </w:t>
      </w:r>
    </w:p>
    <w:p w14:paraId="4146FD34" w14:textId="77777777" w:rsidR="00766A56" w:rsidRPr="000D6A4E" w:rsidRDefault="00766A56" w:rsidP="00861101">
      <w:pPr>
        <w:tabs>
          <w:tab w:val="left" w:pos="567"/>
        </w:tabs>
        <w:spacing w:before="120" w:after="120"/>
        <w:ind w:right="-22"/>
        <w:jc w:val="both"/>
        <w:rPr>
          <w:b/>
          <w:bCs/>
          <w:iCs/>
          <w:sz w:val="16"/>
          <w:szCs w:val="16"/>
        </w:rPr>
      </w:pPr>
    </w:p>
    <w:p w14:paraId="3B62E192" w14:textId="3610E5A7" w:rsidR="007B059F" w:rsidRPr="001B6409" w:rsidRDefault="00E42189" w:rsidP="00861101">
      <w:pPr>
        <w:tabs>
          <w:tab w:val="left" w:pos="567"/>
        </w:tabs>
        <w:spacing w:before="120" w:after="120"/>
        <w:ind w:right="-22"/>
        <w:jc w:val="both"/>
        <w:rPr>
          <w:b/>
          <w:bCs/>
          <w:iCs/>
          <w:sz w:val="24"/>
          <w:szCs w:val="24"/>
        </w:rPr>
      </w:pPr>
      <w:r>
        <w:rPr>
          <w:noProof/>
          <w:lang w:val="en-US"/>
        </w:rPr>
        <mc:AlternateContent>
          <mc:Choice Requires="wps">
            <w:drawing>
              <wp:anchor distT="0" distB="0" distL="114300" distR="114300" simplePos="0" relativeHeight="251656704" behindDoc="0" locked="0" layoutInCell="1" allowOverlap="1" wp14:anchorId="24A8BB29" wp14:editId="59FED21D">
                <wp:simplePos x="0" y="0"/>
                <wp:positionH relativeFrom="column">
                  <wp:posOffset>5143500</wp:posOffset>
                </wp:positionH>
                <wp:positionV relativeFrom="paragraph">
                  <wp:posOffset>219710</wp:posOffset>
                </wp:positionV>
                <wp:extent cx="333375" cy="238125"/>
                <wp:effectExtent l="0" t="0" r="0" b="0"/>
                <wp:wrapNone/>
                <wp:docPr id="10"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474D7" w14:textId="77777777" w:rsidR="00041FB2" w:rsidRPr="00927B89" w:rsidRDefault="00041FB2" w:rsidP="007B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BB29" id="Rectangle 421" o:spid="_x0000_s1026" style="position:absolute;left:0;text-align:left;margin-left:405pt;margin-top:17.3pt;width:26.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" stroked="f">
                <v:textbox>
                  <w:txbxContent>
                    <w:p w14:paraId="638474D7" w14:textId="77777777" w:rsidR="00041FB2" w:rsidRPr="00927B89" w:rsidRDefault="00041FB2" w:rsidP="007B059F"/>
                  </w:txbxContent>
                </v:textbox>
              </v:rect>
            </w:pict>
          </mc:Fallback>
        </mc:AlternateContent>
      </w:r>
      <w:r w:rsidR="007B059F" w:rsidRPr="001B6409">
        <w:rPr>
          <w:b/>
          <w:bCs/>
          <w:iCs/>
          <w:sz w:val="24"/>
          <w:szCs w:val="24"/>
        </w:rPr>
        <w:t>3.</w:t>
      </w:r>
      <w:r w:rsidR="007B059F" w:rsidRPr="001B6409">
        <w:rPr>
          <w:b/>
          <w:bCs/>
          <w:iCs/>
          <w:sz w:val="24"/>
          <w:szCs w:val="24"/>
        </w:rPr>
        <w:tab/>
      </w:r>
      <w:r w:rsidR="00186FFB" w:rsidRPr="001B6409">
        <w:rPr>
          <w:b/>
          <w:bCs/>
          <w:iCs/>
          <w:sz w:val="24"/>
          <w:szCs w:val="24"/>
        </w:rPr>
        <w:t>Change in quarterly PPI-M</w:t>
      </w:r>
    </w:p>
    <w:p w14:paraId="5B746153" w14:textId="77777777" w:rsidR="00225548" w:rsidRDefault="007B059F" w:rsidP="00861101">
      <w:pPr>
        <w:tabs>
          <w:tab w:val="left" w:pos="567"/>
        </w:tabs>
        <w:spacing w:before="120" w:after="120"/>
        <w:ind w:right="-22"/>
        <w:jc w:val="both"/>
        <w:rPr>
          <w:b/>
          <w:iCs/>
          <w:sz w:val="24"/>
          <w:szCs w:val="24"/>
          <w:u w:val="single"/>
        </w:rPr>
      </w:pPr>
      <w:r w:rsidRPr="001B6409">
        <w:rPr>
          <w:b/>
          <w:iCs/>
          <w:sz w:val="24"/>
          <w:szCs w:val="24"/>
        </w:rPr>
        <w:t xml:space="preserve">3.1     </w:t>
      </w:r>
      <w:r w:rsidRPr="001B6409">
        <w:rPr>
          <w:b/>
          <w:iCs/>
          <w:sz w:val="24"/>
          <w:szCs w:val="24"/>
          <w:u w:val="single"/>
        </w:rPr>
        <w:t>Manufacturing Sector</w:t>
      </w:r>
    </w:p>
    <w:p w14:paraId="1AC68B57" w14:textId="2574A2F0" w:rsidR="00C806F8" w:rsidRDefault="00BC68CE" w:rsidP="003D1C84">
      <w:pPr>
        <w:spacing w:before="240" w:after="240"/>
        <w:jc w:val="both"/>
        <w:rPr>
          <w:noProof/>
          <w:sz w:val="24"/>
          <w:szCs w:val="24"/>
        </w:rPr>
      </w:pPr>
      <w:r w:rsidRPr="00BC540D">
        <w:rPr>
          <w:noProof/>
          <w:sz w:val="24"/>
          <w:szCs w:val="24"/>
        </w:rPr>
        <w:t xml:space="preserve">The average PPI-M for the </w:t>
      </w:r>
      <w:r w:rsidR="00E41D6A">
        <w:rPr>
          <w:noProof/>
          <w:sz w:val="24"/>
          <w:szCs w:val="24"/>
        </w:rPr>
        <w:t>first</w:t>
      </w:r>
      <w:r w:rsidRPr="00BC540D">
        <w:rPr>
          <w:noProof/>
          <w:sz w:val="24"/>
          <w:szCs w:val="24"/>
        </w:rPr>
        <w:t xml:space="preserve"> quarter of 20</w:t>
      </w:r>
      <w:r>
        <w:rPr>
          <w:noProof/>
          <w:sz w:val="24"/>
          <w:szCs w:val="24"/>
        </w:rPr>
        <w:t>2</w:t>
      </w:r>
      <w:r w:rsidR="00E41D6A">
        <w:rPr>
          <w:noProof/>
          <w:sz w:val="24"/>
          <w:szCs w:val="24"/>
        </w:rPr>
        <w:t>3</w:t>
      </w:r>
      <w:r w:rsidRPr="00BC540D">
        <w:rPr>
          <w:noProof/>
          <w:sz w:val="24"/>
          <w:szCs w:val="24"/>
        </w:rPr>
        <w:t xml:space="preserve"> stood at 1</w:t>
      </w:r>
      <w:r w:rsidR="00E41D6A">
        <w:rPr>
          <w:noProof/>
          <w:sz w:val="24"/>
          <w:szCs w:val="24"/>
        </w:rPr>
        <w:t>49.4</w:t>
      </w:r>
      <w:r w:rsidRPr="00BC540D">
        <w:rPr>
          <w:noProof/>
          <w:sz w:val="24"/>
          <w:szCs w:val="24"/>
        </w:rPr>
        <w:t>, i.e</w:t>
      </w:r>
      <w:r w:rsidR="00531B86">
        <w:rPr>
          <w:noProof/>
          <w:sz w:val="24"/>
          <w:szCs w:val="24"/>
        </w:rPr>
        <w:t>.</w:t>
      </w:r>
      <w:r w:rsidRPr="00BC540D">
        <w:rPr>
          <w:noProof/>
          <w:sz w:val="24"/>
          <w:szCs w:val="24"/>
        </w:rPr>
        <w:t xml:space="preserve"> </w:t>
      </w:r>
      <w:r>
        <w:rPr>
          <w:noProof/>
          <w:sz w:val="24"/>
          <w:szCs w:val="24"/>
        </w:rPr>
        <w:t xml:space="preserve">an </w:t>
      </w:r>
      <w:r w:rsidRPr="00BC540D">
        <w:rPr>
          <w:noProof/>
          <w:sz w:val="24"/>
          <w:szCs w:val="24"/>
        </w:rPr>
        <w:t>increas</w:t>
      </w:r>
      <w:r>
        <w:rPr>
          <w:noProof/>
          <w:sz w:val="24"/>
          <w:szCs w:val="24"/>
        </w:rPr>
        <w:t>e</w:t>
      </w:r>
      <w:r w:rsidRPr="00BC540D">
        <w:rPr>
          <w:noProof/>
          <w:sz w:val="24"/>
          <w:szCs w:val="24"/>
        </w:rPr>
        <w:t xml:space="preserve"> </w:t>
      </w:r>
      <w:r>
        <w:rPr>
          <w:noProof/>
          <w:sz w:val="24"/>
          <w:szCs w:val="24"/>
        </w:rPr>
        <w:t>of</w:t>
      </w:r>
      <w:r w:rsidRPr="00BC540D">
        <w:rPr>
          <w:noProof/>
          <w:sz w:val="24"/>
          <w:szCs w:val="24"/>
        </w:rPr>
        <w:t xml:space="preserve"> </w:t>
      </w:r>
      <w:r w:rsidR="00E41D6A">
        <w:rPr>
          <w:noProof/>
          <w:sz w:val="24"/>
          <w:szCs w:val="24"/>
        </w:rPr>
        <w:t>1.6</w:t>
      </w:r>
      <w:r w:rsidRPr="00BC540D">
        <w:rPr>
          <w:noProof/>
          <w:sz w:val="24"/>
          <w:szCs w:val="24"/>
        </w:rPr>
        <w:t xml:space="preserve"> point</w:t>
      </w:r>
      <w:r w:rsidR="00C027D7">
        <w:rPr>
          <w:noProof/>
          <w:sz w:val="24"/>
          <w:szCs w:val="24"/>
        </w:rPr>
        <w:t>s</w:t>
      </w:r>
      <w:r w:rsidRPr="00BC540D">
        <w:rPr>
          <w:noProof/>
          <w:sz w:val="24"/>
          <w:szCs w:val="24"/>
        </w:rPr>
        <w:t xml:space="preserve"> (+</w:t>
      </w:r>
      <w:r w:rsidR="00E41D6A">
        <w:rPr>
          <w:noProof/>
          <w:sz w:val="24"/>
          <w:szCs w:val="24"/>
        </w:rPr>
        <w:t>1.1</w:t>
      </w:r>
      <w:r w:rsidRPr="00BC540D">
        <w:rPr>
          <w:noProof/>
          <w:sz w:val="24"/>
          <w:szCs w:val="24"/>
        </w:rPr>
        <w:t>%) from 1</w:t>
      </w:r>
      <w:r w:rsidR="00E41D6A">
        <w:rPr>
          <w:noProof/>
          <w:sz w:val="24"/>
          <w:szCs w:val="24"/>
        </w:rPr>
        <w:t>47</w:t>
      </w:r>
      <w:r w:rsidRPr="00BC540D">
        <w:rPr>
          <w:noProof/>
          <w:sz w:val="24"/>
          <w:szCs w:val="24"/>
        </w:rPr>
        <w:t>.</w:t>
      </w:r>
      <w:r w:rsidR="00E41D6A">
        <w:rPr>
          <w:noProof/>
          <w:sz w:val="24"/>
          <w:szCs w:val="24"/>
        </w:rPr>
        <w:t>8</w:t>
      </w:r>
      <w:r w:rsidRPr="00BC540D">
        <w:rPr>
          <w:noProof/>
          <w:sz w:val="24"/>
          <w:szCs w:val="24"/>
        </w:rPr>
        <w:t xml:space="preserve"> in the </w:t>
      </w:r>
      <w:r w:rsidR="00E41D6A">
        <w:rPr>
          <w:noProof/>
          <w:sz w:val="24"/>
          <w:szCs w:val="24"/>
        </w:rPr>
        <w:t>fourth</w:t>
      </w:r>
      <w:r w:rsidRPr="00BC540D">
        <w:rPr>
          <w:noProof/>
          <w:sz w:val="24"/>
          <w:szCs w:val="24"/>
        </w:rPr>
        <w:t xml:space="preserve"> quarter of 20</w:t>
      </w:r>
      <w:r>
        <w:rPr>
          <w:noProof/>
          <w:sz w:val="24"/>
          <w:szCs w:val="24"/>
        </w:rPr>
        <w:t>2</w:t>
      </w:r>
      <w:r w:rsidR="00CD2BB2">
        <w:rPr>
          <w:noProof/>
          <w:sz w:val="24"/>
          <w:szCs w:val="24"/>
        </w:rPr>
        <w:t>2</w:t>
      </w:r>
      <w:r>
        <w:rPr>
          <w:noProof/>
          <w:sz w:val="24"/>
          <w:szCs w:val="24"/>
        </w:rPr>
        <w:t>. This increase was mainly attributable to</w:t>
      </w:r>
      <w:r w:rsidRPr="00254D4D">
        <w:rPr>
          <w:noProof/>
          <w:sz w:val="24"/>
          <w:szCs w:val="24"/>
        </w:rPr>
        <w:t xml:space="preserve"> </w:t>
      </w:r>
      <w:r>
        <w:rPr>
          <w:noProof/>
          <w:sz w:val="24"/>
          <w:szCs w:val="24"/>
        </w:rPr>
        <w:t>higher prices of “</w:t>
      </w:r>
      <w:r w:rsidR="005B7591">
        <w:rPr>
          <w:noProof/>
          <w:sz w:val="24"/>
          <w:szCs w:val="24"/>
        </w:rPr>
        <w:t>Food products and beverages”</w:t>
      </w:r>
      <w:r w:rsidR="00916FBB">
        <w:rPr>
          <w:noProof/>
          <w:sz w:val="24"/>
          <w:szCs w:val="24"/>
        </w:rPr>
        <w:t xml:space="preserve"> </w:t>
      </w:r>
      <w:r w:rsidR="000F7355">
        <w:rPr>
          <w:noProof/>
          <w:sz w:val="24"/>
          <w:szCs w:val="24"/>
        </w:rPr>
        <w:t>(+</w:t>
      </w:r>
      <w:r w:rsidR="00757A65">
        <w:rPr>
          <w:noProof/>
          <w:sz w:val="24"/>
          <w:szCs w:val="24"/>
        </w:rPr>
        <w:t>1.0</w:t>
      </w:r>
      <w:r w:rsidR="00217E61">
        <w:rPr>
          <w:noProof/>
          <w:sz w:val="24"/>
          <w:szCs w:val="24"/>
        </w:rPr>
        <w:t>%)</w:t>
      </w:r>
      <w:r w:rsidR="00C027D7">
        <w:rPr>
          <w:noProof/>
          <w:sz w:val="24"/>
          <w:szCs w:val="24"/>
        </w:rPr>
        <w:t>,</w:t>
      </w:r>
      <w:r w:rsidR="0089375F">
        <w:rPr>
          <w:noProof/>
          <w:sz w:val="24"/>
          <w:szCs w:val="24"/>
        </w:rPr>
        <w:t xml:space="preserve"> </w:t>
      </w:r>
      <w:r w:rsidR="00E41D6A">
        <w:rPr>
          <w:noProof/>
          <w:sz w:val="24"/>
          <w:szCs w:val="24"/>
        </w:rPr>
        <w:t>“</w:t>
      </w:r>
      <w:r w:rsidR="00E41D6A" w:rsidRPr="006946AC">
        <w:rPr>
          <w:noProof/>
          <w:sz w:val="24"/>
          <w:szCs w:val="24"/>
        </w:rPr>
        <w:t>Other non-metallic mineral products</w:t>
      </w:r>
      <w:r w:rsidR="00E41D6A">
        <w:rPr>
          <w:noProof/>
          <w:sz w:val="24"/>
          <w:szCs w:val="24"/>
        </w:rPr>
        <w:t>” (+3.0%)</w:t>
      </w:r>
      <w:r w:rsidR="00757A65">
        <w:rPr>
          <w:noProof/>
          <w:sz w:val="24"/>
          <w:szCs w:val="24"/>
        </w:rPr>
        <w:t>, “</w:t>
      </w:r>
      <w:r w:rsidR="00757A65" w:rsidRPr="00757A65">
        <w:rPr>
          <w:noProof/>
          <w:sz w:val="24"/>
          <w:szCs w:val="24"/>
        </w:rPr>
        <w:t>Printing and reproduction of recorded media</w:t>
      </w:r>
      <w:r w:rsidR="00757A65">
        <w:rPr>
          <w:noProof/>
          <w:sz w:val="24"/>
          <w:szCs w:val="24"/>
        </w:rPr>
        <w:t xml:space="preserve">” (+3.8%) </w:t>
      </w:r>
      <w:r w:rsidR="00E41D6A">
        <w:rPr>
          <w:noProof/>
          <w:sz w:val="24"/>
          <w:szCs w:val="24"/>
        </w:rPr>
        <w:t>and</w:t>
      </w:r>
      <w:r w:rsidR="00757A65">
        <w:rPr>
          <w:noProof/>
          <w:sz w:val="24"/>
          <w:szCs w:val="24"/>
        </w:rPr>
        <w:t xml:space="preserve"> </w:t>
      </w:r>
      <w:r w:rsidR="00E41D6A">
        <w:rPr>
          <w:noProof/>
          <w:sz w:val="24"/>
          <w:szCs w:val="24"/>
        </w:rPr>
        <w:t>“</w:t>
      </w:r>
      <w:r w:rsidR="00A04F73">
        <w:rPr>
          <w:noProof/>
          <w:sz w:val="24"/>
          <w:szCs w:val="24"/>
        </w:rPr>
        <w:t>O</w:t>
      </w:r>
      <w:r w:rsidR="00E41D6A">
        <w:rPr>
          <w:noProof/>
          <w:sz w:val="24"/>
          <w:szCs w:val="24"/>
        </w:rPr>
        <w:t xml:space="preserve">ther products” (+6.0%), partly offset by lower prices of </w:t>
      </w:r>
      <w:r w:rsidR="00E41D6A" w:rsidRPr="00ED301A">
        <w:rPr>
          <w:noProof/>
          <w:sz w:val="24"/>
          <w:szCs w:val="24"/>
        </w:rPr>
        <w:t>“Chemicals and ch</w:t>
      </w:r>
      <w:r w:rsidR="00E41D6A">
        <w:rPr>
          <w:noProof/>
          <w:sz w:val="24"/>
          <w:szCs w:val="24"/>
        </w:rPr>
        <w:t>emical products”</w:t>
      </w:r>
      <w:r w:rsidR="00757A65">
        <w:rPr>
          <w:noProof/>
          <w:sz w:val="24"/>
          <w:szCs w:val="24"/>
        </w:rPr>
        <w:t xml:space="preserve"> </w:t>
      </w:r>
      <w:r w:rsidR="00A04F73">
        <w:rPr>
          <w:noProof/>
          <w:sz w:val="24"/>
          <w:szCs w:val="24"/>
        </w:rPr>
        <w:t xml:space="preserve">(-1.5%) </w:t>
      </w:r>
      <w:r w:rsidR="00AD5C80" w:rsidRPr="00A74135">
        <w:rPr>
          <w:noProof/>
          <w:sz w:val="24"/>
          <w:szCs w:val="24"/>
        </w:rPr>
        <w:t>(Table 2a</w:t>
      </w:r>
      <w:r w:rsidRPr="00A74135">
        <w:rPr>
          <w:noProof/>
          <w:sz w:val="24"/>
          <w:szCs w:val="24"/>
        </w:rPr>
        <w:t>).</w:t>
      </w:r>
      <w:r w:rsidRPr="00BC540D">
        <w:rPr>
          <w:noProof/>
          <w:sz w:val="24"/>
          <w:szCs w:val="24"/>
        </w:rPr>
        <w:t xml:space="preserve"> </w:t>
      </w:r>
    </w:p>
    <w:p w14:paraId="4DDC4872" w14:textId="20FE2873" w:rsidR="003D1C84" w:rsidRDefault="00BC68CE" w:rsidP="00E41D6A">
      <w:pPr>
        <w:spacing w:before="240" w:after="240"/>
        <w:jc w:val="both"/>
        <w:rPr>
          <w:noProof/>
          <w:sz w:val="24"/>
          <w:szCs w:val="24"/>
        </w:rPr>
      </w:pPr>
      <w:r w:rsidRPr="00BC540D">
        <w:rPr>
          <w:noProof/>
          <w:sz w:val="24"/>
          <w:szCs w:val="24"/>
        </w:rPr>
        <w:t>Compared to the corresponding quarter of 20</w:t>
      </w:r>
      <w:r w:rsidR="00C96BE3">
        <w:rPr>
          <w:noProof/>
          <w:sz w:val="24"/>
          <w:szCs w:val="24"/>
        </w:rPr>
        <w:t>2</w:t>
      </w:r>
      <w:r w:rsidR="00E70900">
        <w:rPr>
          <w:noProof/>
          <w:sz w:val="24"/>
          <w:szCs w:val="24"/>
        </w:rPr>
        <w:t>2</w:t>
      </w:r>
      <w:r w:rsidRPr="00BC540D">
        <w:rPr>
          <w:noProof/>
          <w:sz w:val="24"/>
          <w:szCs w:val="24"/>
        </w:rPr>
        <w:t xml:space="preserve">, the average PPI-M for the </w:t>
      </w:r>
      <w:r w:rsidR="00A04F73">
        <w:rPr>
          <w:noProof/>
          <w:sz w:val="24"/>
          <w:szCs w:val="24"/>
        </w:rPr>
        <w:t>first</w:t>
      </w:r>
      <w:r>
        <w:rPr>
          <w:noProof/>
          <w:sz w:val="24"/>
          <w:szCs w:val="24"/>
        </w:rPr>
        <w:t xml:space="preserve"> </w:t>
      </w:r>
      <w:r w:rsidRPr="00BC540D">
        <w:rPr>
          <w:noProof/>
          <w:sz w:val="24"/>
          <w:szCs w:val="24"/>
        </w:rPr>
        <w:t>quarter of 20</w:t>
      </w:r>
      <w:r>
        <w:rPr>
          <w:noProof/>
          <w:sz w:val="24"/>
          <w:szCs w:val="24"/>
        </w:rPr>
        <w:t>2</w:t>
      </w:r>
      <w:r w:rsidR="00A04F73">
        <w:rPr>
          <w:noProof/>
          <w:sz w:val="24"/>
          <w:szCs w:val="24"/>
        </w:rPr>
        <w:t>3</w:t>
      </w:r>
      <w:r w:rsidRPr="00BC540D">
        <w:rPr>
          <w:noProof/>
          <w:sz w:val="24"/>
          <w:szCs w:val="24"/>
        </w:rPr>
        <w:t xml:space="preserve"> increased </w:t>
      </w:r>
      <w:r w:rsidRPr="00ED301A">
        <w:rPr>
          <w:noProof/>
          <w:sz w:val="24"/>
          <w:szCs w:val="24"/>
        </w:rPr>
        <w:t xml:space="preserve">by </w:t>
      </w:r>
      <w:r w:rsidR="00E70900">
        <w:rPr>
          <w:noProof/>
          <w:sz w:val="24"/>
          <w:szCs w:val="24"/>
        </w:rPr>
        <w:t>16.1</w:t>
      </w:r>
      <w:r w:rsidRPr="00ED301A">
        <w:rPr>
          <w:noProof/>
          <w:sz w:val="24"/>
          <w:szCs w:val="24"/>
        </w:rPr>
        <w:t xml:space="preserve"> points (+</w:t>
      </w:r>
      <w:r w:rsidR="00D262B4" w:rsidRPr="00ED301A">
        <w:rPr>
          <w:noProof/>
          <w:sz w:val="24"/>
          <w:szCs w:val="24"/>
        </w:rPr>
        <w:t>1</w:t>
      </w:r>
      <w:r w:rsidR="00E70900">
        <w:rPr>
          <w:noProof/>
          <w:sz w:val="24"/>
          <w:szCs w:val="24"/>
        </w:rPr>
        <w:t>2.1</w:t>
      </w:r>
      <w:r w:rsidRPr="00ED301A">
        <w:rPr>
          <w:noProof/>
          <w:sz w:val="24"/>
          <w:szCs w:val="24"/>
        </w:rPr>
        <w:t>%), mainly explained by higher prices of “</w:t>
      </w:r>
      <w:r w:rsidR="006A6B94" w:rsidRPr="00ED301A">
        <w:rPr>
          <w:noProof/>
          <w:sz w:val="24"/>
          <w:szCs w:val="24"/>
        </w:rPr>
        <w:t>Food products and beverages” (+</w:t>
      </w:r>
      <w:r w:rsidR="00E70900">
        <w:rPr>
          <w:noProof/>
          <w:sz w:val="24"/>
          <w:szCs w:val="24"/>
        </w:rPr>
        <w:t>15.5</w:t>
      </w:r>
      <w:r w:rsidR="00A75247" w:rsidRPr="00ED301A">
        <w:rPr>
          <w:noProof/>
          <w:sz w:val="24"/>
          <w:szCs w:val="24"/>
        </w:rPr>
        <w:t>%)</w:t>
      </w:r>
      <w:r w:rsidR="00C40667" w:rsidRPr="00ED301A">
        <w:rPr>
          <w:noProof/>
          <w:sz w:val="24"/>
          <w:szCs w:val="24"/>
        </w:rPr>
        <w:t>,</w:t>
      </w:r>
      <w:r w:rsidR="00362AA4" w:rsidRPr="00ED301A">
        <w:rPr>
          <w:noProof/>
          <w:sz w:val="24"/>
          <w:szCs w:val="24"/>
        </w:rPr>
        <w:t xml:space="preserve"> </w:t>
      </w:r>
      <w:r w:rsidR="00F8510D" w:rsidRPr="00ED301A">
        <w:rPr>
          <w:noProof/>
          <w:sz w:val="24"/>
          <w:szCs w:val="24"/>
        </w:rPr>
        <w:t>“Chemicals and ch</w:t>
      </w:r>
      <w:r w:rsidR="00E70900">
        <w:rPr>
          <w:noProof/>
          <w:sz w:val="24"/>
          <w:szCs w:val="24"/>
        </w:rPr>
        <w:t>emical products” (+17.8</w:t>
      </w:r>
      <w:r w:rsidR="00F8510D" w:rsidRPr="00ED301A">
        <w:rPr>
          <w:noProof/>
          <w:sz w:val="24"/>
          <w:szCs w:val="24"/>
        </w:rPr>
        <w:t>%),</w:t>
      </w:r>
      <w:r w:rsidR="00E70900">
        <w:rPr>
          <w:noProof/>
          <w:sz w:val="24"/>
          <w:szCs w:val="24"/>
        </w:rPr>
        <w:t xml:space="preserve"> “Furniture” (+13.7</w:t>
      </w:r>
      <w:r w:rsidR="0060531A" w:rsidRPr="0086110D">
        <w:rPr>
          <w:noProof/>
          <w:sz w:val="24"/>
          <w:szCs w:val="24"/>
        </w:rPr>
        <w:t>%),</w:t>
      </w:r>
      <w:r w:rsidR="006E4850">
        <w:rPr>
          <w:noProof/>
          <w:sz w:val="24"/>
          <w:szCs w:val="24"/>
        </w:rPr>
        <w:t xml:space="preserve"> “</w:t>
      </w:r>
      <w:r w:rsidR="006E4850" w:rsidRPr="006E4850">
        <w:rPr>
          <w:noProof/>
          <w:sz w:val="24"/>
          <w:szCs w:val="24"/>
        </w:rPr>
        <w:t>Wood and products of wood &amp; cork; articles of straw and plaiting materials/ Paper and paper products</w:t>
      </w:r>
      <w:r w:rsidR="00E70900">
        <w:rPr>
          <w:noProof/>
          <w:sz w:val="24"/>
          <w:szCs w:val="24"/>
        </w:rPr>
        <w:t>” (+24.3</w:t>
      </w:r>
      <w:r w:rsidR="006E4850">
        <w:rPr>
          <w:noProof/>
          <w:sz w:val="24"/>
          <w:szCs w:val="24"/>
        </w:rPr>
        <w:t>%)</w:t>
      </w:r>
      <w:r w:rsidR="005174B0">
        <w:rPr>
          <w:noProof/>
          <w:sz w:val="24"/>
          <w:szCs w:val="24"/>
        </w:rPr>
        <w:t xml:space="preserve"> and</w:t>
      </w:r>
      <w:r w:rsidR="0060531A" w:rsidRPr="0086110D">
        <w:rPr>
          <w:noProof/>
          <w:sz w:val="24"/>
          <w:szCs w:val="24"/>
        </w:rPr>
        <w:t xml:space="preserve"> </w:t>
      </w:r>
      <w:r w:rsidR="0062279F" w:rsidRPr="003D1C84">
        <w:rPr>
          <w:noProof/>
          <w:sz w:val="24"/>
          <w:szCs w:val="24"/>
        </w:rPr>
        <w:t>“</w:t>
      </w:r>
      <w:r w:rsidR="003D1C84" w:rsidRPr="003D1C84">
        <w:rPr>
          <w:noProof/>
          <w:sz w:val="24"/>
          <w:szCs w:val="24"/>
        </w:rPr>
        <w:t>Rub</w:t>
      </w:r>
      <w:r w:rsidR="00E70900">
        <w:rPr>
          <w:noProof/>
          <w:sz w:val="24"/>
          <w:szCs w:val="24"/>
        </w:rPr>
        <w:t>ber and plastic products” (+25.8</w:t>
      </w:r>
      <w:r w:rsidR="003D1C84" w:rsidRPr="003D1C84">
        <w:rPr>
          <w:noProof/>
          <w:sz w:val="24"/>
          <w:szCs w:val="24"/>
        </w:rPr>
        <w:t>%)</w:t>
      </w:r>
      <w:r w:rsidR="00E70900">
        <w:rPr>
          <w:noProof/>
          <w:sz w:val="24"/>
          <w:szCs w:val="24"/>
        </w:rPr>
        <w:t xml:space="preserve">, partly offset by </w:t>
      </w:r>
      <w:r w:rsidR="00D54B56">
        <w:rPr>
          <w:noProof/>
          <w:sz w:val="24"/>
          <w:szCs w:val="24"/>
        </w:rPr>
        <w:t xml:space="preserve">lower prices of </w:t>
      </w:r>
      <w:r w:rsidR="00E41D6A">
        <w:rPr>
          <w:noProof/>
          <w:sz w:val="24"/>
          <w:szCs w:val="24"/>
        </w:rPr>
        <w:t>“</w:t>
      </w:r>
      <w:r w:rsidR="00E41D6A" w:rsidRPr="006B25A1">
        <w:rPr>
          <w:noProof/>
          <w:sz w:val="24"/>
          <w:szCs w:val="24"/>
        </w:rPr>
        <w:t>Fabricated metal products</w:t>
      </w:r>
      <w:r w:rsidR="00E41D6A">
        <w:rPr>
          <w:noProof/>
          <w:sz w:val="24"/>
          <w:szCs w:val="24"/>
        </w:rPr>
        <w:t>”</w:t>
      </w:r>
      <w:r w:rsidR="005174B0">
        <w:rPr>
          <w:noProof/>
          <w:sz w:val="24"/>
          <w:szCs w:val="24"/>
        </w:rPr>
        <w:t xml:space="preserve"> </w:t>
      </w:r>
      <w:r w:rsidR="00E41D6A">
        <w:rPr>
          <w:noProof/>
          <w:sz w:val="24"/>
          <w:szCs w:val="24"/>
        </w:rPr>
        <w:t>(-</w:t>
      </w:r>
      <w:r w:rsidR="00D65D8B">
        <w:rPr>
          <w:noProof/>
          <w:sz w:val="24"/>
          <w:szCs w:val="24"/>
        </w:rPr>
        <w:t>6.0</w:t>
      </w:r>
      <w:r w:rsidR="00E41D6A">
        <w:rPr>
          <w:noProof/>
          <w:sz w:val="24"/>
          <w:szCs w:val="24"/>
        </w:rPr>
        <w:t>%)</w:t>
      </w:r>
      <w:r w:rsidR="005174B0">
        <w:rPr>
          <w:noProof/>
          <w:sz w:val="24"/>
          <w:szCs w:val="24"/>
        </w:rPr>
        <w:t xml:space="preserve"> and “Basic metals” (-4.7%).</w:t>
      </w:r>
    </w:p>
    <w:p w14:paraId="16D40DF7" w14:textId="1C6BBA51" w:rsidR="00425D02" w:rsidRDefault="00800B95" w:rsidP="00C34ACE">
      <w:pPr>
        <w:spacing w:before="240" w:after="240"/>
        <w:jc w:val="center"/>
        <w:rPr>
          <w:noProof/>
          <w:sz w:val="24"/>
          <w:szCs w:val="24"/>
          <w:highlight w:val="yellow"/>
        </w:rPr>
      </w:pPr>
      <w:r>
        <w:rPr>
          <w:noProof/>
          <w:lang w:val="en-US"/>
        </w:rPr>
        <w:lastRenderedPageBreak/>
        <w:drawing>
          <wp:inline distT="0" distB="0" distL="0" distR="0" wp14:anchorId="6BD7763D" wp14:editId="195F0D76">
            <wp:extent cx="3783330" cy="2676525"/>
            <wp:effectExtent l="0" t="0" r="7620" b="0"/>
            <wp:docPr id="18" name="Chart 1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87A52" w14:textId="77777777" w:rsidR="007B059F" w:rsidRPr="00671CB6" w:rsidRDefault="007B059F" w:rsidP="0066617C">
      <w:pPr>
        <w:spacing w:before="240" w:after="240"/>
        <w:jc w:val="both"/>
        <w:rPr>
          <w:b/>
          <w:iCs/>
          <w:sz w:val="24"/>
          <w:szCs w:val="24"/>
          <w:u w:val="single"/>
        </w:rPr>
      </w:pPr>
      <w:r w:rsidRPr="00671CB6">
        <w:rPr>
          <w:b/>
          <w:iCs/>
          <w:sz w:val="24"/>
          <w:szCs w:val="24"/>
        </w:rPr>
        <w:t>3.2</w:t>
      </w:r>
      <w:r w:rsidR="004862B9" w:rsidRPr="00671CB6">
        <w:rPr>
          <w:b/>
          <w:iCs/>
          <w:sz w:val="24"/>
          <w:szCs w:val="24"/>
        </w:rPr>
        <w:tab/>
      </w:r>
      <w:r w:rsidRPr="00671CB6">
        <w:rPr>
          <w:b/>
          <w:iCs/>
          <w:sz w:val="24"/>
          <w:szCs w:val="24"/>
          <w:u w:val="single"/>
        </w:rPr>
        <w:t>Manufacture of Food Products and Beverages</w:t>
      </w:r>
    </w:p>
    <w:p w14:paraId="3C3AC163" w14:textId="6779BF32" w:rsidR="007C6B46" w:rsidRDefault="00C32F08" w:rsidP="007C6B46">
      <w:pPr>
        <w:jc w:val="both"/>
        <w:rPr>
          <w:noProof/>
          <w:sz w:val="24"/>
          <w:szCs w:val="24"/>
        </w:rPr>
      </w:pPr>
      <w:r w:rsidRPr="00671CB6">
        <w:rPr>
          <w:noProof/>
          <w:sz w:val="24"/>
          <w:szCs w:val="24"/>
        </w:rPr>
        <w:t xml:space="preserve">Compared to the previous quarter, the index for “Food products and beverages” increased by </w:t>
      </w:r>
      <w:r w:rsidR="00757A65">
        <w:rPr>
          <w:noProof/>
          <w:sz w:val="24"/>
          <w:szCs w:val="24"/>
        </w:rPr>
        <w:t>1.5</w:t>
      </w:r>
      <w:r w:rsidRPr="00671CB6">
        <w:rPr>
          <w:noProof/>
          <w:sz w:val="24"/>
          <w:szCs w:val="24"/>
        </w:rPr>
        <w:t xml:space="preserve"> point</w:t>
      </w:r>
      <w:r w:rsidR="00F77857" w:rsidRPr="00671CB6">
        <w:rPr>
          <w:noProof/>
          <w:sz w:val="24"/>
          <w:szCs w:val="24"/>
        </w:rPr>
        <w:t>s</w:t>
      </w:r>
      <w:r w:rsidRPr="00671CB6">
        <w:rPr>
          <w:noProof/>
          <w:sz w:val="24"/>
          <w:szCs w:val="24"/>
        </w:rPr>
        <w:t xml:space="preserve"> (+</w:t>
      </w:r>
      <w:r w:rsidR="00757A65">
        <w:rPr>
          <w:noProof/>
          <w:sz w:val="24"/>
          <w:szCs w:val="24"/>
        </w:rPr>
        <w:t>1.0</w:t>
      </w:r>
      <w:r w:rsidRPr="00671CB6">
        <w:rPr>
          <w:noProof/>
          <w:sz w:val="24"/>
          <w:szCs w:val="24"/>
        </w:rPr>
        <w:t xml:space="preserve">%) in the </w:t>
      </w:r>
      <w:r w:rsidR="00CD2BB2">
        <w:rPr>
          <w:noProof/>
          <w:sz w:val="24"/>
          <w:szCs w:val="24"/>
        </w:rPr>
        <w:t>first</w:t>
      </w:r>
      <w:r w:rsidR="009E620F" w:rsidRPr="00671CB6">
        <w:rPr>
          <w:noProof/>
          <w:sz w:val="24"/>
          <w:szCs w:val="24"/>
        </w:rPr>
        <w:t xml:space="preserve"> </w:t>
      </w:r>
      <w:r w:rsidRPr="00671CB6">
        <w:rPr>
          <w:noProof/>
          <w:sz w:val="24"/>
          <w:szCs w:val="24"/>
        </w:rPr>
        <w:t>quarter of 202</w:t>
      </w:r>
      <w:r w:rsidR="00CD2BB2">
        <w:rPr>
          <w:noProof/>
          <w:sz w:val="24"/>
          <w:szCs w:val="24"/>
        </w:rPr>
        <w:t>3</w:t>
      </w:r>
      <w:r w:rsidRPr="00671CB6">
        <w:rPr>
          <w:noProof/>
          <w:sz w:val="24"/>
          <w:szCs w:val="24"/>
        </w:rPr>
        <w:t xml:space="preserve">. The index for “Food products” increased by </w:t>
      </w:r>
      <w:r w:rsidR="007C6B46">
        <w:rPr>
          <w:noProof/>
          <w:sz w:val="24"/>
          <w:szCs w:val="24"/>
        </w:rPr>
        <w:t>2.1</w:t>
      </w:r>
      <w:r w:rsidRPr="00671CB6">
        <w:rPr>
          <w:noProof/>
          <w:sz w:val="24"/>
          <w:szCs w:val="24"/>
        </w:rPr>
        <w:t xml:space="preserve"> point</w:t>
      </w:r>
      <w:r w:rsidR="007B7E5C" w:rsidRPr="00671CB6">
        <w:rPr>
          <w:noProof/>
          <w:sz w:val="24"/>
          <w:szCs w:val="24"/>
        </w:rPr>
        <w:t>s</w:t>
      </w:r>
      <w:r w:rsidRPr="00671CB6">
        <w:rPr>
          <w:noProof/>
          <w:sz w:val="24"/>
          <w:szCs w:val="24"/>
        </w:rPr>
        <w:t xml:space="preserve"> (+</w:t>
      </w:r>
      <w:r w:rsidR="007C6B46">
        <w:rPr>
          <w:noProof/>
          <w:sz w:val="24"/>
          <w:szCs w:val="24"/>
        </w:rPr>
        <w:t>1.4</w:t>
      </w:r>
      <w:r w:rsidRPr="00671CB6">
        <w:rPr>
          <w:noProof/>
          <w:sz w:val="24"/>
          <w:szCs w:val="24"/>
        </w:rPr>
        <w:t>%), mainly explained by higher p</w:t>
      </w:r>
      <w:r w:rsidR="00C11266" w:rsidRPr="00671CB6">
        <w:rPr>
          <w:noProof/>
          <w:sz w:val="24"/>
          <w:szCs w:val="24"/>
        </w:rPr>
        <w:t xml:space="preserve">rices </w:t>
      </w:r>
      <w:r w:rsidR="00C11266" w:rsidRPr="00D65D37">
        <w:rPr>
          <w:noProof/>
          <w:sz w:val="24"/>
          <w:szCs w:val="24"/>
        </w:rPr>
        <w:t xml:space="preserve">of </w:t>
      </w:r>
      <w:r w:rsidR="00E51AFF" w:rsidRPr="00D65D37">
        <w:rPr>
          <w:noProof/>
          <w:sz w:val="24"/>
          <w:szCs w:val="24"/>
        </w:rPr>
        <w:t xml:space="preserve"> </w:t>
      </w:r>
      <w:r w:rsidR="007C6B46">
        <w:rPr>
          <w:noProof/>
          <w:sz w:val="24"/>
          <w:szCs w:val="24"/>
        </w:rPr>
        <w:t xml:space="preserve">“Grain mill products” (+11.3%), </w:t>
      </w:r>
      <w:r w:rsidR="007C6B46">
        <w:rPr>
          <w:iCs/>
          <w:noProof/>
          <w:sz w:val="24"/>
          <w:szCs w:val="24"/>
        </w:rPr>
        <w:t>“</w:t>
      </w:r>
      <w:r w:rsidR="007C6B46" w:rsidRPr="00B96A76">
        <w:rPr>
          <w:iCs/>
          <w:noProof/>
          <w:sz w:val="24"/>
          <w:szCs w:val="24"/>
        </w:rPr>
        <w:t>Bakery products</w:t>
      </w:r>
      <w:r w:rsidR="007C6B46">
        <w:rPr>
          <w:iCs/>
          <w:noProof/>
          <w:sz w:val="24"/>
          <w:szCs w:val="24"/>
        </w:rPr>
        <w:t>” (+2.2%) of which “</w:t>
      </w:r>
      <w:r w:rsidR="007C6B46" w:rsidRPr="00B96A76">
        <w:rPr>
          <w:iCs/>
          <w:noProof/>
          <w:sz w:val="24"/>
          <w:szCs w:val="24"/>
        </w:rPr>
        <w:t>Bread/Pastries and cakes</w:t>
      </w:r>
      <w:r w:rsidR="007C6B46">
        <w:rPr>
          <w:iCs/>
          <w:noProof/>
          <w:sz w:val="24"/>
          <w:szCs w:val="24"/>
        </w:rPr>
        <w:t xml:space="preserve">” (+2.0%) and </w:t>
      </w:r>
      <w:r w:rsidR="007C6B46" w:rsidRPr="00B41320">
        <w:rPr>
          <w:sz w:val="24"/>
          <w:szCs w:val="24"/>
        </w:rPr>
        <w:t>“Other food products n.e.c</w:t>
      </w:r>
      <w:r w:rsidR="007C6B46">
        <w:rPr>
          <w:sz w:val="24"/>
          <w:szCs w:val="24"/>
        </w:rPr>
        <w:t>.</w:t>
      </w:r>
      <w:r w:rsidR="007C6B46" w:rsidRPr="00B41320">
        <w:rPr>
          <w:sz w:val="24"/>
          <w:szCs w:val="24"/>
        </w:rPr>
        <w:t>”</w:t>
      </w:r>
      <w:r w:rsidR="007C6B46">
        <w:rPr>
          <w:sz w:val="24"/>
          <w:szCs w:val="24"/>
        </w:rPr>
        <w:t xml:space="preserve"> (+1.8%) of </w:t>
      </w:r>
      <w:r w:rsidR="007C6B46" w:rsidRPr="00B41320">
        <w:rPr>
          <w:sz w:val="24"/>
          <w:szCs w:val="24"/>
        </w:rPr>
        <w:t>which “Spices, sauces, condiments an</w:t>
      </w:r>
      <w:r w:rsidR="007C6B46">
        <w:rPr>
          <w:sz w:val="24"/>
          <w:szCs w:val="24"/>
        </w:rPr>
        <w:t>d other food products n.e.c.” (+1.6</w:t>
      </w:r>
      <w:r w:rsidR="007C6B46" w:rsidRPr="0041125F">
        <w:rPr>
          <w:sz w:val="24"/>
          <w:szCs w:val="24"/>
        </w:rPr>
        <w:t>%)</w:t>
      </w:r>
      <w:r w:rsidR="007C6B46">
        <w:rPr>
          <w:noProof/>
          <w:sz w:val="24"/>
          <w:szCs w:val="24"/>
        </w:rPr>
        <w:t xml:space="preserve">, partly offset by decreases </w:t>
      </w:r>
      <w:r w:rsidR="00D54B56">
        <w:rPr>
          <w:iCs/>
          <w:noProof/>
          <w:sz w:val="24"/>
          <w:szCs w:val="24"/>
        </w:rPr>
        <w:t xml:space="preserve">in the prices of </w:t>
      </w:r>
      <w:r w:rsidR="007C6B46">
        <w:rPr>
          <w:iCs/>
          <w:noProof/>
          <w:sz w:val="24"/>
          <w:szCs w:val="24"/>
        </w:rPr>
        <w:t>“</w:t>
      </w:r>
      <w:r w:rsidR="007C6B46" w:rsidRPr="00D65D37">
        <w:rPr>
          <w:noProof/>
          <w:sz w:val="24"/>
          <w:szCs w:val="24"/>
        </w:rPr>
        <w:t>Vegetable and animal oils and fats” (</w:t>
      </w:r>
      <w:r w:rsidR="007C6B46">
        <w:rPr>
          <w:noProof/>
          <w:sz w:val="24"/>
          <w:szCs w:val="24"/>
        </w:rPr>
        <w:t>-5.8%).</w:t>
      </w:r>
      <w:r w:rsidR="007C6B46" w:rsidRPr="007C6B46">
        <w:rPr>
          <w:noProof/>
          <w:sz w:val="24"/>
          <w:szCs w:val="24"/>
        </w:rPr>
        <w:t xml:space="preserve"> </w:t>
      </w:r>
      <w:r w:rsidR="007C6B46">
        <w:rPr>
          <w:noProof/>
          <w:sz w:val="24"/>
          <w:szCs w:val="24"/>
        </w:rPr>
        <w:t>T</w:t>
      </w:r>
      <w:r w:rsidR="007C6B46" w:rsidRPr="004742E3">
        <w:rPr>
          <w:noProof/>
          <w:sz w:val="24"/>
          <w:szCs w:val="24"/>
        </w:rPr>
        <w:t xml:space="preserve">he index for beverages increased by </w:t>
      </w:r>
      <w:r w:rsidR="007C6B46">
        <w:rPr>
          <w:noProof/>
          <w:sz w:val="24"/>
          <w:szCs w:val="24"/>
        </w:rPr>
        <w:t>0.5</w:t>
      </w:r>
      <w:r w:rsidR="007C6B46" w:rsidRPr="004742E3">
        <w:rPr>
          <w:noProof/>
          <w:sz w:val="24"/>
          <w:szCs w:val="24"/>
        </w:rPr>
        <w:t xml:space="preserve"> point (+</w:t>
      </w:r>
      <w:r w:rsidR="007C6B46">
        <w:rPr>
          <w:noProof/>
          <w:sz w:val="24"/>
          <w:szCs w:val="24"/>
        </w:rPr>
        <w:t>0.4</w:t>
      </w:r>
      <w:r w:rsidR="007C6B46" w:rsidRPr="004742E3">
        <w:rPr>
          <w:noProof/>
          <w:sz w:val="24"/>
          <w:szCs w:val="24"/>
        </w:rPr>
        <w:t xml:space="preserve">%) due to increases in the prices of </w:t>
      </w:r>
      <w:r w:rsidR="007C6B46" w:rsidRPr="00FF4E1A">
        <w:rPr>
          <w:noProof/>
          <w:sz w:val="24"/>
          <w:szCs w:val="24"/>
        </w:rPr>
        <w:t>“Malt liquors and malt including non alcoholic beer” (+</w:t>
      </w:r>
      <w:r w:rsidR="007C6B46">
        <w:rPr>
          <w:noProof/>
          <w:sz w:val="24"/>
          <w:szCs w:val="24"/>
        </w:rPr>
        <w:t>0.6%).</w:t>
      </w:r>
    </w:p>
    <w:p w14:paraId="6426AFF0" w14:textId="77777777" w:rsidR="007C6B46" w:rsidRDefault="007C6B46" w:rsidP="007C6B46">
      <w:pPr>
        <w:jc w:val="both"/>
        <w:rPr>
          <w:noProof/>
          <w:sz w:val="24"/>
          <w:szCs w:val="24"/>
        </w:rPr>
      </w:pPr>
    </w:p>
    <w:p w14:paraId="038E2003" w14:textId="061F5056" w:rsidR="004D10BF" w:rsidRDefault="00BD7E38" w:rsidP="006E2725">
      <w:pPr>
        <w:jc w:val="both"/>
        <w:rPr>
          <w:noProof/>
          <w:sz w:val="24"/>
          <w:szCs w:val="24"/>
        </w:rPr>
      </w:pPr>
      <w:r w:rsidRPr="00995C29">
        <w:rPr>
          <w:noProof/>
          <w:sz w:val="24"/>
          <w:szCs w:val="24"/>
        </w:rPr>
        <w:t>C</w:t>
      </w:r>
      <w:r w:rsidR="00C32F08" w:rsidRPr="00995C29">
        <w:rPr>
          <w:noProof/>
          <w:sz w:val="24"/>
          <w:szCs w:val="24"/>
        </w:rPr>
        <w:t>ompared to the</w:t>
      </w:r>
      <w:r w:rsidR="00C11266" w:rsidRPr="00995C29">
        <w:rPr>
          <w:noProof/>
          <w:sz w:val="24"/>
          <w:szCs w:val="24"/>
        </w:rPr>
        <w:t xml:space="preserve"> </w:t>
      </w:r>
      <w:r w:rsidR="00CD2BB2">
        <w:rPr>
          <w:noProof/>
          <w:sz w:val="24"/>
          <w:szCs w:val="24"/>
        </w:rPr>
        <w:t>first</w:t>
      </w:r>
      <w:r w:rsidR="00C32F08" w:rsidRPr="00995C29">
        <w:rPr>
          <w:noProof/>
          <w:sz w:val="24"/>
          <w:szCs w:val="24"/>
        </w:rPr>
        <w:t xml:space="preserve"> quarter of 20</w:t>
      </w:r>
      <w:r w:rsidR="00AB0A44" w:rsidRPr="00995C29">
        <w:rPr>
          <w:noProof/>
          <w:sz w:val="24"/>
          <w:szCs w:val="24"/>
        </w:rPr>
        <w:t>2</w:t>
      </w:r>
      <w:r w:rsidR="00CD2BB2">
        <w:rPr>
          <w:noProof/>
          <w:sz w:val="24"/>
          <w:szCs w:val="24"/>
        </w:rPr>
        <w:t>2</w:t>
      </w:r>
      <w:r w:rsidR="00C32F08" w:rsidRPr="001C29F0">
        <w:rPr>
          <w:noProof/>
          <w:sz w:val="24"/>
          <w:szCs w:val="24"/>
        </w:rPr>
        <w:t xml:space="preserve">, the index for “Food products and beverages” increased by </w:t>
      </w:r>
      <w:r w:rsidR="00BA58DB">
        <w:rPr>
          <w:noProof/>
          <w:sz w:val="24"/>
          <w:szCs w:val="24"/>
        </w:rPr>
        <w:t>19.</w:t>
      </w:r>
      <w:r w:rsidR="00757A65">
        <w:rPr>
          <w:noProof/>
          <w:sz w:val="24"/>
          <w:szCs w:val="24"/>
        </w:rPr>
        <w:t>5</w:t>
      </w:r>
      <w:r w:rsidR="00C32F08" w:rsidRPr="001C29F0">
        <w:rPr>
          <w:noProof/>
          <w:sz w:val="24"/>
          <w:szCs w:val="24"/>
        </w:rPr>
        <w:t xml:space="preserve"> points (+</w:t>
      </w:r>
      <w:r w:rsidR="00BA58DB">
        <w:rPr>
          <w:noProof/>
          <w:sz w:val="24"/>
          <w:szCs w:val="24"/>
        </w:rPr>
        <w:t>15.5</w:t>
      </w:r>
      <w:r w:rsidR="00837472">
        <w:rPr>
          <w:noProof/>
          <w:sz w:val="24"/>
          <w:szCs w:val="24"/>
        </w:rPr>
        <w:t xml:space="preserve">%). The index for </w:t>
      </w:r>
      <w:r w:rsidR="00C32F08" w:rsidRPr="006E4D6E">
        <w:rPr>
          <w:noProof/>
          <w:sz w:val="24"/>
          <w:szCs w:val="24"/>
        </w:rPr>
        <w:t xml:space="preserve">“Food products” increased by </w:t>
      </w:r>
      <w:r w:rsidR="00BA58DB">
        <w:rPr>
          <w:noProof/>
          <w:sz w:val="24"/>
          <w:szCs w:val="24"/>
        </w:rPr>
        <w:t>24.7</w:t>
      </w:r>
      <w:r w:rsidR="00837472">
        <w:rPr>
          <w:noProof/>
          <w:sz w:val="24"/>
          <w:szCs w:val="24"/>
        </w:rPr>
        <w:t xml:space="preserve"> points </w:t>
      </w:r>
      <w:r w:rsidR="00C32F08" w:rsidRPr="006E4D6E">
        <w:rPr>
          <w:noProof/>
          <w:sz w:val="24"/>
          <w:szCs w:val="24"/>
        </w:rPr>
        <w:t>(+</w:t>
      </w:r>
      <w:r w:rsidR="00BA58DB">
        <w:rPr>
          <w:noProof/>
          <w:sz w:val="24"/>
          <w:szCs w:val="24"/>
        </w:rPr>
        <w:t>18.7</w:t>
      </w:r>
      <w:r w:rsidR="00837472">
        <w:rPr>
          <w:noProof/>
          <w:sz w:val="24"/>
          <w:szCs w:val="24"/>
        </w:rPr>
        <w:t xml:space="preserve">%), mainly due to higher prices </w:t>
      </w:r>
      <w:r w:rsidR="00C32F08" w:rsidRPr="006E4D6E">
        <w:rPr>
          <w:noProof/>
          <w:sz w:val="24"/>
          <w:szCs w:val="24"/>
        </w:rPr>
        <w:t>of</w:t>
      </w:r>
      <w:r w:rsidR="00BA58DB">
        <w:rPr>
          <w:noProof/>
          <w:sz w:val="24"/>
          <w:szCs w:val="24"/>
        </w:rPr>
        <w:t xml:space="preserve"> </w:t>
      </w:r>
      <w:r w:rsidR="00BA58DB">
        <w:rPr>
          <w:sz w:val="24"/>
          <w:szCs w:val="24"/>
        </w:rPr>
        <w:t>“Grain mill products” (+38.7%),</w:t>
      </w:r>
      <w:r w:rsidR="00BA58DB">
        <w:rPr>
          <w:noProof/>
          <w:sz w:val="24"/>
          <w:szCs w:val="24"/>
        </w:rPr>
        <w:t xml:space="preserve"> </w:t>
      </w:r>
      <w:r w:rsidR="005C575E" w:rsidRPr="006E4D6E">
        <w:rPr>
          <w:noProof/>
          <w:sz w:val="24"/>
          <w:szCs w:val="24"/>
        </w:rPr>
        <w:t>“</w:t>
      </w:r>
      <w:r w:rsidR="00EC2394" w:rsidRPr="006E4D6E">
        <w:rPr>
          <w:noProof/>
          <w:sz w:val="24"/>
          <w:szCs w:val="24"/>
        </w:rPr>
        <w:t xml:space="preserve">Vegetable </w:t>
      </w:r>
      <w:r w:rsidR="00BA58DB">
        <w:rPr>
          <w:noProof/>
          <w:sz w:val="24"/>
          <w:szCs w:val="24"/>
        </w:rPr>
        <w:t>and animal oils and fats” (+53.7</w:t>
      </w:r>
      <w:r w:rsidR="00EC2394" w:rsidRPr="006E4D6E">
        <w:rPr>
          <w:noProof/>
          <w:sz w:val="24"/>
          <w:szCs w:val="24"/>
        </w:rPr>
        <w:t xml:space="preserve">%), </w:t>
      </w:r>
      <w:r w:rsidR="00EC2394" w:rsidRPr="006E4D6E">
        <w:rPr>
          <w:sz w:val="24"/>
          <w:szCs w:val="24"/>
        </w:rPr>
        <w:t>“Processin</w:t>
      </w:r>
      <w:r w:rsidR="00BA58DB">
        <w:rPr>
          <w:sz w:val="24"/>
          <w:szCs w:val="24"/>
        </w:rPr>
        <w:t>g and preserving of meat” (+14.8</w:t>
      </w:r>
      <w:r w:rsidR="00EC2394" w:rsidRPr="006E4D6E">
        <w:rPr>
          <w:sz w:val="24"/>
          <w:szCs w:val="24"/>
        </w:rPr>
        <w:t>%),</w:t>
      </w:r>
      <w:r w:rsidR="00757A65">
        <w:rPr>
          <w:sz w:val="24"/>
          <w:szCs w:val="24"/>
        </w:rPr>
        <w:t xml:space="preserve"> “Animal Feed” (+13.1</w:t>
      </w:r>
      <w:r w:rsidR="00A56FEC" w:rsidRPr="006E4D6E">
        <w:rPr>
          <w:sz w:val="24"/>
          <w:szCs w:val="24"/>
        </w:rPr>
        <w:t>%)</w:t>
      </w:r>
      <w:r w:rsidR="00861B21">
        <w:rPr>
          <w:sz w:val="24"/>
          <w:szCs w:val="24"/>
        </w:rPr>
        <w:t xml:space="preserve">, </w:t>
      </w:r>
      <w:r w:rsidR="00A56FEC">
        <w:rPr>
          <w:iCs/>
          <w:noProof/>
          <w:sz w:val="24"/>
          <w:szCs w:val="24"/>
        </w:rPr>
        <w:t>“</w:t>
      </w:r>
      <w:r w:rsidR="00A56FEC" w:rsidRPr="00B96A76">
        <w:rPr>
          <w:iCs/>
          <w:noProof/>
          <w:sz w:val="24"/>
          <w:szCs w:val="24"/>
        </w:rPr>
        <w:t>Bakery products</w:t>
      </w:r>
      <w:r w:rsidR="00A56FEC">
        <w:rPr>
          <w:iCs/>
          <w:noProof/>
          <w:sz w:val="24"/>
          <w:szCs w:val="24"/>
        </w:rPr>
        <w:t>”</w:t>
      </w:r>
      <w:r w:rsidR="00BA58DB">
        <w:rPr>
          <w:iCs/>
          <w:noProof/>
          <w:sz w:val="24"/>
          <w:szCs w:val="24"/>
        </w:rPr>
        <w:t xml:space="preserve"> (+11.1</w:t>
      </w:r>
      <w:r w:rsidR="006058D2">
        <w:rPr>
          <w:iCs/>
          <w:noProof/>
          <w:sz w:val="24"/>
          <w:szCs w:val="24"/>
        </w:rPr>
        <w:t>%)</w:t>
      </w:r>
      <w:r w:rsidR="00837472">
        <w:rPr>
          <w:iCs/>
          <w:noProof/>
          <w:sz w:val="24"/>
          <w:szCs w:val="24"/>
        </w:rPr>
        <w:t xml:space="preserve"> of </w:t>
      </w:r>
      <w:r w:rsidR="00A56FEC">
        <w:rPr>
          <w:iCs/>
          <w:noProof/>
          <w:sz w:val="24"/>
          <w:szCs w:val="24"/>
        </w:rPr>
        <w:t>which “</w:t>
      </w:r>
      <w:r w:rsidR="00A56FEC" w:rsidRPr="00B96A76">
        <w:rPr>
          <w:iCs/>
          <w:noProof/>
          <w:sz w:val="24"/>
          <w:szCs w:val="24"/>
        </w:rPr>
        <w:t>Bread/Pastries and cakes</w:t>
      </w:r>
      <w:r w:rsidR="00837472">
        <w:rPr>
          <w:iCs/>
          <w:noProof/>
          <w:sz w:val="24"/>
          <w:szCs w:val="24"/>
        </w:rPr>
        <w:t xml:space="preserve">” </w:t>
      </w:r>
      <w:r w:rsidR="00BA58DB">
        <w:rPr>
          <w:iCs/>
          <w:noProof/>
          <w:sz w:val="24"/>
          <w:szCs w:val="24"/>
        </w:rPr>
        <w:t>(+11.4</w:t>
      </w:r>
      <w:r w:rsidR="00A56FEC">
        <w:rPr>
          <w:iCs/>
          <w:noProof/>
          <w:sz w:val="24"/>
          <w:szCs w:val="24"/>
        </w:rPr>
        <w:t>%)</w:t>
      </w:r>
      <w:r w:rsidR="00861B21">
        <w:rPr>
          <w:iCs/>
          <w:noProof/>
          <w:sz w:val="24"/>
          <w:szCs w:val="24"/>
        </w:rPr>
        <w:t xml:space="preserve"> and </w:t>
      </w:r>
      <w:r w:rsidR="00861B21" w:rsidRPr="00B41320">
        <w:rPr>
          <w:sz w:val="24"/>
          <w:szCs w:val="24"/>
        </w:rPr>
        <w:t>“Other food products n.e.c</w:t>
      </w:r>
      <w:r w:rsidR="00837472">
        <w:rPr>
          <w:sz w:val="24"/>
          <w:szCs w:val="24"/>
        </w:rPr>
        <w:t>.</w:t>
      </w:r>
      <w:r w:rsidR="00861B21" w:rsidRPr="00B41320">
        <w:rPr>
          <w:sz w:val="24"/>
          <w:szCs w:val="24"/>
        </w:rPr>
        <w:t>”</w:t>
      </w:r>
      <w:r w:rsidR="00837472">
        <w:rPr>
          <w:sz w:val="24"/>
          <w:szCs w:val="24"/>
        </w:rPr>
        <w:t xml:space="preserve"> </w:t>
      </w:r>
      <w:r w:rsidR="00BA58DB">
        <w:rPr>
          <w:sz w:val="24"/>
          <w:szCs w:val="24"/>
        </w:rPr>
        <w:t>(+9.5</w:t>
      </w:r>
      <w:r w:rsidR="006058D2">
        <w:rPr>
          <w:sz w:val="24"/>
          <w:szCs w:val="24"/>
        </w:rPr>
        <w:t xml:space="preserve">%) </w:t>
      </w:r>
      <w:r w:rsidR="00837472">
        <w:rPr>
          <w:sz w:val="24"/>
          <w:szCs w:val="24"/>
        </w:rPr>
        <w:t xml:space="preserve">of </w:t>
      </w:r>
      <w:r w:rsidR="00861B21" w:rsidRPr="00B41320">
        <w:rPr>
          <w:sz w:val="24"/>
          <w:szCs w:val="24"/>
        </w:rPr>
        <w:t>which “Spices, sauces, condiments an</w:t>
      </w:r>
      <w:r w:rsidR="00861B21">
        <w:rPr>
          <w:sz w:val="24"/>
          <w:szCs w:val="24"/>
        </w:rPr>
        <w:t>d other food products n.e.c</w:t>
      </w:r>
      <w:r w:rsidR="00837472">
        <w:rPr>
          <w:sz w:val="24"/>
          <w:szCs w:val="24"/>
        </w:rPr>
        <w:t>.</w:t>
      </w:r>
      <w:r w:rsidR="00BA58DB">
        <w:rPr>
          <w:sz w:val="24"/>
          <w:szCs w:val="24"/>
        </w:rPr>
        <w:t>” (+9.7</w:t>
      </w:r>
      <w:r w:rsidR="00861B21" w:rsidRPr="0041125F">
        <w:rPr>
          <w:sz w:val="24"/>
          <w:szCs w:val="24"/>
        </w:rPr>
        <w:t>%)</w:t>
      </w:r>
      <w:r w:rsidR="00837472">
        <w:rPr>
          <w:noProof/>
          <w:sz w:val="24"/>
          <w:szCs w:val="24"/>
        </w:rPr>
        <w:t xml:space="preserve">. </w:t>
      </w:r>
      <w:r w:rsidR="00C32F08" w:rsidRPr="0041125F">
        <w:rPr>
          <w:noProof/>
          <w:sz w:val="24"/>
          <w:szCs w:val="24"/>
        </w:rPr>
        <w:t>The inde</w:t>
      </w:r>
      <w:r w:rsidR="005B7591" w:rsidRPr="0041125F">
        <w:rPr>
          <w:noProof/>
          <w:sz w:val="24"/>
          <w:szCs w:val="24"/>
        </w:rPr>
        <w:t xml:space="preserve">x for “Beverages” </w:t>
      </w:r>
      <w:r w:rsidR="005B7591" w:rsidRPr="00FF4E1A">
        <w:rPr>
          <w:noProof/>
          <w:sz w:val="24"/>
          <w:szCs w:val="24"/>
        </w:rPr>
        <w:t xml:space="preserve">increased by </w:t>
      </w:r>
      <w:r w:rsidR="00BA58DB">
        <w:rPr>
          <w:noProof/>
          <w:sz w:val="24"/>
          <w:szCs w:val="24"/>
        </w:rPr>
        <w:t>10.7</w:t>
      </w:r>
      <w:r w:rsidR="00C32F08" w:rsidRPr="00FF4E1A">
        <w:rPr>
          <w:noProof/>
          <w:sz w:val="24"/>
          <w:szCs w:val="24"/>
        </w:rPr>
        <w:t xml:space="preserve"> points (+</w:t>
      </w:r>
      <w:r w:rsidR="00BA58DB">
        <w:rPr>
          <w:noProof/>
          <w:sz w:val="24"/>
          <w:szCs w:val="24"/>
        </w:rPr>
        <w:t>9.2</w:t>
      </w:r>
      <w:r w:rsidR="0044462E" w:rsidRPr="00FF4E1A">
        <w:rPr>
          <w:noProof/>
          <w:sz w:val="24"/>
          <w:szCs w:val="24"/>
        </w:rPr>
        <w:t>%</w:t>
      </w:r>
      <w:r w:rsidR="00D618F2" w:rsidRPr="00FF4E1A">
        <w:rPr>
          <w:noProof/>
          <w:sz w:val="24"/>
          <w:szCs w:val="24"/>
        </w:rPr>
        <w:t>)</w:t>
      </w:r>
      <w:r w:rsidR="00EF6852">
        <w:rPr>
          <w:noProof/>
          <w:sz w:val="24"/>
          <w:szCs w:val="24"/>
        </w:rPr>
        <w:t>,</w:t>
      </w:r>
      <w:r w:rsidR="009A6986" w:rsidRPr="00FF4E1A">
        <w:rPr>
          <w:noProof/>
          <w:sz w:val="24"/>
          <w:szCs w:val="24"/>
        </w:rPr>
        <w:t xml:space="preserve"> mainly</w:t>
      </w:r>
      <w:r w:rsidR="00D618F2" w:rsidRPr="00FF4E1A">
        <w:rPr>
          <w:noProof/>
          <w:sz w:val="24"/>
          <w:szCs w:val="24"/>
        </w:rPr>
        <w:t xml:space="preserve"> </w:t>
      </w:r>
      <w:r w:rsidR="005B7591" w:rsidRPr="00FF4E1A">
        <w:rPr>
          <w:noProof/>
          <w:sz w:val="24"/>
          <w:szCs w:val="24"/>
        </w:rPr>
        <w:t xml:space="preserve">due to </w:t>
      </w:r>
      <w:r w:rsidR="00C32F08" w:rsidRPr="00FF4E1A">
        <w:rPr>
          <w:noProof/>
          <w:sz w:val="24"/>
          <w:szCs w:val="24"/>
        </w:rPr>
        <w:t xml:space="preserve">higher prices of </w:t>
      </w:r>
      <w:r w:rsidR="00BA58DB" w:rsidRPr="00FF4E1A">
        <w:rPr>
          <w:noProof/>
          <w:sz w:val="24"/>
          <w:szCs w:val="24"/>
        </w:rPr>
        <w:t>“Distilled potable alcoholic beverages” (+15.</w:t>
      </w:r>
      <w:r w:rsidR="00BA58DB">
        <w:rPr>
          <w:noProof/>
          <w:sz w:val="24"/>
          <w:szCs w:val="24"/>
        </w:rPr>
        <w:t>1</w:t>
      </w:r>
      <w:r w:rsidR="00BA58DB" w:rsidRPr="00FF4E1A">
        <w:rPr>
          <w:noProof/>
          <w:sz w:val="24"/>
          <w:szCs w:val="24"/>
        </w:rPr>
        <w:t>%)</w:t>
      </w:r>
      <w:r w:rsidR="00CF69F6">
        <w:rPr>
          <w:noProof/>
          <w:sz w:val="24"/>
          <w:szCs w:val="24"/>
        </w:rPr>
        <w:t xml:space="preserve"> and</w:t>
      </w:r>
      <w:r w:rsidR="00BA58DB">
        <w:rPr>
          <w:noProof/>
          <w:sz w:val="24"/>
          <w:szCs w:val="24"/>
        </w:rPr>
        <w:t xml:space="preserve">  </w:t>
      </w:r>
      <w:r w:rsidR="00FF4E1A" w:rsidRPr="00FF4E1A">
        <w:rPr>
          <w:noProof/>
          <w:sz w:val="24"/>
          <w:szCs w:val="24"/>
        </w:rPr>
        <w:t>“Malt liquors and malt including non alcoholic beer” (+</w:t>
      </w:r>
      <w:r w:rsidR="00CF69F6">
        <w:rPr>
          <w:noProof/>
          <w:sz w:val="24"/>
          <w:szCs w:val="24"/>
        </w:rPr>
        <w:t>7.5</w:t>
      </w:r>
      <w:r w:rsidR="00FF4E1A" w:rsidRPr="00FF4E1A">
        <w:rPr>
          <w:noProof/>
          <w:sz w:val="24"/>
          <w:szCs w:val="24"/>
        </w:rPr>
        <w:t>%)</w:t>
      </w:r>
      <w:r w:rsidR="00CF69F6">
        <w:rPr>
          <w:noProof/>
          <w:sz w:val="24"/>
          <w:szCs w:val="24"/>
        </w:rPr>
        <w:t>.</w:t>
      </w:r>
    </w:p>
    <w:p w14:paraId="33CA0F4F" w14:textId="77777777" w:rsidR="00671945" w:rsidRDefault="00671945" w:rsidP="006E2725">
      <w:pPr>
        <w:jc w:val="both"/>
        <w:rPr>
          <w:noProof/>
          <w:sz w:val="24"/>
          <w:szCs w:val="24"/>
        </w:rPr>
      </w:pPr>
    </w:p>
    <w:p w14:paraId="5A6B6259" w14:textId="70BBF923" w:rsidR="00EF6852" w:rsidRDefault="007868F9" w:rsidP="004D10BF">
      <w:pPr>
        <w:jc w:val="center"/>
      </w:pPr>
      <w:r>
        <w:rPr>
          <w:noProof/>
          <w:lang w:val="en-US"/>
        </w:rPr>
        <w:drawing>
          <wp:inline distT="0" distB="0" distL="0" distR="0" wp14:anchorId="7651AC02" wp14:editId="62CDB86B">
            <wp:extent cx="4123496" cy="2996233"/>
            <wp:effectExtent l="0" t="0" r="0" b="0"/>
            <wp:docPr id="3" name="Chart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97FCA3" w14:textId="77777777" w:rsidR="000D6A4E" w:rsidRDefault="000D6A4E" w:rsidP="009C72A8">
      <w:pPr>
        <w:pStyle w:val="BodyTextIndent"/>
        <w:tabs>
          <w:tab w:val="left" w:pos="567"/>
        </w:tabs>
        <w:spacing w:before="120" w:after="120"/>
        <w:ind w:right="-22" w:firstLine="0"/>
        <w:rPr>
          <w:b/>
          <w:iCs/>
          <w:sz w:val="24"/>
          <w:szCs w:val="24"/>
        </w:rPr>
      </w:pPr>
    </w:p>
    <w:p w14:paraId="64A8CD51" w14:textId="1D4B58BD" w:rsidR="009C72A8" w:rsidRDefault="009C72A8" w:rsidP="009C72A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3</w:t>
      </w:r>
      <w:r w:rsidRPr="00BC540D">
        <w:rPr>
          <w:b/>
          <w:iCs/>
          <w:sz w:val="24"/>
          <w:szCs w:val="24"/>
        </w:rPr>
        <w:tab/>
      </w:r>
      <w:r w:rsidRPr="0045354E">
        <w:rPr>
          <w:b/>
          <w:iCs/>
          <w:sz w:val="24"/>
          <w:szCs w:val="24"/>
          <w:u w:val="single"/>
        </w:rPr>
        <w:t>Manufacture of Chemicals and Chemical Products</w:t>
      </w:r>
    </w:p>
    <w:p w14:paraId="3AD9863A" w14:textId="0F36F57B" w:rsidR="004E1D64" w:rsidRDefault="003714AE" w:rsidP="00871453">
      <w:pPr>
        <w:pStyle w:val="BodyTextIndent"/>
        <w:tabs>
          <w:tab w:val="left" w:pos="567"/>
        </w:tabs>
        <w:spacing w:before="120" w:after="240"/>
        <w:ind w:right="-22" w:firstLine="0"/>
        <w:rPr>
          <w:iCs/>
          <w:sz w:val="24"/>
          <w:szCs w:val="24"/>
        </w:rPr>
      </w:pPr>
      <w:r>
        <w:rPr>
          <w:iCs/>
          <w:sz w:val="24"/>
          <w:szCs w:val="24"/>
        </w:rPr>
        <w:t>T</w:t>
      </w:r>
      <w:r w:rsidR="009C72A8">
        <w:rPr>
          <w:iCs/>
          <w:sz w:val="24"/>
          <w:szCs w:val="24"/>
        </w:rPr>
        <w:t>he index for “</w:t>
      </w:r>
      <w:r w:rsidR="009C72A8" w:rsidRPr="00690014">
        <w:rPr>
          <w:iCs/>
          <w:sz w:val="24"/>
          <w:szCs w:val="24"/>
        </w:rPr>
        <w:t>Chemicals and Chemical Products</w:t>
      </w:r>
      <w:r w:rsidR="00C9618D">
        <w:rPr>
          <w:iCs/>
          <w:sz w:val="24"/>
          <w:szCs w:val="24"/>
        </w:rPr>
        <w:t>” de</w:t>
      </w:r>
      <w:r w:rsidR="009C72A8">
        <w:rPr>
          <w:iCs/>
          <w:sz w:val="24"/>
          <w:szCs w:val="24"/>
        </w:rPr>
        <w:t xml:space="preserve">creased by </w:t>
      </w:r>
      <w:r w:rsidR="00C9618D">
        <w:rPr>
          <w:iCs/>
          <w:sz w:val="24"/>
          <w:szCs w:val="24"/>
        </w:rPr>
        <w:t>2.3 points (-1.5</w:t>
      </w:r>
      <w:r w:rsidR="008F6623">
        <w:rPr>
          <w:iCs/>
          <w:sz w:val="24"/>
          <w:szCs w:val="24"/>
        </w:rPr>
        <w:t xml:space="preserve">%) in the </w:t>
      </w:r>
      <w:r w:rsidR="00CD2BB2">
        <w:rPr>
          <w:iCs/>
          <w:sz w:val="24"/>
          <w:szCs w:val="24"/>
        </w:rPr>
        <w:t>first quarter of 2023</w:t>
      </w:r>
      <w:r>
        <w:rPr>
          <w:iCs/>
          <w:sz w:val="24"/>
          <w:szCs w:val="24"/>
        </w:rPr>
        <w:t xml:space="preserve"> when compared to the previous quarter</w:t>
      </w:r>
      <w:r w:rsidR="00C9618D">
        <w:rPr>
          <w:iCs/>
          <w:sz w:val="24"/>
          <w:szCs w:val="24"/>
        </w:rPr>
        <w:t>. This decrease was explained by lower</w:t>
      </w:r>
      <w:r w:rsidR="009C72A8">
        <w:rPr>
          <w:iCs/>
          <w:sz w:val="24"/>
          <w:szCs w:val="24"/>
        </w:rPr>
        <w:t xml:space="preserve"> prices of </w:t>
      </w:r>
      <w:r w:rsidR="003B162A">
        <w:rPr>
          <w:iCs/>
          <w:sz w:val="24"/>
          <w:szCs w:val="24"/>
        </w:rPr>
        <w:t>“</w:t>
      </w:r>
      <w:r w:rsidR="003B162A" w:rsidRPr="003B162A">
        <w:rPr>
          <w:iCs/>
          <w:sz w:val="24"/>
          <w:szCs w:val="24"/>
        </w:rPr>
        <w:t>Basic chemicals</w:t>
      </w:r>
      <w:r w:rsidR="003B162A">
        <w:rPr>
          <w:iCs/>
          <w:sz w:val="24"/>
          <w:szCs w:val="24"/>
        </w:rPr>
        <w:t>”</w:t>
      </w:r>
      <w:r w:rsidR="00C9618D">
        <w:rPr>
          <w:iCs/>
          <w:sz w:val="24"/>
          <w:szCs w:val="24"/>
        </w:rPr>
        <w:t xml:space="preserve"> (-8.9</w:t>
      </w:r>
      <w:r w:rsidR="003B162A">
        <w:rPr>
          <w:iCs/>
          <w:sz w:val="24"/>
          <w:szCs w:val="24"/>
        </w:rPr>
        <w:t>%)</w:t>
      </w:r>
      <w:r w:rsidR="000D1D85">
        <w:rPr>
          <w:iCs/>
          <w:sz w:val="24"/>
          <w:szCs w:val="24"/>
        </w:rPr>
        <w:t>.</w:t>
      </w:r>
    </w:p>
    <w:p w14:paraId="6834B6F9" w14:textId="1DEC701D" w:rsidR="00521EF2" w:rsidRDefault="009C72A8" w:rsidP="000D6A4E">
      <w:pPr>
        <w:pStyle w:val="BodyTextIndent"/>
        <w:tabs>
          <w:tab w:val="left" w:pos="567"/>
        </w:tabs>
        <w:spacing w:before="120" w:after="240"/>
        <w:ind w:right="-22" w:firstLine="0"/>
        <w:rPr>
          <w:iCs/>
          <w:sz w:val="24"/>
          <w:szCs w:val="24"/>
        </w:rPr>
      </w:pPr>
      <w:r w:rsidRPr="00BC540D">
        <w:rPr>
          <w:noProof/>
          <w:sz w:val="24"/>
          <w:szCs w:val="24"/>
        </w:rPr>
        <w:t>Compared to the corresponding quarter of 20</w:t>
      </w:r>
      <w:r w:rsidR="00CD2BB2">
        <w:rPr>
          <w:noProof/>
          <w:sz w:val="24"/>
          <w:szCs w:val="24"/>
        </w:rPr>
        <w:t>22</w:t>
      </w:r>
      <w:r w:rsidRPr="00BC540D">
        <w:rPr>
          <w:noProof/>
          <w:sz w:val="24"/>
          <w:szCs w:val="24"/>
        </w:rPr>
        <w:t>,</w:t>
      </w:r>
      <w:r w:rsidRPr="00650F4B">
        <w:rPr>
          <w:iCs/>
          <w:sz w:val="24"/>
          <w:szCs w:val="24"/>
        </w:rPr>
        <w:t xml:space="preserve"> </w:t>
      </w:r>
      <w:r>
        <w:rPr>
          <w:iCs/>
          <w:sz w:val="24"/>
          <w:szCs w:val="24"/>
        </w:rPr>
        <w:t>the index for “</w:t>
      </w:r>
      <w:r w:rsidRPr="00690014">
        <w:rPr>
          <w:iCs/>
          <w:sz w:val="24"/>
          <w:szCs w:val="24"/>
        </w:rPr>
        <w:t>Chemicals and Chemical Products</w:t>
      </w:r>
      <w:r w:rsidR="00F062F0">
        <w:rPr>
          <w:iCs/>
          <w:sz w:val="24"/>
          <w:szCs w:val="24"/>
        </w:rPr>
        <w:t>” increased by 23.4</w:t>
      </w:r>
      <w:r>
        <w:rPr>
          <w:iCs/>
          <w:sz w:val="24"/>
          <w:szCs w:val="24"/>
        </w:rPr>
        <w:t xml:space="preserve"> points (+</w:t>
      </w:r>
      <w:r w:rsidR="00F062F0">
        <w:rPr>
          <w:iCs/>
          <w:sz w:val="24"/>
          <w:szCs w:val="24"/>
        </w:rPr>
        <w:t>17.8</w:t>
      </w:r>
      <w:r>
        <w:rPr>
          <w:iCs/>
          <w:sz w:val="24"/>
          <w:szCs w:val="24"/>
        </w:rPr>
        <w:t xml:space="preserve">%) in the </w:t>
      </w:r>
      <w:r w:rsidR="00CD2BB2">
        <w:rPr>
          <w:iCs/>
          <w:sz w:val="24"/>
          <w:szCs w:val="24"/>
        </w:rPr>
        <w:t>first quarter of 2023</w:t>
      </w:r>
      <w:r>
        <w:rPr>
          <w:iCs/>
          <w:sz w:val="24"/>
          <w:szCs w:val="24"/>
        </w:rPr>
        <w:t xml:space="preserve">. This increase was </w:t>
      </w:r>
      <w:r w:rsidR="005174B0">
        <w:rPr>
          <w:iCs/>
          <w:sz w:val="24"/>
          <w:szCs w:val="24"/>
        </w:rPr>
        <w:t xml:space="preserve">mainly </w:t>
      </w:r>
      <w:r>
        <w:rPr>
          <w:iCs/>
          <w:sz w:val="24"/>
          <w:szCs w:val="24"/>
        </w:rPr>
        <w:t>explained by higher prices of “</w:t>
      </w:r>
      <w:r w:rsidR="00861B21">
        <w:rPr>
          <w:iCs/>
          <w:sz w:val="24"/>
          <w:szCs w:val="24"/>
        </w:rPr>
        <w:t>F</w:t>
      </w:r>
      <w:r w:rsidR="006451E5" w:rsidRPr="006451E5">
        <w:rPr>
          <w:iCs/>
          <w:sz w:val="24"/>
          <w:szCs w:val="24"/>
        </w:rPr>
        <w:t>ertilizers and nitrogen compounds</w:t>
      </w:r>
      <w:r w:rsidR="00F062F0">
        <w:rPr>
          <w:iCs/>
          <w:sz w:val="24"/>
          <w:szCs w:val="24"/>
        </w:rPr>
        <w:t>” (+58.2%) and</w:t>
      </w:r>
      <w:r w:rsidR="006E4656">
        <w:rPr>
          <w:iCs/>
          <w:sz w:val="24"/>
          <w:szCs w:val="24"/>
        </w:rPr>
        <w:t xml:space="preserve"> </w:t>
      </w:r>
      <w:r>
        <w:rPr>
          <w:iCs/>
          <w:sz w:val="24"/>
          <w:szCs w:val="24"/>
        </w:rPr>
        <w:t>“</w:t>
      </w:r>
      <w:r w:rsidRPr="004A77B5">
        <w:rPr>
          <w:iCs/>
          <w:sz w:val="24"/>
          <w:szCs w:val="24"/>
        </w:rPr>
        <w:t>Soap and detergents, cleaning and</w:t>
      </w:r>
      <w:r w:rsidR="008E4789">
        <w:rPr>
          <w:iCs/>
          <w:sz w:val="24"/>
          <w:szCs w:val="24"/>
        </w:rPr>
        <w:t xml:space="preserve"> </w:t>
      </w:r>
      <w:r w:rsidRPr="004A77B5">
        <w:rPr>
          <w:iCs/>
          <w:sz w:val="24"/>
          <w:szCs w:val="24"/>
        </w:rPr>
        <w:t>polishing preparations, perfumes and toilet preparations</w:t>
      </w:r>
      <w:r>
        <w:rPr>
          <w:iCs/>
          <w:sz w:val="24"/>
          <w:szCs w:val="24"/>
        </w:rPr>
        <w:t>”</w:t>
      </w:r>
      <w:r w:rsidR="006E4656">
        <w:rPr>
          <w:iCs/>
          <w:sz w:val="24"/>
          <w:szCs w:val="24"/>
        </w:rPr>
        <w:t xml:space="preserve"> </w:t>
      </w:r>
      <w:r w:rsidR="00F062F0">
        <w:rPr>
          <w:iCs/>
          <w:sz w:val="24"/>
          <w:szCs w:val="24"/>
        </w:rPr>
        <w:t>(+20.6</w:t>
      </w:r>
      <w:r>
        <w:rPr>
          <w:iCs/>
          <w:sz w:val="24"/>
          <w:szCs w:val="24"/>
        </w:rPr>
        <w:t>%)</w:t>
      </w:r>
      <w:r w:rsidR="00F062F0">
        <w:rPr>
          <w:iCs/>
          <w:sz w:val="24"/>
          <w:szCs w:val="24"/>
        </w:rPr>
        <w:t>.</w:t>
      </w:r>
    </w:p>
    <w:p w14:paraId="495C661E" w14:textId="5315B545" w:rsidR="00521EF2" w:rsidRDefault="00800B95" w:rsidP="00E810AC">
      <w:pPr>
        <w:pStyle w:val="BodyTextIndent"/>
        <w:tabs>
          <w:tab w:val="left" w:pos="567"/>
        </w:tabs>
        <w:spacing w:before="120" w:after="240"/>
        <w:ind w:right="-22"/>
        <w:jc w:val="center"/>
        <w:rPr>
          <w:iCs/>
          <w:sz w:val="24"/>
          <w:szCs w:val="24"/>
        </w:rPr>
      </w:pPr>
      <w:r>
        <w:rPr>
          <w:noProof/>
          <w:lang w:val="en-US" w:eastAsia="en-US"/>
        </w:rPr>
        <w:drawing>
          <wp:inline distT="0" distB="0" distL="0" distR="0" wp14:anchorId="02D809A9" wp14:editId="7D63A6D9">
            <wp:extent cx="4322279" cy="2684394"/>
            <wp:effectExtent l="0" t="0" r="2540" b="1905"/>
            <wp:docPr id="20" name="Chart 2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0CE50C" w14:textId="6A931A8E" w:rsidR="00B66DC8" w:rsidRDefault="00B66DC8" w:rsidP="00B66DC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4</w:t>
      </w:r>
      <w:r w:rsidRPr="00BC540D">
        <w:rPr>
          <w:b/>
          <w:iCs/>
          <w:sz w:val="24"/>
          <w:szCs w:val="24"/>
        </w:rPr>
        <w:tab/>
      </w:r>
      <w:r w:rsidRPr="0045354E">
        <w:rPr>
          <w:b/>
          <w:iCs/>
          <w:sz w:val="24"/>
          <w:szCs w:val="24"/>
          <w:u w:val="single"/>
        </w:rPr>
        <w:t xml:space="preserve">Manufacture of </w:t>
      </w:r>
      <w:r w:rsidRPr="00B66DC8">
        <w:rPr>
          <w:b/>
          <w:iCs/>
          <w:sz w:val="24"/>
          <w:szCs w:val="24"/>
          <w:u w:val="single"/>
        </w:rPr>
        <w:t xml:space="preserve">Rubber and </w:t>
      </w:r>
      <w:r w:rsidR="00026E5C">
        <w:rPr>
          <w:b/>
          <w:iCs/>
          <w:sz w:val="24"/>
          <w:szCs w:val="24"/>
          <w:u w:val="single"/>
        </w:rPr>
        <w:t>p</w:t>
      </w:r>
      <w:r w:rsidRPr="00B66DC8">
        <w:rPr>
          <w:b/>
          <w:iCs/>
          <w:sz w:val="24"/>
          <w:szCs w:val="24"/>
          <w:u w:val="single"/>
        </w:rPr>
        <w:t>lastic products</w:t>
      </w:r>
    </w:p>
    <w:p w14:paraId="61A1DAE3" w14:textId="44A8C81E" w:rsidR="00127AF0" w:rsidRDefault="00127AF0" w:rsidP="00A86E29">
      <w:pPr>
        <w:pStyle w:val="BodyTextIndent"/>
        <w:tabs>
          <w:tab w:val="left" w:pos="567"/>
        </w:tabs>
        <w:spacing w:before="120" w:after="240"/>
        <w:ind w:right="-22" w:firstLine="0"/>
        <w:rPr>
          <w:iCs/>
          <w:sz w:val="24"/>
          <w:szCs w:val="24"/>
        </w:rPr>
      </w:pPr>
      <w:r>
        <w:rPr>
          <w:iCs/>
          <w:sz w:val="24"/>
          <w:szCs w:val="24"/>
        </w:rPr>
        <w:t>The index for “</w:t>
      </w:r>
      <w:r w:rsidR="00A86E29" w:rsidRPr="00A86E29">
        <w:rPr>
          <w:iCs/>
          <w:sz w:val="24"/>
          <w:szCs w:val="24"/>
        </w:rPr>
        <w:t>Rubber and plastic products</w:t>
      </w:r>
      <w:r>
        <w:rPr>
          <w:iCs/>
          <w:sz w:val="24"/>
          <w:szCs w:val="24"/>
        </w:rPr>
        <w:t xml:space="preserve">” increased by </w:t>
      </w:r>
      <w:r w:rsidR="00F062F0">
        <w:rPr>
          <w:iCs/>
          <w:sz w:val="24"/>
          <w:szCs w:val="24"/>
        </w:rPr>
        <w:t>0.2</w:t>
      </w:r>
      <w:r>
        <w:rPr>
          <w:iCs/>
          <w:sz w:val="24"/>
          <w:szCs w:val="24"/>
        </w:rPr>
        <w:t xml:space="preserve"> point (+</w:t>
      </w:r>
      <w:r w:rsidR="00F062F0">
        <w:rPr>
          <w:iCs/>
          <w:sz w:val="24"/>
          <w:szCs w:val="24"/>
        </w:rPr>
        <w:t>0.1%) in the first</w:t>
      </w:r>
      <w:r>
        <w:rPr>
          <w:iCs/>
          <w:sz w:val="24"/>
          <w:szCs w:val="24"/>
        </w:rPr>
        <w:t xml:space="preserve"> </w:t>
      </w:r>
      <w:r w:rsidR="00F062F0">
        <w:rPr>
          <w:iCs/>
          <w:sz w:val="24"/>
          <w:szCs w:val="24"/>
        </w:rPr>
        <w:t>quarter of 2023</w:t>
      </w:r>
      <w:r w:rsidR="00A86E29">
        <w:rPr>
          <w:iCs/>
          <w:sz w:val="24"/>
          <w:szCs w:val="24"/>
        </w:rPr>
        <w:t xml:space="preserve"> when compared to the previous quarter. This increase was explained by higher prices of “</w:t>
      </w:r>
      <w:r w:rsidR="00A86E29" w:rsidRPr="00A86E29">
        <w:rPr>
          <w:iCs/>
          <w:sz w:val="24"/>
          <w:szCs w:val="24"/>
        </w:rPr>
        <w:t>Plastic products</w:t>
      </w:r>
      <w:r w:rsidR="00F062F0">
        <w:rPr>
          <w:iCs/>
          <w:sz w:val="24"/>
          <w:szCs w:val="24"/>
        </w:rPr>
        <w:t>” (+0.1</w:t>
      </w:r>
      <w:r w:rsidR="00A86E29">
        <w:rPr>
          <w:iCs/>
          <w:sz w:val="24"/>
          <w:szCs w:val="24"/>
        </w:rPr>
        <w:t>%).</w:t>
      </w:r>
    </w:p>
    <w:p w14:paraId="743C0746" w14:textId="3F8FEB62" w:rsidR="003A7E55" w:rsidRDefault="00B6271E" w:rsidP="00671945">
      <w:pPr>
        <w:pStyle w:val="BodyTextIndent"/>
        <w:tabs>
          <w:tab w:val="left" w:pos="567"/>
        </w:tabs>
        <w:spacing w:before="120" w:after="240"/>
        <w:ind w:right="-22" w:firstLine="0"/>
        <w:rPr>
          <w:b/>
          <w:bCs/>
          <w:iCs/>
          <w:sz w:val="24"/>
          <w:szCs w:val="24"/>
        </w:rPr>
      </w:pPr>
      <w:r w:rsidRPr="00BC540D">
        <w:rPr>
          <w:noProof/>
          <w:sz w:val="24"/>
          <w:szCs w:val="24"/>
        </w:rPr>
        <w:t>Compared to the corresponding quarter of 20</w:t>
      </w:r>
      <w:r w:rsidR="00F062F0">
        <w:rPr>
          <w:noProof/>
          <w:sz w:val="24"/>
          <w:szCs w:val="24"/>
        </w:rPr>
        <w:t>22</w:t>
      </w:r>
      <w:r w:rsidRPr="00BC540D">
        <w:rPr>
          <w:noProof/>
          <w:sz w:val="24"/>
          <w:szCs w:val="24"/>
        </w:rPr>
        <w:t>,</w:t>
      </w:r>
      <w:r w:rsidRPr="00650F4B">
        <w:rPr>
          <w:iCs/>
          <w:sz w:val="24"/>
          <w:szCs w:val="24"/>
        </w:rPr>
        <w:t xml:space="preserve"> </w:t>
      </w:r>
      <w:r>
        <w:rPr>
          <w:iCs/>
          <w:sz w:val="24"/>
          <w:szCs w:val="24"/>
        </w:rPr>
        <w:t xml:space="preserve">the index for </w:t>
      </w:r>
      <w:r w:rsidRPr="00B6271E">
        <w:rPr>
          <w:iCs/>
          <w:sz w:val="24"/>
          <w:szCs w:val="24"/>
        </w:rPr>
        <w:t>“Rubber and plastic products”</w:t>
      </w:r>
      <w:r>
        <w:rPr>
          <w:iCs/>
          <w:sz w:val="24"/>
          <w:szCs w:val="24"/>
        </w:rPr>
        <w:t xml:space="preserve"> increased by </w:t>
      </w:r>
      <w:r w:rsidR="00F062F0">
        <w:rPr>
          <w:iCs/>
          <w:sz w:val="24"/>
          <w:szCs w:val="24"/>
        </w:rPr>
        <w:t>31.6</w:t>
      </w:r>
      <w:r>
        <w:rPr>
          <w:iCs/>
          <w:sz w:val="24"/>
          <w:szCs w:val="24"/>
        </w:rPr>
        <w:t xml:space="preserve"> points (+</w:t>
      </w:r>
      <w:r w:rsidR="00F062F0">
        <w:rPr>
          <w:iCs/>
          <w:sz w:val="24"/>
          <w:szCs w:val="24"/>
        </w:rPr>
        <w:t>25.8%) in the first quarter of 2023</w:t>
      </w:r>
      <w:r>
        <w:rPr>
          <w:iCs/>
          <w:sz w:val="24"/>
          <w:szCs w:val="24"/>
        </w:rPr>
        <w:t>.</w:t>
      </w:r>
      <w:r w:rsidR="00573426" w:rsidRPr="00573426">
        <w:rPr>
          <w:iCs/>
          <w:sz w:val="24"/>
          <w:szCs w:val="24"/>
        </w:rPr>
        <w:t xml:space="preserve"> </w:t>
      </w:r>
      <w:r w:rsidR="00573426">
        <w:rPr>
          <w:iCs/>
          <w:sz w:val="24"/>
          <w:szCs w:val="24"/>
        </w:rPr>
        <w:t>This increase was explained by higher prices of “</w:t>
      </w:r>
      <w:r w:rsidR="00573426" w:rsidRPr="00A86E29">
        <w:rPr>
          <w:iCs/>
          <w:sz w:val="24"/>
          <w:szCs w:val="24"/>
        </w:rPr>
        <w:t>Plastic products</w:t>
      </w:r>
      <w:r w:rsidR="00F062F0">
        <w:rPr>
          <w:iCs/>
          <w:sz w:val="24"/>
          <w:szCs w:val="24"/>
        </w:rPr>
        <w:t>” (+25.8</w:t>
      </w:r>
      <w:r w:rsidR="00573426">
        <w:rPr>
          <w:iCs/>
          <w:sz w:val="24"/>
          <w:szCs w:val="24"/>
        </w:rPr>
        <w:t>%).</w:t>
      </w:r>
    </w:p>
    <w:p w14:paraId="6EB2CED6" w14:textId="22DCAE8A" w:rsidR="00026E5C" w:rsidRDefault="00800B95" w:rsidP="000D6A4E">
      <w:pPr>
        <w:pStyle w:val="BodyTextIndent"/>
        <w:tabs>
          <w:tab w:val="left" w:pos="567"/>
        </w:tabs>
        <w:spacing w:before="120" w:after="240"/>
        <w:ind w:right="-22" w:firstLine="0"/>
        <w:jc w:val="center"/>
        <w:rPr>
          <w:b/>
          <w:bCs/>
          <w:iCs/>
          <w:sz w:val="24"/>
          <w:szCs w:val="24"/>
        </w:rPr>
      </w:pPr>
      <w:r>
        <w:rPr>
          <w:noProof/>
          <w:lang w:val="en-US" w:eastAsia="en-US"/>
        </w:rPr>
        <w:drawing>
          <wp:inline distT="0" distB="0" distL="0" distR="0" wp14:anchorId="0720B403" wp14:editId="6D9AD8B1">
            <wp:extent cx="4321810" cy="2628900"/>
            <wp:effectExtent l="0" t="0" r="2540" b="0"/>
            <wp:docPr id="21" name="Chart 21">
              <a:extLst xmlns:a="http://schemas.openxmlformats.org/drawingml/2006/main">
                <a:ext uri="{FF2B5EF4-FFF2-40B4-BE49-F238E27FC236}">
                  <a16:creationId xmlns:a16="http://schemas.microsoft.com/office/drawing/2014/main" id="{6DC0D2B0-6CA8-44FB-BFFC-50E470CEB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EB5DD" w14:textId="2DD1D28B" w:rsidR="0096759B" w:rsidRPr="00BC540D" w:rsidRDefault="00F77A46" w:rsidP="0096759B">
      <w:pPr>
        <w:pStyle w:val="BodyTextIndent"/>
        <w:tabs>
          <w:tab w:val="left" w:pos="567"/>
        </w:tabs>
        <w:spacing w:before="120" w:after="240"/>
        <w:ind w:right="-22" w:firstLine="0"/>
        <w:rPr>
          <w:b/>
          <w:bCs/>
          <w:iCs/>
          <w:sz w:val="24"/>
          <w:szCs w:val="24"/>
        </w:rPr>
      </w:pPr>
      <w:r>
        <w:rPr>
          <w:b/>
          <w:bCs/>
          <w:iCs/>
          <w:sz w:val="24"/>
          <w:szCs w:val="24"/>
        </w:rPr>
        <w:lastRenderedPageBreak/>
        <w:br/>
      </w:r>
      <w:r w:rsidR="0096759B" w:rsidRPr="00BC540D">
        <w:rPr>
          <w:b/>
          <w:bCs/>
          <w:iCs/>
          <w:sz w:val="24"/>
          <w:szCs w:val="24"/>
        </w:rPr>
        <w:t>4</w:t>
      </w:r>
      <w:r w:rsidR="0096759B">
        <w:rPr>
          <w:b/>
          <w:bCs/>
          <w:iCs/>
          <w:sz w:val="24"/>
          <w:szCs w:val="24"/>
        </w:rPr>
        <w:t>.</w:t>
      </w:r>
      <w:r w:rsidR="0096759B">
        <w:rPr>
          <w:b/>
          <w:bCs/>
          <w:iCs/>
          <w:sz w:val="24"/>
          <w:szCs w:val="24"/>
        </w:rPr>
        <w:tab/>
      </w:r>
      <w:r w:rsidR="0096759B" w:rsidRPr="00BC540D">
        <w:rPr>
          <w:b/>
          <w:bCs/>
          <w:iCs/>
          <w:sz w:val="24"/>
          <w:szCs w:val="24"/>
        </w:rPr>
        <w:t>Yearly Index</w:t>
      </w:r>
    </w:p>
    <w:p w14:paraId="43539D8D" w14:textId="77777777" w:rsidR="0096759B" w:rsidRDefault="0096759B" w:rsidP="0096759B">
      <w:pPr>
        <w:pStyle w:val="BodyTextIndent"/>
        <w:tabs>
          <w:tab w:val="left" w:pos="567"/>
        </w:tabs>
        <w:spacing w:before="120" w:after="120"/>
        <w:ind w:right="-22" w:firstLine="0"/>
        <w:rPr>
          <w:noProof/>
          <w:sz w:val="24"/>
          <w:szCs w:val="24"/>
        </w:rPr>
      </w:pPr>
      <w:r w:rsidRPr="005D28CE">
        <w:rPr>
          <w:noProof/>
          <w:sz w:val="24"/>
          <w:szCs w:val="24"/>
        </w:rPr>
        <w:t>The average yearly index for the manufactu</w:t>
      </w:r>
      <w:r w:rsidR="000D1D85">
        <w:rPr>
          <w:noProof/>
          <w:sz w:val="24"/>
          <w:szCs w:val="24"/>
        </w:rPr>
        <w:t>ring sector as a whole was 141.5 in 2022</w:t>
      </w:r>
      <w:r w:rsidRPr="005D28CE">
        <w:rPr>
          <w:noProof/>
          <w:sz w:val="24"/>
          <w:szCs w:val="24"/>
        </w:rPr>
        <w:t>, i.</w:t>
      </w:r>
      <w:r w:rsidR="000D1D85">
        <w:rPr>
          <w:noProof/>
          <w:sz w:val="24"/>
          <w:szCs w:val="24"/>
        </w:rPr>
        <w:t>e. 21.7 points (+18.1</w:t>
      </w:r>
      <w:r w:rsidRPr="005D28CE">
        <w:rPr>
          <w:noProof/>
          <w:sz w:val="24"/>
          <w:szCs w:val="24"/>
        </w:rPr>
        <w:t>%)</w:t>
      </w:r>
      <w:r w:rsidR="000D1D85">
        <w:rPr>
          <w:noProof/>
          <w:sz w:val="24"/>
          <w:szCs w:val="24"/>
        </w:rPr>
        <w:t xml:space="preserve"> higher than the figure of 119.8 in 2021</w:t>
      </w:r>
      <w:r w:rsidRPr="005D28CE">
        <w:rPr>
          <w:noProof/>
          <w:sz w:val="24"/>
          <w:szCs w:val="24"/>
        </w:rPr>
        <w:t>. The index for the “Manufacture of food p</w:t>
      </w:r>
      <w:r w:rsidR="000D1D85">
        <w:rPr>
          <w:noProof/>
          <w:sz w:val="24"/>
          <w:szCs w:val="24"/>
        </w:rPr>
        <w:t>roducts and beverages” was 135.7 in 2022 compared to 115.4 in 2021, showing an increase of 20.3 points (+17.6</w:t>
      </w:r>
      <w:r w:rsidRPr="005D28CE">
        <w:rPr>
          <w:noProof/>
          <w:sz w:val="24"/>
          <w:szCs w:val="24"/>
        </w:rPr>
        <w:t>%). The index for the “Manufacture of chemicals and c</w:t>
      </w:r>
      <w:r w:rsidR="000D1D85">
        <w:rPr>
          <w:noProof/>
          <w:sz w:val="24"/>
          <w:szCs w:val="24"/>
        </w:rPr>
        <w:t>hemical products” stood at 146.8 in 2022, higher by 33.0 points (+29.0%) compared to 113.8 in 2021</w:t>
      </w:r>
      <w:r w:rsidRPr="005D28CE">
        <w:rPr>
          <w:noProof/>
          <w:sz w:val="24"/>
          <w:szCs w:val="24"/>
        </w:rPr>
        <w:t>. The index for  “Manufacture of rubber</w:t>
      </w:r>
      <w:r w:rsidR="000D1D85">
        <w:rPr>
          <w:noProof/>
          <w:sz w:val="24"/>
          <w:szCs w:val="24"/>
        </w:rPr>
        <w:t xml:space="preserve"> and plastic products” was 138.2 in 2022 compared to 113.8 in 2021, i.e. an increase of 24.4 points (+21.4</w:t>
      </w:r>
      <w:r w:rsidRPr="005D28CE">
        <w:rPr>
          <w:noProof/>
          <w:sz w:val="24"/>
          <w:szCs w:val="24"/>
        </w:rPr>
        <w:t>%).</w:t>
      </w:r>
    </w:p>
    <w:p w14:paraId="79D001E3" w14:textId="77777777" w:rsidR="0096759B" w:rsidRPr="0012587F" w:rsidRDefault="0096759B" w:rsidP="0096759B">
      <w:pPr>
        <w:pStyle w:val="BodyTextIndent"/>
        <w:spacing w:before="120" w:after="120"/>
        <w:ind w:right="-22" w:firstLine="0"/>
        <w:rPr>
          <w:noProof/>
          <w:sz w:val="10"/>
          <w:szCs w:val="10"/>
          <w:highlight w:val="yellow"/>
        </w:rPr>
      </w:pPr>
    </w:p>
    <w:p w14:paraId="4E9B8CD1" w14:textId="0E56E5FB" w:rsidR="00026E5C" w:rsidRDefault="0096759B" w:rsidP="00C166D4">
      <w:pPr>
        <w:pStyle w:val="BodyTextIndent"/>
        <w:spacing w:before="120" w:after="120"/>
        <w:ind w:right="-22" w:firstLine="0"/>
        <w:rPr>
          <w:noProof/>
          <w:sz w:val="24"/>
          <w:szCs w:val="24"/>
        </w:rPr>
      </w:pPr>
      <w:r w:rsidRPr="00754EE6">
        <w:rPr>
          <w:noProof/>
          <w:sz w:val="24"/>
          <w:szCs w:val="24"/>
        </w:rPr>
        <w:t xml:space="preserve">Figure </w:t>
      </w:r>
      <w:r w:rsidR="00026E5C">
        <w:rPr>
          <w:noProof/>
          <w:sz w:val="24"/>
          <w:szCs w:val="24"/>
        </w:rPr>
        <w:t>9</w:t>
      </w:r>
      <w:r w:rsidRPr="00754EE6">
        <w:rPr>
          <w:noProof/>
          <w:sz w:val="24"/>
          <w:szCs w:val="24"/>
        </w:rPr>
        <w:t xml:space="preserve"> shows </w:t>
      </w:r>
      <w:r w:rsidR="000D6A4E">
        <w:rPr>
          <w:noProof/>
          <w:sz w:val="24"/>
          <w:szCs w:val="24"/>
        </w:rPr>
        <w:t xml:space="preserve">that </w:t>
      </w:r>
      <w:r w:rsidRPr="00754EE6">
        <w:rPr>
          <w:noProof/>
          <w:sz w:val="24"/>
          <w:szCs w:val="24"/>
        </w:rPr>
        <w:t>the yearly indices for the manufacturing sector as a whole and that for “Manufacture of food products and beverages</w:t>
      </w:r>
      <w:r w:rsidR="000D6A4E">
        <w:rPr>
          <w:noProof/>
          <w:sz w:val="24"/>
          <w:szCs w:val="24"/>
        </w:rPr>
        <w:t>”</w:t>
      </w:r>
      <w:r w:rsidRPr="00754EE6">
        <w:rPr>
          <w:noProof/>
          <w:sz w:val="24"/>
          <w:szCs w:val="24"/>
        </w:rPr>
        <w:t xml:space="preserve"> had an u</w:t>
      </w:r>
      <w:r w:rsidR="00861B21">
        <w:rPr>
          <w:noProof/>
          <w:sz w:val="24"/>
          <w:szCs w:val="24"/>
        </w:rPr>
        <w:t>pward increasing trend from 2019 to 2022</w:t>
      </w:r>
      <w:r w:rsidRPr="00754EE6">
        <w:rPr>
          <w:noProof/>
          <w:sz w:val="24"/>
          <w:szCs w:val="24"/>
        </w:rPr>
        <w:t xml:space="preserve">. </w:t>
      </w:r>
      <w:r w:rsidR="00D74B2A">
        <w:rPr>
          <w:noProof/>
          <w:sz w:val="24"/>
          <w:szCs w:val="24"/>
        </w:rPr>
        <w:t xml:space="preserve">The </w:t>
      </w:r>
      <w:r w:rsidR="006844AF">
        <w:rPr>
          <w:noProof/>
          <w:sz w:val="24"/>
          <w:szCs w:val="24"/>
        </w:rPr>
        <w:t>ind</w:t>
      </w:r>
      <w:r w:rsidR="000D6A4E">
        <w:rPr>
          <w:noProof/>
          <w:sz w:val="24"/>
          <w:szCs w:val="24"/>
        </w:rPr>
        <w:t>ices</w:t>
      </w:r>
      <w:r w:rsidR="006844AF">
        <w:rPr>
          <w:noProof/>
          <w:sz w:val="24"/>
          <w:szCs w:val="24"/>
        </w:rPr>
        <w:t xml:space="preserve"> for </w:t>
      </w:r>
      <w:r w:rsidRPr="00754EE6">
        <w:rPr>
          <w:noProof/>
          <w:sz w:val="24"/>
          <w:szCs w:val="24"/>
        </w:rPr>
        <w:t>“Manufacture of chemicals and chemical products”</w:t>
      </w:r>
      <w:r w:rsidR="00026E5C">
        <w:rPr>
          <w:noProof/>
          <w:sz w:val="24"/>
          <w:szCs w:val="24"/>
        </w:rPr>
        <w:t xml:space="preserve"> and </w:t>
      </w:r>
      <w:r w:rsidR="00026E5C" w:rsidRPr="00754EE6">
        <w:rPr>
          <w:noProof/>
          <w:sz w:val="24"/>
          <w:szCs w:val="24"/>
        </w:rPr>
        <w:t xml:space="preserve">“Manufacture of </w:t>
      </w:r>
      <w:r w:rsidR="00026E5C" w:rsidRPr="005D28CE">
        <w:rPr>
          <w:noProof/>
          <w:sz w:val="24"/>
          <w:szCs w:val="24"/>
        </w:rPr>
        <w:t>rubber</w:t>
      </w:r>
      <w:r w:rsidR="00026E5C">
        <w:rPr>
          <w:noProof/>
          <w:sz w:val="24"/>
          <w:szCs w:val="24"/>
        </w:rPr>
        <w:t xml:space="preserve"> and plastic products</w:t>
      </w:r>
      <w:r w:rsidR="00026E5C" w:rsidRPr="00754EE6">
        <w:rPr>
          <w:noProof/>
          <w:sz w:val="24"/>
          <w:szCs w:val="24"/>
        </w:rPr>
        <w:t>”</w:t>
      </w:r>
      <w:r w:rsidR="00026E5C">
        <w:rPr>
          <w:noProof/>
          <w:sz w:val="24"/>
          <w:szCs w:val="24"/>
        </w:rPr>
        <w:t xml:space="preserve"> increased slightly from 2019 to 2020, followed by a </w:t>
      </w:r>
      <w:r w:rsidR="000D6A4E">
        <w:rPr>
          <w:noProof/>
          <w:sz w:val="24"/>
          <w:szCs w:val="24"/>
        </w:rPr>
        <w:t>rapid increase from 2020 to 2022.</w:t>
      </w:r>
    </w:p>
    <w:p w14:paraId="0A57046A" w14:textId="5FDA0D86" w:rsidR="00026E5C" w:rsidRDefault="003856F8" w:rsidP="003856F8">
      <w:pPr>
        <w:pStyle w:val="BodyTextIndent"/>
        <w:spacing w:before="120" w:after="120"/>
        <w:ind w:right="-22" w:firstLine="0"/>
        <w:jc w:val="center"/>
        <w:rPr>
          <w:noProof/>
          <w:sz w:val="24"/>
          <w:szCs w:val="24"/>
        </w:rPr>
      </w:pPr>
      <w:r>
        <w:rPr>
          <w:noProof/>
          <w:lang w:val="en-US" w:eastAsia="en-US"/>
        </w:rPr>
        <w:drawing>
          <wp:inline distT="0" distB="0" distL="0" distR="0" wp14:anchorId="4B45B395" wp14:editId="55DEA9AC">
            <wp:extent cx="5667375" cy="3086100"/>
            <wp:effectExtent l="0" t="0" r="0" b="0"/>
            <wp:docPr id="13" name="Chart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1D8EAE" w14:textId="51CB6788" w:rsidR="00861B21" w:rsidRDefault="00861B21" w:rsidP="005925E3">
      <w:pPr>
        <w:pStyle w:val="BodyTextIndent"/>
        <w:spacing w:before="120" w:after="120"/>
        <w:ind w:right="-22" w:firstLine="0"/>
        <w:jc w:val="center"/>
        <w:rPr>
          <w:noProof/>
          <w:sz w:val="24"/>
          <w:szCs w:val="24"/>
        </w:rPr>
      </w:pPr>
    </w:p>
    <w:p w14:paraId="73F799E6" w14:textId="77777777" w:rsidR="007B059F" w:rsidRPr="00BC540D" w:rsidRDefault="007B059F" w:rsidP="000D197B">
      <w:pPr>
        <w:ind w:right="-22"/>
        <w:rPr>
          <w:b/>
          <w:sz w:val="24"/>
          <w:szCs w:val="24"/>
        </w:rPr>
      </w:pPr>
      <w:r w:rsidRPr="00BC540D">
        <w:rPr>
          <w:b/>
          <w:sz w:val="24"/>
          <w:szCs w:val="24"/>
        </w:rPr>
        <w:t>Statistics Mauritius</w:t>
      </w:r>
    </w:p>
    <w:p w14:paraId="7CD813F2" w14:textId="77777777" w:rsidR="007B059F" w:rsidRPr="00BC540D" w:rsidRDefault="009866C3" w:rsidP="000D197B">
      <w:pPr>
        <w:ind w:right="-22"/>
        <w:jc w:val="both"/>
        <w:rPr>
          <w:sz w:val="24"/>
          <w:szCs w:val="24"/>
        </w:rPr>
      </w:pPr>
      <w:r>
        <w:rPr>
          <w:sz w:val="24"/>
          <w:szCs w:val="24"/>
        </w:rPr>
        <w:t>Ministry of Finance,</w:t>
      </w:r>
      <w:r w:rsidR="007B059F" w:rsidRPr="00BC540D">
        <w:rPr>
          <w:sz w:val="24"/>
          <w:szCs w:val="24"/>
        </w:rPr>
        <w:t xml:space="preserve"> Economic</w:t>
      </w:r>
      <w:r w:rsidR="005C6D5F">
        <w:rPr>
          <w:sz w:val="24"/>
          <w:szCs w:val="24"/>
        </w:rPr>
        <w:t xml:space="preserve"> Planning &amp;</w:t>
      </w:r>
      <w:r w:rsidR="007B059F" w:rsidRPr="00BC540D">
        <w:rPr>
          <w:sz w:val="24"/>
          <w:szCs w:val="24"/>
        </w:rPr>
        <w:t xml:space="preserve"> Development</w:t>
      </w:r>
    </w:p>
    <w:p w14:paraId="088233D0" w14:textId="77777777" w:rsidR="007B059F" w:rsidRPr="00BC540D" w:rsidRDefault="007B059F" w:rsidP="00861101">
      <w:pPr>
        <w:ind w:right="-22"/>
        <w:jc w:val="both"/>
        <w:rPr>
          <w:sz w:val="24"/>
          <w:szCs w:val="24"/>
        </w:rPr>
      </w:pPr>
      <w:r w:rsidRPr="00BC540D">
        <w:rPr>
          <w:sz w:val="24"/>
          <w:szCs w:val="24"/>
        </w:rPr>
        <w:t>Port Louis</w:t>
      </w:r>
    </w:p>
    <w:p w14:paraId="060A60A6" w14:textId="1A4AE784" w:rsidR="007B059F" w:rsidRDefault="00E810AC" w:rsidP="00861101">
      <w:pPr>
        <w:ind w:right="-22"/>
        <w:rPr>
          <w:b/>
          <w:sz w:val="24"/>
          <w:szCs w:val="24"/>
        </w:rPr>
      </w:pPr>
      <w:r>
        <w:rPr>
          <w:b/>
          <w:noProof/>
          <w:sz w:val="22"/>
          <w:szCs w:val="22"/>
          <w:lang w:val="en-US"/>
        </w:rPr>
        <mc:AlternateContent>
          <mc:Choice Requires="wps">
            <w:drawing>
              <wp:anchor distT="0" distB="0" distL="114300" distR="114300" simplePos="0" relativeHeight="251657728" behindDoc="0" locked="0" layoutInCell="1" allowOverlap="1" wp14:anchorId="7820C964" wp14:editId="775C858F">
                <wp:simplePos x="0" y="0"/>
                <wp:positionH relativeFrom="column">
                  <wp:posOffset>1899285</wp:posOffset>
                </wp:positionH>
                <wp:positionV relativeFrom="paragraph">
                  <wp:posOffset>94615</wp:posOffset>
                </wp:positionV>
                <wp:extent cx="3619500" cy="20574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C964" id="_x0000_t202" coordsize="21600,21600" o:spt="202" path="m,l,21600r21600,l21600,xe">
                <v:stroke joinstyle="miter"/>
                <v:path gradientshapeok="t" o:connecttype="rect"/>
              </v:shapetype>
              <v:shape id="Text Box 4" o:spid="_x0000_s1027" type="#_x0000_t202" style="position:absolute;margin-left:149.55pt;margin-top:7.45pt;width:28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" filled="f" fillcolor="black">
                <v:textbo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v:textbox>
              </v:shape>
            </w:pict>
          </mc:Fallback>
        </mc:AlternateContent>
      </w:r>
      <w:r w:rsidR="003A7E55">
        <w:rPr>
          <w:b/>
          <w:sz w:val="24"/>
          <w:szCs w:val="24"/>
        </w:rPr>
        <w:t>16</w:t>
      </w:r>
      <w:r w:rsidR="002C02D1">
        <w:rPr>
          <w:b/>
          <w:sz w:val="24"/>
          <w:szCs w:val="24"/>
        </w:rPr>
        <w:t xml:space="preserve"> </w:t>
      </w:r>
      <w:r w:rsidR="003A7E55">
        <w:rPr>
          <w:b/>
          <w:sz w:val="24"/>
          <w:szCs w:val="24"/>
        </w:rPr>
        <w:t>June</w:t>
      </w:r>
      <w:r w:rsidR="00071B31" w:rsidRPr="008C5453">
        <w:rPr>
          <w:b/>
          <w:sz w:val="24"/>
          <w:szCs w:val="24"/>
        </w:rPr>
        <w:t xml:space="preserve"> 20</w:t>
      </w:r>
      <w:r w:rsidR="00655901" w:rsidRPr="008C5453">
        <w:rPr>
          <w:b/>
          <w:sz w:val="24"/>
          <w:szCs w:val="24"/>
        </w:rPr>
        <w:t>2</w:t>
      </w:r>
      <w:r w:rsidR="00861B21">
        <w:rPr>
          <w:b/>
          <w:sz w:val="24"/>
          <w:szCs w:val="24"/>
        </w:rPr>
        <w:t>3</w:t>
      </w:r>
    </w:p>
    <w:p w14:paraId="572A689D" w14:textId="5FE65461" w:rsidR="00936C8F" w:rsidRPr="00CD57A4" w:rsidRDefault="00936C8F" w:rsidP="00861101">
      <w:pPr>
        <w:ind w:right="-22"/>
        <w:rPr>
          <w:sz w:val="22"/>
          <w:szCs w:val="22"/>
        </w:rPr>
      </w:pPr>
    </w:p>
    <w:p w14:paraId="10FC449A" w14:textId="07D21517" w:rsidR="007B059F" w:rsidRPr="00CD57A4" w:rsidRDefault="003856F8" w:rsidP="00861101">
      <w:pPr>
        <w:ind w:right="-22"/>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5D12AA16" wp14:editId="29B5E7FB">
                <wp:simplePos x="0" y="0"/>
                <wp:positionH relativeFrom="column">
                  <wp:posOffset>1918335</wp:posOffset>
                </wp:positionH>
                <wp:positionV relativeFrom="paragraph">
                  <wp:posOffset>140335</wp:posOffset>
                </wp:positionV>
                <wp:extent cx="1647825" cy="647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647825" cy="647700"/>
                        </a:xfrm>
                        <a:prstGeom prst="rect">
                          <a:avLst/>
                        </a:prstGeom>
                        <a:solidFill>
                          <a:schemeClr val="lt1"/>
                        </a:solidFill>
                        <a:ln w="6350">
                          <a:noFill/>
                        </a:ln>
                      </wps:spPr>
                      <wps:txb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D. Soobhug</w:t>
                            </w:r>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7C0DF0" w:rsidP="003856F8">
                            <w:pPr>
                              <w:ind w:left="-630" w:firstLine="630"/>
                              <w:jc w:val="center"/>
                              <w:rPr>
                                <w:snapToGrid w:val="0"/>
                                <w:sz w:val="24"/>
                                <w:szCs w:val="24"/>
                                <w:u w:val="single"/>
                              </w:rPr>
                            </w:pPr>
                            <w:hyperlink r:id="rId21" w:history="1">
                              <w:r w:rsidR="003856F8" w:rsidRPr="00556EF2">
                                <w:rPr>
                                  <w:snapToGrid w:val="0"/>
                                  <w:sz w:val="24"/>
                                  <w:szCs w:val="24"/>
                                  <w:u w:val="single"/>
                                </w:rPr>
                                <w:t>asoobhug@govmu.org</w:t>
                              </w:r>
                            </w:hyperlink>
                          </w:p>
                          <w:p w14:paraId="71ADF11C"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A16" id="Text Box 14" o:spid="_x0000_s1028" type="#_x0000_t202" style="position:absolute;margin-left:151.05pt;margin-top:11.05pt;width:12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" fillcolor="white [3201]" stroked="f" strokeweight=".5pt">
                <v:textbo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D. Soobhug</w:t>
                      </w:r>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581F52" w:rsidP="003856F8">
                      <w:pPr>
                        <w:ind w:left="-630" w:firstLine="630"/>
                        <w:jc w:val="center"/>
                        <w:rPr>
                          <w:snapToGrid w:val="0"/>
                          <w:sz w:val="24"/>
                          <w:szCs w:val="24"/>
                          <w:u w:val="single"/>
                        </w:rPr>
                      </w:pPr>
                      <w:hyperlink r:id="rId22" w:history="1">
                        <w:r w:rsidR="003856F8" w:rsidRPr="00556EF2">
                          <w:rPr>
                            <w:snapToGrid w:val="0"/>
                            <w:sz w:val="24"/>
                            <w:szCs w:val="24"/>
                            <w:u w:val="single"/>
                          </w:rPr>
                          <w:t>asoobhug@govmu.org</w:t>
                        </w:r>
                      </w:hyperlink>
                    </w:p>
                    <w:p w14:paraId="71ADF11C" w14:textId="77777777" w:rsidR="003856F8" w:rsidRDefault="003856F8"/>
                  </w:txbxContent>
                </v:textbox>
              </v:shape>
            </w:pict>
          </mc:Fallback>
        </mc:AlternateContent>
      </w:r>
      <w:r>
        <w:rPr>
          <w:noProof/>
          <w:sz w:val="22"/>
          <w:szCs w:val="22"/>
          <w:lang w:val="en-US"/>
        </w:rPr>
        <mc:AlternateContent>
          <mc:Choice Requires="wps">
            <w:drawing>
              <wp:anchor distT="0" distB="0" distL="114300" distR="114300" simplePos="0" relativeHeight="251660288" behindDoc="0" locked="0" layoutInCell="1" allowOverlap="1" wp14:anchorId="023FEB98" wp14:editId="5A683706">
                <wp:simplePos x="0" y="0"/>
                <wp:positionH relativeFrom="column">
                  <wp:posOffset>3689985</wp:posOffset>
                </wp:positionH>
                <wp:positionV relativeFrom="paragraph">
                  <wp:posOffset>140335</wp:posOffset>
                </wp:positionV>
                <wp:extent cx="1724025" cy="657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lt1"/>
                        </a:solidFill>
                        <a:ln w="6350">
                          <a:noFill/>
                        </a:ln>
                      </wps:spPr>
                      <wps:txb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J. Sowdagur</w:t>
                            </w:r>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FEB98" id="Text Box 16" o:spid="_x0000_s1029" type="#_x0000_t202" style="position:absolute;margin-left:290.55pt;margin-top:11.05pt;width:135.75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" fillcolor="white [3201]" stroked="f" strokeweight=".5pt">
                <v:textbo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J. Sowdagur</w:t>
                      </w:r>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v:textbox>
              </v:shape>
            </w:pict>
          </mc:Fallback>
        </mc:AlternateContent>
      </w:r>
    </w:p>
    <w:p w14:paraId="38E07B32" w14:textId="77777777" w:rsidR="000675C4" w:rsidRDefault="000675C4" w:rsidP="00861101">
      <w:pPr>
        <w:ind w:right="-22"/>
        <w:rPr>
          <w:lang w:val="en-US"/>
        </w:rPr>
        <w:sectPr w:rsidR="000675C4" w:rsidSect="00E810AC">
          <w:headerReference w:type="even" r:id="rId23"/>
          <w:headerReference w:type="default" r:id="rId24"/>
          <w:footerReference w:type="default" r:id="rId25"/>
          <w:footnotePr>
            <w:numRestart w:val="eachSect"/>
          </w:footnotePr>
          <w:pgSz w:w="11907" w:h="16840"/>
          <w:pgMar w:top="720" w:right="1275" w:bottom="720" w:left="1134" w:header="720" w:footer="137" w:gutter="0"/>
          <w:pgNumType w:start="1"/>
          <w:cols w:space="720"/>
          <w:titlePg/>
          <w:docGrid w:linePitch="272"/>
        </w:sectPr>
      </w:pPr>
    </w:p>
    <w:p w14:paraId="16E3104C" w14:textId="77777777" w:rsidR="00FC74E8" w:rsidRDefault="00FC74E8" w:rsidP="00FC74E8">
      <w:pPr>
        <w:rPr>
          <w:b/>
          <w:sz w:val="28"/>
        </w:rPr>
      </w:pPr>
    </w:p>
    <w:p w14:paraId="1FF4F300" w14:textId="77777777" w:rsidR="00FC74E8" w:rsidRDefault="00FC74E8" w:rsidP="00FC74E8">
      <w:pPr>
        <w:jc w:val="center"/>
        <w:rPr>
          <w:b/>
          <w:sz w:val="28"/>
        </w:rPr>
      </w:pPr>
      <w:r>
        <w:rPr>
          <w:b/>
          <w:sz w:val="28"/>
        </w:rPr>
        <w:t>Producer Price Index – Manufacturing (PPI-M)</w:t>
      </w:r>
    </w:p>
    <w:p w14:paraId="131B141B" w14:textId="77777777" w:rsidR="00FC74E8" w:rsidRDefault="00FC74E8" w:rsidP="00FC74E8">
      <w:pPr>
        <w:jc w:val="center"/>
        <w:rPr>
          <w:b/>
          <w:sz w:val="28"/>
        </w:rPr>
      </w:pPr>
    </w:p>
    <w:p w14:paraId="10DEFFC4" w14:textId="77777777" w:rsidR="00FC74E8" w:rsidRDefault="00FC74E8" w:rsidP="00FC74E8">
      <w:pPr>
        <w:jc w:val="center"/>
        <w:rPr>
          <w:b/>
          <w:sz w:val="28"/>
        </w:rPr>
      </w:pPr>
      <w:r>
        <w:rPr>
          <w:b/>
          <w:sz w:val="28"/>
        </w:rPr>
        <w:t>Methodology for the computation of the PPI-M</w:t>
      </w:r>
    </w:p>
    <w:p w14:paraId="5606BF45" w14:textId="77777777" w:rsidR="00FC74E8" w:rsidRDefault="00FC74E8" w:rsidP="00FC74E8">
      <w:pPr>
        <w:jc w:val="center"/>
        <w:rPr>
          <w:b/>
        </w:rPr>
      </w:pPr>
    </w:p>
    <w:p w14:paraId="5BE49554" w14:textId="77777777" w:rsidR="00FC74E8" w:rsidRDefault="00FC74E8" w:rsidP="00FC74E8">
      <w:pPr>
        <w:numPr>
          <w:ilvl w:val="0"/>
          <w:numId w:val="12"/>
        </w:numPr>
        <w:tabs>
          <w:tab w:val="clear" w:pos="1080"/>
          <w:tab w:val="left" w:pos="540"/>
        </w:tabs>
        <w:ind w:left="540" w:hanging="540"/>
        <w:jc w:val="both"/>
        <w:rPr>
          <w:b/>
          <w:sz w:val="24"/>
          <w:szCs w:val="24"/>
        </w:rPr>
      </w:pPr>
      <w:r w:rsidRPr="00567B52">
        <w:rPr>
          <w:b/>
          <w:sz w:val="24"/>
          <w:szCs w:val="24"/>
        </w:rPr>
        <w:t>Definition</w:t>
      </w:r>
    </w:p>
    <w:p w14:paraId="6B419A7E" w14:textId="77777777" w:rsidR="00FC74E8" w:rsidRPr="00567B52" w:rsidRDefault="00FC74E8" w:rsidP="00FC74E8">
      <w:pPr>
        <w:tabs>
          <w:tab w:val="left" w:pos="540"/>
        </w:tabs>
        <w:ind w:left="540"/>
        <w:jc w:val="both"/>
        <w:rPr>
          <w:b/>
          <w:sz w:val="24"/>
          <w:szCs w:val="24"/>
        </w:rPr>
      </w:pPr>
    </w:p>
    <w:p w14:paraId="4ED0D1F4" w14:textId="77777777" w:rsidR="00FC74E8" w:rsidRPr="00446092" w:rsidRDefault="00FC74E8" w:rsidP="00FC74E8">
      <w:pPr>
        <w:pStyle w:val="BodyTextIndent2CharChar"/>
        <w:ind w:firstLine="0"/>
        <w:jc w:val="both"/>
        <w:rPr>
          <w:szCs w:val="24"/>
        </w:rPr>
      </w:pPr>
      <w:r w:rsidRPr="00446092">
        <w:rPr>
          <w:szCs w:val="24"/>
        </w:rPr>
        <w:t xml:space="preserve">The Producer Price Index (PPI-M) measures changes in the effective prices received by producers in the manufacturing sector for that part of their output, which is sold on the domestic market. It reflects the price trends of a fixed basket of goods representative of the output of Non-Export Oriented Enterprises (Non EOE). </w:t>
      </w:r>
    </w:p>
    <w:p w14:paraId="3C1352FC" w14:textId="77777777" w:rsidR="00FC74E8" w:rsidRPr="00446092" w:rsidRDefault="00FC74E8" w:rsidP="00FC74E8">
      <w:pPr>
        <w:pStyle w:val="BodyTextIndent2CharChar"/>
        <w:ind w:firstLine="0"/>
        <w:jc w:val="both"/>
        <w:rPr>
          <w:szCs w:val="24"/>
        </w:rPr>
      </w:pPr>
    </w:p>
    <w:p w14:paraId="4C63631D" w14:textId="77777777" w:rsidR="00FC74E8" w:rsidRDefault="00FC74E8" w:rsidP="00FC74E8">
      <w:pPr>
        <w:pStyle w:val="BodyTextIndent2CharChar"/>
        <w:ind w:firstLine="0"/>
        <w:jc w:val="both"/>
        <w:rPr>
          <w:szCs w:val="24"/>
        </w:rPr>
      </w:pPr>
      <w:r w:rsidRPr="00446092">
        <w:rPr>
          <w:szCs w:val="24"/>
        </w:rPr>
        <w:t>The concepts and definitions of the PPI</w:t>
      </w:r>
      <w:r>
        <w:rPr>
          <w:szCs w:val="24"/>
        </w:rPr>
        <w:t>-M</w:t>
      </w:r>
      <w:r w:rsidRPr="00446092">
        <w:rPr>
          <w:szCs w:val="24"/>
        </w:rPr>
        <w:t xml:space="preserve"> largely follow the guidelines provided in the “IMF Producer Price Index Manual Theory and Practice”.</w:t>
      </w:r>
    </w:p>
    <w:p w14:paraId="1BDE3A03" w14:textId="77777777" w:rsidR="00FC74E8" w:rsidRPr="00446092" w:rsidRDefault="00FC74E8" w:rsidP="00FC74E8">
      <w:pPr>
        <w:pStyle w:val="BodyTextIndent2CharChar"/>
        <w:ind w:firstLine="0"/>
        <w:jc w:val="both"/>
        <w:rPr>
          <w:szCs w:val="24"/>
        </w:rPr>
      </w:pPr>
    </w:p>
    <w:p w14:paraId="37643CD6" w14:textId="77777777" w:rsidR="00FC74E8" w:rsidRPr="006B731C" w:rsidRDefault="00FC74E8" w:rsidP="00FC74E8">
      <w:pPr>
        <w:pStyle w:val="ListParagraph"/>
        <w:numPr>
          <w:ilvl w:val="0"/>
          <w:numId w:val="12"/>
        </w:numPr>
        <w:tabs>
          <w:tab w:val="left" w:pos="540"/>
        </w:tabs>
        <w:ind w:hanging="1080"/>
        <w:jc w:val="both"/>
        <w:rPr>
          <w:b/>
          <w:sz w:val="24"/>
          <w:szCs w:val="24"/>
        </w:rPr>
      </w:pPr>
      <w:r w:rsidRPr="006B731C">
        <w:rPr>
          <w:b/>
          <w:sz w:val="24"/>
          <w:szCs w:val="24"/>
        </w:rPr>
        <w:t>Scope</w:t>
      </w:r>
    </w:p>
    <w:p w14:paraId="1B7EBCFB" w14:textId="77777777" w:rsidR="00FC74E8" w:rsidRPr="00446092" w:rsidRDefault="00FC74E8" w:rsidP="00FC74E8">
      <w:pPr>
        <w:tabs>
          <w:tab w:val="left" w:pos="540"/>
        </w:tabs>
        <w:jc w:val="both"/>
        <w:rPr>
          <w:sz w:val="24"/>
          <w:szCs w:val="24"/>
          <w:lang w:val="en-US"/>
        </w:rPr>
      </w:pPr>
    </w:p>
    <w:p w14:paraId="6824977D" w14:textId="77777777" w:rsidR="00FC74E8" w:rsidRPr="00347552" w:rsidRDefault="00FC74E8" w:rsidP="003A202C">
      <w:pPr>
        <w:pStyle w:val="BodyText"/>
        <w:spacing w:line="240" w:lineRule="auto"/>
        <w:ind w:right="27"/>
        <w:rPr>
          <w:sz w:val="24"/>
          <w:szCs w:val="24"/>
          <w:lang w:val="en-US" w:eastAsia="en-US"/>
        </w:rPr>
      </w:pPr>
      <w:r w:rsidRPr="00347552">
        <w:rPr>
          <w:sz w:val="24"/>
          <w:szCs w:val="24"/>
          <w:lang w:val="en-US" w:eastAsia="en-US"/>
        </w:rPr>
        <w:t>The PPI-M covers both large and small manufacturing establishments falling within divisions 10 to 33 of the National Standard Industrial Classification Rev.2 (NSIC Rev.2), which is an adapted version of the International Standard Industrial Classification (ISIC) Rev.4. The establishments are classified under 24 divisions, 71 groups, 137 classes and 240 sub-classes.</w:t>
      </w:r>
    </w:p>
    <w:p w14:paraId="5ED479FD" w14:textId="77777777" w:rsidR="00FC74E8" w:rsidRPr="00347552" w:rsidRDefault="00FC74E8" w:rsidP="00FC74E8">
      <w:pPr>
        <w:rPr>
          <w:sz w:val="24"/>
          <w:szCs w:val="24"/>
          <w:lang w:val="en-US"/>
        </w:rPr>
      </w:pPr>
    </w:p>
    <w:p w14:paraId="1858C81D" w14:textId="77777777" w:rsidR="00FC74E8" w:rsidRPr="00347552" w:rsidRDefault="00FC74E8" w:rsidP="00FC74E8">
      <w:pPr>
        <w:pStyle w:val="BodyText"/>
        <w:spacing w:line="240" w:lineRule="auto"/>
        <w:rPr>
          <w:sz w:val="24"/>
          <w:szCs w:val="24"/>
          <w:lang w:val="en-US" w:eastAsia="en-US"/>
        </w:rPr>
      </w:pPr>
      <w:r w:rsidRPr="00347552">
        <w:rPr>
          <w:sz w:val="24"/>
          <w:szCs w:val="24"/>
          <w:lang w:val="en-US" w:eastAsia="en-US"/>
        </w:rPr>
        <w:t>The following divisions have been excluded for reasons given in brackets:</w:t>
      </w:r>
    </w:p>
    <w:p w14:paraId="2101B4EA" w14:textId="77777777" w:rsidR="00FC74E8" w:rsidRPr="00347552" w:rsidRDefault="00FC74E8" w:rsidP="00FC74E8">
      <w:pPr>
        <w:pStyle w:val="BodyText"/>
        <w:spacing w:line="240" w:lineRule="auto"/>
        <w:rPr>
          <w:sz w:val="24"/>
          <w:szCs w:val="24"/>
          <w:lang w:val="en-US" w:eastAsia="en-US"/>
        </w:rPr>
      </w:pPr>
    </w:p>
    <w:p w14:paraId="59862735" w14:textId="77777777" w:rsidR="00FC74E8" w:rsidRPr="00347552" w:rsidRDefault="00FC74E8" w:rsidP="003A202C">
      <w:pPr>
        <w:pStyle w:val="BodyText"/>
        <w:widowControl w:val="0"/>
        <w:numPr>
          <w:ilvl w:val="0"/>
          <w:numId w:val="20"/>
        </w:numPr>
        <w:tabs>
          <w:tab w:val="left" w:pos="709"/>
        </w:tabs>
        <w:spacing w:before="57" w:after="240" w:line="240" w:lineRule="auto"/>
        <w:ind w:right="27"/>
        <w:rPr>
          <w:sz w:val="24"/>
          <w:szCs w:val="24"/>
          <w:lang w:val="en-US" w:eastAsia="en-US"/>
        </w:rPr>
      </w:pPr>
      <w:r w:rsidRPr="00347552">
        <w:rPr>
          <w:sz w:val="24"/>
          <w:szCs w:val="24"/>
          <w:lang w:val="en-US" w:eastAsia="en-US"/>
        </w:rPr>
        <w:t xml:space="preserve">Division 12: Manufacture of tobacco products (no longer manufactured in Mauritius) </w:t>
      </w:r>
    </w:p>
    <w:p w14:paraId="0A9B10EC" w14:textId="77777777" w:rsidR="00FC74E8" w:rsidRPr="00347552" w:rsidRDefault="00FC74E8" w:rsidP="003A202C">
      <w:pPr>
        <w:pStyle w:val="BodyText"/>
        <w:widowControl w:val="0"/>
        <w:numPr>
          <w:ilvl w:val="0"/>
          <w:numId w:val="20"/>
        </w:numPr>
        <w:tabs>
          <w:tab w:val="left" w:pos="709"/>
          <w:tab w:val="left" w:pos="8364"/>
        </w:tabs>
        <w:spacing w:before="57" w:after="240" w:line="240" w:lineRule="auto"/>
        <w:ind w:right="695"/>
        <w:rPr>
          <w:sz w:val="24"/>
          <w:szCs w:val="24"/>
          <w:lang w:val="en-US" w:eastAsia="en-US"/>
        </w:rPr>
      </w:pPr>
      <w:r w:rsidRPr="00347552">
        <w:rPr>
          <w:sz w:val="24"/>
          <w:szCs w:val="24"/>
          <w:lang w:val="en-US" w:eastAsia="en-US"/>
        </w:rPr>
        <w:t>Division 19: Manufacture of coke and refined petroleum products (weight in the overall index is not significant)</w:t>
      </w:r>
    </w:p>
    <w:p w14:paraId="79E4DA17" w14:textId="77777777" w:rsidR="00FC74E8" w:rsidRPr="00347552" w:rsidRDefault="00FC74E8" w:rsidP="003A202C">
      <w:pPr>
        <w:pStyle w:val="BodyText"/>
        <w:widowControl w:val="0"/>
        <w:numPr>
          <w:ilvl w:val="0"/>
          <w:numId w:val="20"/>
        </w:numPr>
        <w:tabs>
          <w:tab w:val="left" w:pos="709"/>
          <w:tab w:val="left" w:pos="8364"/>
        </w:tabs>
        <w:spacing w:after="240" w:line="240" w:lineRule="auto"/>
        <w:ind w:right="693"/>
        <w:rPr>
          <w:sz w:val="24"/>
          <w:szCs w:val="24"/>
          <w:lang w:val="en-US" w:eastAsia="en-US"/>
        </w:rPr>
      </w:pPr>
      <w:r w:rsidRPr="00347552">
        <w:rPr>
          <w:sz w:val="24"/>
          <w:szCs w:val="24"/>
          <w:lang w:val="en-US" w:eastAsia="en-US"/>
        </w:rPr>
        <w:t>Division 21: Manufacture of basic pharmaceutical products and pharmaceutical preparations (weight in the overall index is not significant and change of products is too dynamic)</w:t>
      </w:r>
    </w:p>
    <w:p w14:paraId="5B8F9293" w14:textId="77777777" w:rsidR="00FC74E8" w:rsidRPr="00347552" w:rsidRDefault="00FC74E8" w:rsidP="00FC74E8">
      <w:pPr>
        <w:pStyle w:val="BodyText"/>
        <w:widowControl w:val="0"/>
        <w:numPr>
          <w:ilvl w:val="0"/>
          <w:numId w:val="20"/>
        </w:numPr>
        <w:tabs>
          <w:tab w:val="left" w:pos="709"/>
        </w:tabs>
        <w:spacing w:after="240" w:line="240" w:lineRule="auto"/>
        <w:ind w:right="693"/>
        <w:rPr>
          <w:sz w:val="24"/>
          <w:szCs w:val="24"/>
          <w:lang w:val="en-US" w:eastAsia="en-US"/>
        </w:rPr>
      </w:pPr>
      <w:r w:rsidRPr="00347552">
        <w:rPr>
          <w:sz w:val="24"/>
          <w:szCs w:val="24"/>
          <w:lang w:val="en-US" w:eastAsia="en-US"/>
        </w:rPr>
        <w:t>Division 33: Repair and installation of machinery and equipment (weight in the overall index is not significant and change of products is too dynamic)</w:t>
      </w:r>
    </w:p>
    <w:p w14:paraId="2DF6F2BC" w14:textId="77777777" w:rsidR="00FC74E8" w:rsidRPr="00347552" w:rsidRDefault="00FC74E8" w:rsidP="00FC74E8">
      <w:pPr>
        <w:pStyle w:val="BodyText"/>
        <w:tabs>
          <w:tab w:val="left" w:pos="820"/>
        </w:tabs>
        <w:spacing w:after="240" w:line="240" w:lineRule="auto"/>
        <w:ind w:right="693"/>
        <w:rPr>
          <w:sz w:val="24"/>
          <w:szCs w:val="24"/>
          <w:lang w:val="en-US" w:eastAsia="en-US"/>
        </w:rPr>
      </w:pPr>
      <w:r w:rsidRPr="00347552">
        <w:rPr>
          <w:sz w:val="24"/>
          <w:szCs w:val="24"/>
          <w:lang w:val="en-US" w:eastAsia="en-US"/>
        </w:rPr>
        <w:t>However, Division 26: Manufacture of computer, electronic and optical products has been included in the current basket mainly because its weight in the overall index is significant.</w:t>
      </w:r>
    </w:p>
    <w:p w14:paraId="75CAEE42" w14:textId="77777777" w:rsidR="00FC74E8" w:rsidRDefault="00FC74E8" w:rsidP="00FC74E8">
      <w:pPr>
        <w:pStyle w:val="BodyText"/>
        <w:spacing w:line="240" w:lineRule="auto"/>
        <w:ind w:right="693"/>
        <w:rPr>
          <w:sz w:val="24"/>
          <w:szCs w:val="24"/>
          <w:lang w:val="en-US" w:eastAsia="en-US"/>
        </w:rPr>
      </w:pPr>
      <w:r w:rsidRPr="00347552">
        <w:rPr>
          <w:sz w:val="24"/>
          <w:szCs w:val="24"/>
          <w:lang w:val="en-US" w:eastAsia="en-US"/>
        </w:rPr>
        <w:t>The activities covered by the index represent around 97% of the gross output generated by the Non-EOE manufacturing sector during year 2018.</w:t>
      </w:r>
    </w:p>
    <w:p w14:paraId="052363A0" w14:textId="77777777" w:rsidR="00FC74E8" w:rsidRDefault="00FC74E8" w:rsidP="00FC74E8">
      <w:pPr>
        <w:tabs>
          <w:tab w:val="left" w:pos="0"/>
        </w:tabs>
        <w:jc w:val="both"/>
        <w:rPr>
          <w:sz w:val="24"/>
          <w:szCs w:val="24"/>
        </w:rPr>
      </w:pPr>
    </w:p>
    <w:p w14:paraId="39B1982A" w14:textId="77777777" w:rsidR="00FC74E8" w:rsidRPr="00567B52" w:rsidRDefault="00FC74E8" w:rsidP="00FC74E8">
      <w:pPr>
        <w:tabs>
          <w:tab w:val="left" w:pos="0"/>
        </w:tabs>
        <w:jc w:val="both"/>
        <w:rPr>
          <w:b/>
          <w:sz w:val="24"/>
          <w:szCs w:val="24"/>
        </w:rPr>
      </w:pPr>
      <w:r>
        <w:rPr>
          <w:b/>
          <w:sz w:val="24"/>
          <w:szCs w:val="24"/>
          <w:lang w:val="en-US"/>
        </w:rPr>
        <w:t>3</w:t>
      </w:r>
      <w:r w:rsidRPr="00AD6919">
        <w:rPr>
          <w:b/>
          <w:sz w:val="24"/>
          <w:szCs w:val="24"/>
          <w:lang w:val="en-US"/>
        </w:rPr>
        <w:t>.</w:t>
      </w:r>
      <w:r w:rsidRPr="00567B52">
        <w:rPr>
          <w:b/>
          <w:sz w:val="24"/>
          <w:szCs w:val="24"/>
        </w:rPr>
        <w:tab/>
        <w:t>Frame</w:t>
      </w:r>
    </w:p>
    <w:p w14:paraId="6D274F15" w14:textId="77777777" w:rsidR="00FC74E8" w:rsidRPr="00567B52" w:rsidRDefault="00FC74E8" w:rsidP="00FC74E8">
      <w:pPr>
        <w:tabs>
          <w:tab w:val="left" w:pos="0"/>
        </w:tabs>
        <w:jc w:val="both"/>
        <w:rPr>
          <w:sz w:val="24"/>
          <w:szCs w:val="24"/>
        </w:rPr>
      </w:pPr>
    </w:p>
    <w:p w14:paraId="1811D1F1" w14:textId="77777777" w:rsidR="00FC74E8" w:rsidRPr="008355F3" w:rsidRDefault="00FC74E8" w:rsidP="00FC74E8">
      <w:pPr>
        <w:jc w:val="both"/>
        <w:rPr>
          <w:sz w:val="24"/>
          <w:szCs w:val="24"/>
        </w:rPr>
      </w:pPr>
      <w:r w:rsidRPr="008355F3">
        <w:rPr>
          <w:sz w:val="24"/>
          <w:szCs w:val="24"/>
        </w:rPr>
        <w:t>A list of all large establishments (engaging 10 or more persons) falling under the scope of the PPI-M was obtained from the 2018 Census of Economic Activities (CEA 2018). For small establishments (engaging less than 10 persons), the list of respondents at the CEA 2018 was used.</w:t>
      </w:r>
    </w:p>
    <w:p w14:paraId="7EAFC105" w14:textId="77777777" w:rsidR="00FC74E8" w:rsidRDefault="00FC74E8" w:rsidP="00FC74E8">
      <w:pPr>
        <w:tabs>
          <w:tab w:val="left" w:pos="0"/>
        </w:tabs>
        <w:jc w:val="both"/>
        <w:rPr>
          <w:sz w:val="24"/>
          <w:szCs w:val="24"/>
        </w:rPr>
      </w:pPr>
    </w:p>
    <w:p w14:paraId="378CDF0B" w14:textId="77777777" w:rsidR="00FC74E8" w:rsidRPr="00567B52" w:rsidRDefault="00FC74E8" w:rsidP="00FC74E8">
      <w:pPr>
        <w:tabs>
          <w:tab w:val="left" w:pos="0"/>
        </w:tabs>
        <w:jc w:val="both"/>
        <w:rPr>
          <w:b/>
          <w:sz w:val="24"/>
          <w:szCs w:val="24"/>
        </w:rPr>
      </w:pPr>
      <w:r>
        <w:rPr>
          <w:b/>
          <w:sz w:val="24"/>
          <w:szCs w:val="24"/>
          <w:lang w:val="en-US"/>
        </w:rPr>
        <w:lastRenderedPageBreak/>
        <w:t>4.</w:t>
      </w:r>
      <w:r w:rsidRPr="00567B52">
        <w:rPr>
          <w:b/>
          <w:sz w:val="24"/>
          <w:szCs w:val="24"/>
          <w:lang w:val="en-US"/>
        </w:rPr>
        <w:t xml:space="preserve"> </w:t>
      </w:r>
      <w:r w:rsidRPr="00567B52">
        <w:rPr>
          <w:b/>
          <w:sz w:val="24"/>
          <w:szCs w:val="24"/>
          <w:lang w:val="en-US"/>
        </w:rPr>
        <w:tab/>
      </w:r>
      <w:r w:rsidRPr="00567B52">
        <w:rPr>
          <w:b/>
          <w:sz w:val="24"/>
          <w:szCs w:val="24"/>
        </w:rPr>
        <w:t>Selection of establishments (producers)</w:t>
      </w:r>
    </w:p>
    <w:p w14:paraId="32557726" w14:textId="77777777" w:rsidR="00FC74E8" w:rsidRPr="00567B52" w:rsidRDefault="00FC74E8" w:rsidP="00FC74E8">
      <w:pPr>
        <w:tabs>
          <w:tab w:val="left" w:pos="0"/>
        </w:tabs>
        <w:jc w:val="both"/>
        <w:rPr>
          <w:b/>
          <w:sz w:val="24"/>
          <w:szCs w:val="24"/>
        </w:rPr>
      </w:pPr>
    </w:p>
    <w:p w14:paraId="13C8B198" w14:textId="77777777" w:rsidR="00FC74E8" w:rsidRPr="00ED3991" w:rsidRDefault="00FC74E8" w:rsidP="00FC74E8">
      <w:pPr>
        <w:jc w:val="both"/>
        <w:rPr>
          <w:sz w:val="24"/>
          <w:szCs w:val="24"/>
        </w:rPr>
      </w:pPr>
      <w:r w:rsidRPr="00ED3991">
        <w:rPr>
          <w:sz w:val="24"/>
          <w:szCs w:val="24"/>
        </w:rPr>
        <w:t>A sample of 126 large establishments was selected from the list of large manufacturing establishments. Those establishments were the most important ones in terms of Gross Output (GO) in their respective 5-digit sub-class.</w:t>
      </w:r>
    </w:p>
    <w:p w14:paraId="1551BDF5" w14:textId="77777777" w:rsidR="00FC74E8" w:rsidRPr="00ED3991" w:rsidRDefault="00FC74E8" w:rsidP="00FC74E8">
      <w:pPr>
        <w:jc w:val="both"/>
        <w:rPr>
          <w:sz w:val="24"/>
          <w:szCs w:val="24"/>
        </w:rPr>
      </w:pPr>
    </w:p>
    <w:p w14:paraId="7BF11A25" w14:textId="77777777" w:rsidR="00FC74E8" w:rsidRPr="00ED3991" w:rsidRDefault="00FC74E8" w:rsidP="00FC74E8">
      <w:pPr>
        <w:jc w:val="both"/>
        <w:rPr>
          <w:sz w:val="24"/>
          <w:szCs w:val="24"/>
        </w:rPr>
      </w:pPr>
      <w:r w:rsidRPr="00ED3991">
        <w:rPr>
          <w:sz w:val="24"/>
          <w:szCs w:val="24"/>
        </w:rPr>
        <w:t xml:space="preserve">Small establishments selected for price collection were those engaged in the manufacture of wearing apparel, fabricated metal products and wooden furniture, as these activities were the most important ones performed by small manufacturing establishments. A sample of 5 establishments was selected from the list of small manufacturing establishments. </w:t>
      </w:r>
    </w:p>
    <w:p w14:paraId="6B84FBD8" w14:textId="77777777" w:rsidR="00FC74E8" w:rsidRPr="00ED3991" w:rsidRDefault="00FC74E8" w:rsidP="00FC74E8">
      <w:pPr>
        <w:jc w:val="both"/>
        <w:rPr>
          <w:sz w:val="24"/>
          <w:szCs w:val="24"/>
        </w:rPr>
      </w:pPr>
    </w:p>
    <w:p w14:paraId="67BE77CA" w14:textId="77777777" w:rsidR="00FC74E8" w:rsidRPr="009E24AF" w:rsidRDefault="00FC74E8" w:rsidP="00FC74E8">
      <w:pPr>
        <w:jc w:val="both"/>
        <w:rPr>
          <w:color w:val="000000"/>
          <w:sz w:val="24"/>
          <w:szCs w:val="24"/>
        </w:rPr>
      </w:pPr>
      <w:r w:rsidRPr="00ED3991">
        <w:rPr>
          <w:sz w:val="24"/>
          <w:szCs w:val="24"/>
        </w:rPr>
        <w:t>Output of the selected establishments represented around 63% of the total GO generated by all establishments falling within the scope of the PPI-M.</w:t>
      </w:r>
    </w:p>
    <w:p w14:paraId="110676FF" w14:textId="77777777" w:rsidR="00FC74E8" w:rsidRPr="00567B52" w:rsidRDefault="00FC74E8" w:rsidP="00FC74E8">
      <w:pPr>
        <w:tabs>
          <w:tab w:val="left" w:pos="0"/>
        </w:tabs>
        <w:jc w:val="both"/>
        <w:rPr>
          <w:sz w:val="24"/>
          <w:szCs w:val="24"/>
        </w:rPr>
      </w:pPr>
    </w:p>
    <w:p w14:paraId="400FDCB8" w14:textId="77777777" w:rsidR="00FC74E8" w:rsidRPr="00567B52" w:rsidRDefault="00FC74E8" w:rsidP="00FC74E8">
      <w:pPr>
        <w:tabs>
          <w:tab w:val="left" w:pos="0"/>
        </w:tabs>
        <w:jc w:val="both"/>
        <w:rPr>
          <w:b/>
          <w:sz w:val="24"/>
          <w:szCs w:val="24"/>
        </w:rPr>
      </w:pPr>
      <w:r>
        <w:rPr>
          <w:b/>
          <w:sz w:val="24"/>
          <w:szCs w:val="24"/>
          <w:lang w:val="en-US"/>
        </w:rPr>
        <w:t>5.</w:t>
      </w:r>
      <w:r w:rsidRPr="00567B52">
        <w:rPr>
          <w:b/>
          <w:sz w:val="24"/>
          <w:szCs w:val="24"/>
          <w:lang w:val="en-US"/>
        </w:rPr>
        <w:tab/>
      </w:r>
      <w:r w:rsidRPr="00567B52">
        <w:rPr>
          <w:b/>
          <w:sz w:val="24"/>
          <w:szCs w:val="24"/>
        </w:rPr>
        <w:t>Selection of products to be priced</w:t>
      </w:r>
    </w:p>
    <w:p w14:paraId="3B934EA5" w14:textId="77777777" w:rsidR="00FC74E8" w:rsidRPr="00567B52" w:rsidRDefault="00FC74E8" w:rsidP="00FC74E8">
      <w:pPr>
        <w:tabs>
          <w:tab w:val="left" w:pos="0"/>
        </w:tabs>
        <w:jc w:val="both"/>
        <w:rPr>
          <w:sz w:val="24"/>
          <w:szCs w:val="24"/>
        </w:rPr>
      </w:pPr>
    </w:p>
    <w:p w14:paraId="1D3CD494" w14:textId="77777777" w:rsidR="00FC74E8" w:rsidRDefault="00FC74E8" w:rsidP="00FC74E8">
      <w:pPr>
        <w:tabs>
          <w:tab w:val="left" w:pos="0"/>
        </w:tabs>
        <w:jc w:val="both"/>
        <w:rPr>
          <w:sz w:val="24"/>
          <w:szCs w:val="24"/>
        </w:rPr>
      </w:pPr>
      <w:r w:rsidRPr="007E11CA">
        <w:rPr>
          <w:sz w:val="24"/>
          <w:szCs w:val="24"/>
        </w:rPr>
        <w:t>Some 500 products have been selected for pricing. These are the most important ones in terms of contribution to the gross output or turnover of the selected establishments.</w:t>
      </w:r>
    </w:p>
    <w:p w14:paraId="41B3F3ED" w14:textId="77777777" w:rsidR="00FC74E8" w:rsidRDefault="00FC74E8" w:rsidP="00FC74E8">
      <w:pPr>
        <w:tabs>
          <w:tab w:val="left" w:pos="0"/>
        </w:tabs>
        <w:jc w:val="both"/>
        <w:rPr>
          <w:sz w:val="24"/>
          <w:szCs w:val="24"/>
          <w:lang w:val="en-US"/>
        </w:rPr>
      </w:pPr>
    </w:p>
    <w:p w14:paraId="2FA1B3D9" w14:textId="77777777" w:rsidR="00FC74E8" w:rsidRPr="00567B52" w:rsidRDefault="00FC74E8" w:rsidP="00FC74E8">
      <w:pPr>
        <w:tabs>
          <w:tab w:val="left" w:pos="0"/>
        </w:tabs>
        <w:jc w:val="both"/>
        <w:rPr>
          <w:b/>
          <w:sz w:val="24"/>
          <w:szCs w:val="24"/>
        </w:rPr>
      </w:pPr>
      <w:r>
        <w:rPr>
          <w:b/>
          <w:sz w:val="24"/>
          <w:szCs w:val="24"/>
          <w:lang w:val="en-US"/>
        </w:rPr>
        <w:t>6.</w:t>
      </w:r>
      <w:r w:rsidRPr="00567B52">
        <w:rPr>
          <w:b/>
          <w:sz w:val="24"/>
          <w:szCs w:val="24"/>
        </w:rPr>
        <w:tab/>
        <w:t xml:space="preserve">Price collection </w:t>
      </w:r>
    </w:p>
    <w:p w14:paraId="697D631F" w14:textId="77777777" w:rsidR="00FC74E8" w:rsidRPr="00567B52" w:rsidRDefault="00FC74E8" w:rsidP="00FC74E8">
      <w:pPr>
        <w:tabs>
          <w:tab w:val="left" w:pos="0"/>
        </w:tabs>
        <w:jc w:val="both"/>
        <w:rPr>
          <w:sz w:val="24"/>
          <w:szCs w:val="24"/>
        </w:rPr>
      </w:pPr>
    </w:p>
    <w:p w14:paraId="0A508D8F" w14:textId="77777777" w:rsidR="00FC74E8" w:rsidRPr="007B6F9C" w:rsidRDefault="00FC74E8" w:rsidP="00FC74E8">
      <w:pPr>
        <w:tabs>
          <w:tab w:val="left" w:pos="0"/>
        </w:tabs>
        <w:jc w:val="both"/>
        <w:rPr>
          <w:sz w:val="24"/>
          <w:szCs w:val="24"/>
        </w:rPr>
      </w:pPr>
      <w:r w:rsidRPr="007B6F9C">
        <w:rPr>
          <w:sz w:val="24"/>
          <w:szCs w:val="24"/>
        </w:rPr>
        <w:t>Prices collected refer to the prices received by producers for the sale of their products on the local market. The prices exclude all taxes on products, namely excise duty and value added tax (VAT).</w:t>
      </w:r>
    </w:p>
    <w:p w14:paraId="4F534CA3" w14:textId="77777777" w:rsidR="00FC74E8" w:rsidRPr="007B6F9C" w:rsidRDefault="00FC74E8" w:rsidP="00FC74E8">
      <w:pPr>
        <w:tabs>
          <w:tab w:val="left" w:pos="0"/>
        </w:tabs>
        <w:jc w:val="both"/>
        <w:rPr>
          <w:sz w:val="24"/>
          <w:szCs w:val="24"/>
        </w:rPr>
      </w:pPr>
    </w:p>
    <w:p w14:paraId="49AFF111" w14:textId="77777777" w:rsidR="00FC74E8" w:rsidRPr="007B6F9C" w:rsidRDefault="00FC74E8" w:rsidP="00FC74E8">
      <w:pPr>
        <w:tabs>
          <w:tab w:val="left" w:pos="0"/>
        </w:tabs>
        <w:jc w:val="both"/>
        <w:rPr>
          <w:sz w:val="24"/>
          <w:szCs w:val="24"/>
        </w:rPr>
      </w:pPr>
      <w:r w:rsidRPr="007B6F9C">
        <w:rPr>
          <w:sz w:val="24"/>
          <w:szCs w:val="24"/>
        </w:rPr>
        <w:t>As from January 2018, prices are collected on a monthly basis and provisional monthly indices are compiled. The overall PPI-M on a monthly basis is published according to SDDS requirements.</w:t>
      </w:r>
    </w:p>
    <w:p w14:paraId="7DBFE992" w14:textId="77777777" w:rsidR="00FC74E8" w:rsidRPr="007B6F9C" w:rsidRDefault="00FC74E8" w:rsidP="00FC74E8">
      <w:pPr>
        <w:tabs>
          <w:tab w:val="left" w:pos="0"/>
        </w:tabs>
        <w:jc w:val="both"/>
        <w:rPr>
          <w:sz w:val="24"/>
          <w:szCs w:val="24"/>
        </w:rPr>
      </w:pPr>
    </w:p>
    <w:p w14:paraId="4670826C" w14:textId="77777777" w:rsidR="00FC74E8" w:rsidRDefault="00FC74E8" w:rsidP="00FC74E8">
      <w:pPr>
        <w:tabs>
          <w:tab w:val="left" w:pos="0"/>
        </w:tabs>
        <w:jc w:val="both"/>
        <w:rPr>
          <w:sz w:val="24"/>
          <w:szCs w:val="24"/>
        </w:rPr>
      </w:pPr>
      <w:r w:rsidRPr="007B6F9C">
        <w:rPr>
          <w:sz w:val="24"/>
          <w:szCs w:val="24"/>
        </w:rPr>
        <w:t>For revised monthly and quarterly indices at division level and in some specific cases at even lower level, the selected establishments are visited on a quarterly basis and prices of the selected products are collected for each month of the reference quarter.</w:t>
      </w:r>
    </w:p>
    <w:p w14:paraId="654830CA" w14:textId="77777777" w:rsidR="00FC74E8" w:rsidRDefault="00FC74E8" w:rsidP="00FC74E8">
      <w:pPr>
        <w:tabs>
          <w:tab w:val="left" w:pos="0"/>
        </w:tabs>
        <w:jc w:val="both"/>
        <w:rPr>
          <w:b/>
          <w:sz w:val="24"/>
          <w:szCs w:val="24"/>
          <w:lang w:val="en-US"/>
        </w:rPr>
      </w:pPr>
    </w:p>
    <w:p w14:paraId="1D84A122" w14:textId="77777777" w:rsidR="00FC74E8" w:rsidRDefault="00FC74E8" w:rsidP="00FC74E8">
      <w:pPr>
        <w:tabs>
          <w:tab w:val="left" w:pos="0"/>
        </w:tabs>
        <w:jc w:val="both"/>
        <w:rPr>
          <w:b/>
          <w:sz w:val="24"/>
          <w:szCs w:val="24"/>
          <w:lang w:val="en-US"/>
        </w:rPr>
      </w:pPr>
      <w:r>
        <w:rPr>
          <w:b/>
          <w:sz w:val="24"/>
          <w:szCs w:val="24"/>
          <w:lang w:val="en-US"/>
        </w:rPr>
        <w:t>7.</w:t>
      </w:r>
      <w:r w:rsidRPr="00567B52">
        <w:rPr>
          <w:b/>
          <w:sz w:val="24"/>
          <w:szCs w:val="24"/>
        </w:rPr>
        <w:tab/>
      </w:r>
      <w:r>
        <w:rPr>
          <w:b/>
          <w:sz w:val="24"/>
          <w:szCs w:val="24"/>
          <w:lang w:val="en-US"/>
        </w:rPr>
        <w:t xml:space="preserve">Updating of weights </w:t>
      </w:r>
    </w:p>
    <w:p w14:paraId="04265079" w14:textId="77777777" w:rsidR="00FC74E8" w:rsidRDefault="00FC74E8" w:rsidP="00FC74E8">
      <w:pPr>
        <w:tabs>
          <w:tab w:val="left" w:pos="0"/>
        </w:tabs>
        <w:jc w:val="both"/>
        <w:rPr>
          <w:b/>
          <w:sz w:val="24"/>
          <w:szCs w:val="24"/>
          <w:lang w:val="en-US"/>
        </w:rPr>
      </w:pPr>
    </w:p>
    <w:p w14:paraId="4CE9F17F" w14:textId="77777777" w:rsidR="00FC74E8" w:rsidRPr="008559D6" w:rsidRDefault="00FC74E8" w:rsidP="00FC74E8">
      <w:pPr>
        <w:tabs>
          <w:tab w:val="left" w:pos="0"/>
        </w:tabs>
        <w:jc w:val="both"/>
        <w:rPr>
          <w:b/>
          <w:i/>
          <w:sz w:val="24"/>
          <w:szCs w:val="24"/>
        </w:rPr>
      </w:pPr>
      <w:r>
        <w:rPr>
          <w:b/>
          <w:i/>
          <w:sz w:val="24"/>
          <w:szCs w:val="24"/>
          <w:lang w:val="en-US"/>
        </w:rPr>
        <w:t>7.1</w:t>
      </w:r>
      <w:r w:rsidRPr="008559D6">
        <w:rPr>
          <w:b/>
          <w:i/>
          <w:sz w:val="24"/>
          <w:szCs w:val="24"/>
          <w:lang w:val="en-US"/>
        </w:rPr>
        <w:tab/>
        <w:t>Historical background</w:t>
      </w:r>
      <w:r w:rsidRPr="008559D6">
        <w:rPr>
          <w:b/>
          <w:i/>
          <w:sz w:val="24"/>
          <w:szCs w:val="24"/>
        </w:rPr>
        <w:t xml:space="preserve"> </w:t>
      </w:r>
    </w:p>
    <w:p w14:paraId="45E2702D" w14:textId="77777777" w:rsidR="00FC74E8" w:rsidRPr="00567B52" w:rsidRDefault="00FC74E8" w:rsidP="00FC74E8">
      <w:pPr>
        <w:tabs>
          <w:tab w:val="left" w:pos="0"/>
        </w:tabs>
        <w:jc w:val="both"/>
        <w:rPr>
          <w:b/>
          <w:sz w:val="24"/>
          <w:szCs w:val="24"/>
        </w:rPr>
      </w:pPr>
    </w:p>
    <w:p w14:paraId="1AF63C6D" w14:textId="77777777" w:rsidR="00FC74E8" w:rsidRPr="001F4A75" w:rsidRDefault="00FC74E8" w:rsidP="00FC74E8">
      <w:pPr>
        <w:tabs>
          <w:tab w:val="left" w:pos="0"/>
        </w:tabs>
        <w:jc w:val="both"/>
        <w:rPr>
          <w:sz w:val="24"/>
          <w:szCs w:val="24"/>
          <w:lang w:eastAsia="x-none"/>
        </w:rPr>
      </w:pPr>
      <w:r w:rsidRPr="001F4A75">
        <w:rPr>
          <w:sz w:val="24"/>
          <w:szCs w:val="24"/>
          <w:lang w:eastAsia="x-none"/>
        </w:rPr>
        <w:t>Statistics Mauritius first published a Producers Price Index limited to the “Manufacturing of food products, beverages and tobacco” in March 1994 with 1993 as base period (1993 = 100). The index was revised in June 2002 to cover all relevant industry groups of the former Non- EPZ manufacturing sector, based on the results of the 1997 Census of Economic Activities. The base period was 1998. The base year was subsequently revised to 2003, 2007 and 2013, based on the results of the 2002, 2007 and 2013 rounds of the Census of Economic Activities.</w:t>
      </w:r>
    </w:p>
    <w:p w14:paraId="7378DF69" w14:textId="77777777" w:rsidR="00FC74E8" w:rsidRDefault="00FC74E8" w:rsidP="00FC74E8">
      <w:pPr>
        <w:tabs>
          <w:tab w:val="left" w:pos="0"/>
        </w:tabs>
        <w:jc w:val="both"/>
        <w:rPr>
          <w:sz w:val="24"/>
          <w:szCs w:val="24"/>
          <w:lang w:eastAsia="x-none"/>
        </w:rPr>
      </w:pPr>
    </w:p>
    <w:p w14:paraId="7F1FB9B9" w14:textId="77777777" w:rsidR="00FC74E8" w:rsidRDefault="00FC74E8" w:rsidP="00FC74E8">
      <w:pPr>
        <w:tabs>
          <w:tab w:val="left" w:pos="0"/>
        </w:tabs>
        <w:jc w:val="both"/>
        <w:rPr>
          <w:sz w:val="24"/>
          <w:szCs w:val="24"/>
          <w:lang w:eastAsia="x-none"/>
        </w:rPr>
      </w:pPr>
    </w:p>
    <w:p w14:paraId="7F24F4B3" w14:textId="4E16BC2B" w:rsidR="00FC74E8" w:rsidRDefault="00FC74E8" w:rsidP="00FC74E8">
      <w:pPr>
        <w:tabs>
          <w:tab w:val="left" w:pos="0"/>
        </w:tabs>
        <w:jc w:val="both"/>
        <w:rPr>
          <w:sz w:val="24"/>
          <w:szCs w:val="24"/>
          <w:lang w:eastAsia="x-none"/>
        </w:rPr>
      </w:pPr>
      <w:r w:rsidRPr="001F4A75">
        <w:rPr>
          <w:sz w:val="24"/>
          <w:szCs w:val="24"/>
          <w:lang w:eastAsia="x-none"/>
        </w:rPr>
        <w:t>The current basket of goods has been updated based on the results of the 2018 Census of Economic Activities and the index is computed with year 2018 as base period</w:t>
      </w:r>
      <w:r>
        <w:rPr>
          <w:sz w:val="24"/>
          <w:szCs w:val="24"/>
          <w:lang w:eastAsia="x-none"/>
        </w:rPr>
        <w:t>.</w:t>
      </w:r>
    </w:p>
    <w:p w14:paraId="593DA7DE" w14:textId="2D5DDF38" w:rsidR="003A202C" w:rsidRDefault="003A202C" w:rsidP="00FC74E8">
      <w:pPr>
        <w:tabs>
          <w:tab w:val="left" w:pos="0"/>
        </w:tabs>
        <w:jc w:val="both"/>
        <w:rPr>
          <w:sz w:val="24"/>
          <w:szCs w:val="24"/>
          <w:lang w:eastAsia="x-none"/>
        </w:rPr>
      </w:pPr>
    </w:p>
    <w:p w14:paraId="05492C95" w14:textId="77777777" w:rsidR="003A202C" w:rsidRDefault="003A202C" w:rsidP="00FC74E8">
      <w:pPr>
        <w:tabs>
          <w:tab w:val="left" w:pos="0"/>
        </w:tabs>
        <w:jc w:val="both"/>
        <w:rPr>
          <w:sz w:val="24"/>
          <w:szCs w:val="24"/>
          <w:lang w:eastAsia="x-none"/>
        </w:rPr>
      </w:pPr>
    </w:p>
    <w:p w14:paraId="47CC7907" w14:textId="77777777" w:rsidR="00FC74E8" w:rsidRDefault="00FC74E8" w:rsidP="00FC74E8">
      <w:pPr>
        <w:tabs>
          <w:tab w:val="left" w:pos="0"/>
        </w:tabs>
        <w:jc w:val="both"/>
        <w:rPr>
          <w:b/>
          <w:sz w:val="24"/>
          <w:szCs w:val="24"/>
          <w:lang w:val="en-US"/>
        </w:rPr>
      </w:pPr>
    </w:p>
    <w:p w14:paraId="0A4BE115" w14:textId="77777777" w:rsidR="00FC74E8" w:rsidRPr="00567B52" w:rsidRDefault="00FC74E8" w:rsidP="00FC74E8">
      <w:pPr>
        <w:tabs>
          <w:tab w:val="left" w:pos="0"/>
        </w:tabs>
        <w:jc w:val="both"/>
        <w:rPr>
          <w:sz w:val="24"/>
          <w:szCs w:val="24"/>
        </w:rPr>
      </w:pPr>
      <w:r>
        <w:rPr>
          <w:b/>
          <w:sz w:val="24"/>
          <w:szCs w:val="24"/>
          <w:lang w:val="en-US"/>
        </w:rPr>
        <w:t>8</w:t>
      </w:r>
      <w:r w:rsidRPr="0048215D">
        <w:rPr>
          <w:b/>
          <w:sz w:val="24"/>
          <w:szCs w:val="24"/>
        </w:rPr>
        <w:t>.</w:t>
      </w:r>
      <w:r>
        <w:rPr>
          <w:b/>
          <w:sz w:val="24"/>
          <w:szCs w:val="24"/>
        </w:rPr>
        <w:tab/>
        <w:t>Index c</w:t>
      </w:r>
      <w:r w:rsidRPr="00204B9F">
        <w:rPr>
          <w:b/>
          <w:sz w:val="24"/>
          <w:szCs w:val="24"/>
        </w:rPr>
        <w:t>alculation</w:t>
      </w:r>
    </w:p>
    <w:p w14:paraId="1C068672" w14:textId="77777777" w:rsidR="00FC74E8" w:rsidRPr="00567B52" w:rsidRDefault="00FC74E8" w:rsidP="00FC74E8">
      <w:pPr>
        <w:tabs>
          <w:tab w:val="left" w:pos="0"/>
        </w:tabs>
        <w:jc w:val="both"/>
        <w:rPr>
          <w:sz w:val="24"/>
          <w:szCs w:val="24"/>
          <w:lang w:val="en-US"/>
        </w:rPr>
      </w:pPr>
      <w:r>
        <w:rPr>
          <w:sz w:val="24"/>
          <w:szCs w:val="24"/>
          <w:lang w:val="en-US"/>
        </w:rPr>
        <w:tab/>
      </w:r>
    </w:p>
    <w:p w14:paraId="41609683" w14:textId="77777777" w:rsidR="00FC74E8" w:rsidRDefault="00FC74E8" w:rsidP="00FC74E8">
      <w:pPr>
        <w:tabs>
          <w:tab w:val="left" w:pos="0"/>
        </w:tabs>
        <w:jc w:val="both"/>
        <w:rPr>
          <w:sz w:val="24"/>
          <w:szCs w:val="24"/>
          <w:lang w:val="en-US"/>
        </w:rPr>
      </w:pPr>
      <w:r>
        <w:rPr>
          <w:sz w:val="24"/>
          <w:szCs w:val="24"/>
          <w:lang w:val="en-US"/>
        </w:rPr>
        <w:tab/>
        <w:t xml:space="preserve">The </w:t>
      </w:r>
      <w:r w:rsidRPr="00567B52">
        <w:rPr>
          <w:sz w:val="24"/>
          <w:szCs w:val="24"/>
        </w:rPr>
        <w:t>P</w:t>
      </w:r>
      <w:r>
        <w:rPr>
          <w:sz w:val="24"/>
          <w:szCs w:val="24"/>
          <w:lang w:val="en-US"/>
        </w:rPr>
        <w:t xml:space="preserve">PI-M </w:t>
      </w:r>
      <w:r w:rsidRPr="00567B52">
        <w:rPr>
          <w:sz w:val="24"/>
          <w:szCs w:val="24"/>
        </w:rPr>
        <w:t xml:space="preserve">is </w:t>
      </w:r>
      <w:r>
        <w:rPr>
          <w:sz w:val="24"/>
          <w:szCs w:val="24"/>
          <w:lang w:val="en-US"/>
        </w:rPr>
        <w:t xml:space="preserve">computed </w:t>
      </w:r>
      <w:r w:rsidRPr="00567B52">
        <w:rPr>
          <w:sz w:val="24"/>
          <w:szCs w:val="24"/>
        </w:rPr>
        <w:t xml:space="preserve">according to </w:t>
      </w:r>
      <w:r>
        <w:rPr>
          <w:sz w:val="24"/>
          <w:szCs w:val="24"/>
          <w:lang w:val="en-US"/>
        </w:rPr>
        <w:t>the</w:t>
      </w:r>
      <w:r w:rsidRPr="00567B52">
        <w:rPr>
          <w:sz w:val="24"/>
          <w:szCs w:val="24"/>
          <w:lang w:val="en-US"/>
        </w:rPr>
        <w:t xml:space="preserve"> </w:t>
      </w:r>
      <w:r w:rsidRPr="00567B52">
        <w:rPr>
          <w:sz w:val="24"/>
          <w:szCs w:val="24"/>
        </w:rPr>
        <w:t>Laspeyres</w:t>
      </w:r>
      <w:r>
        <w:rPr>
          <w:sz w:val="24"/>
          <w:szCs w:val="24"/>
          <w:lang w:val="en-US"/>
        </w:rPr>
        <w:t xml:space="preserve"> Formula</w:t>
      </w:r>
      <w:r w:rsidRPr="00567B52">
        <w:rPr>
          <w:sz w:val="24"/>
          <w:szCs w:val="24"/>
          <w:lang w:val="en-US"/>
        </w:rPr>
        <w:t xml:space="preserve">. </w:t>
      </w:r>
    </w:p>
    <w:p w14:paraId="317AE3ED" w14:textId="77777777" w:rsidR="00FC74E8" w:rsidRDefault="00FC74E8" w:rsidP="00FC74E8">
      <w:pPr>
        <w:tabs>
          <w:tab w:val="left" w:pos="0"/>
        </w:tabs>
        <w:jc w:val="both"/>
        <w:rPr>
          <w:sz w:val="24"/>
          <w:szCs w:val="24"/>
          <w:lang w:val="en-US"/>
        </w:rPr>
      </w:pPr>
    </w:p>
    <w:p w14:paraId="5286C7C0" w14:textId="77777777" w:rsidR="00FC74E8" w:rsidRPr="00224BAF" w:rsidRDefault="00FC74E8" w:rsidP="00FC74E8">
      <w:pPr>
        <w:spacing w:line="276" w:lineRule="auto"/>
        <w:ind w:firstLine="720"/>
        <w:jc w:val="both"/>
        <w:rPr>
          <w:sz w:val="24"/>
          <w:szCs w:val="24"/>
        </w:rPr>
      </w:pPr>
      <w:r w:rsidRPr="00224BAF">
        <w:rPr>
          <w:sz w:val="24"/>
          <w:szCs w:val="24"/>
        </w:rPr>
        <w:t xml:space="preserve">The formula used </w:t>
      </w:r>
      <w:r>
        <w:rPr>
          <w:sz w:val="24"/>
          <w:szCs w:val="24"/>
          <w:lang w:val="en-US"/>
        </w:rPr>
        <w:t>is given below</w:t>
      </w:r>
      <w:r w:rsidRPr="00224BAF">
        <w:rPr>
          <w:sz w:val="24"/>
          <w:szCs w:val="24"/>
        </w:rPr>
        <w:t xml:space="preserve"> </w:t>
      </w:r>
    </w:p>
    <w:p w14:paraId="17A9E3A0" w14:textId="77777777" w:rsidR="00FC74E8" w:rsidRPr="00224BAF" w:rsidRDefault="00FC74E8" w:rsidP="00FC74E8">
      <w:pPr>
        <w:spacing w:line="276" w:lineRule="auto"/>
        <w:ind w:left="360"/>
        <w:jc w:val="both"/>
        <w:rPr>
          <w:sz w:val="24"/>
          <w:szCs w:val="24"/>
        </w:rPr>
      </w:pPr>
    </w:p>
    <w:p w14:paraId="6B8E208D" w14:textId="79BA591E" w:rsidR="00FC74E8" w:rsidRPr="00BB4F29" w:rsidRDefault="00E42189" w:rsidP="00FC74E8">
      <w:pPr>
        <w:pStyle w:val="BodyTextIndent2"/>
        <w:spacing w:line="288" w:lineRule="auto"/>
        <w:ind w:left="1134" w:firstLine="360"/>
        <w:rPr>
          <w:lang w:val="en-US"/>
        </w:rPr>
      </w:pPr>
      <w:r>
        <w:rPr>
          <w:noProof/>
          <w:position w:val="-32"/>
          <w:sz w:val="48"/>
          <w:szCs w:val="48"/>
          <w:lang w:val="en-US" w:eastAsia="en-US"/>
        </w:rPr>
        <w:drawing>
          <wp:inline distT="0" distB="0" distL="0" distR="0" wp14:anchorId="1CDAF5B2" wp14:editId="589225A0">
            <wp:extent cx="1657350" cy="76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762000"/>
                    </a:xfrm>
                    <a:prstGeom prst="rect">
                      <a:avLst/>
                    </a:prstGeom>
                    <a:noFill/>
                  </pic:spPr>
                </pic:pic>
              </a:graphicData>
            </a:graphic>
          </wp:inline>
        </w:drawing>
      </w:r>
    </w:p>
    <w:p w14:paraId="4683C09A" w14:textId="77777777" w:rsidR="00FC74E8" w:rsidRPr="00BB4F29" w:rsidRDefault="00FC74E8" w:rsidP="00FC74E8">
      <w:pPr>
        <w:pStyle w:val="BodyTextIndent2"/>
        <w:spacing w:line="288" w:lineRule="auto"/>
        <w:rPr>
          <w:lang w:val="en-US"/>
        </w:rPr>
      </w:pPr>
    </w:p>
    <w:p w14:paraId="4780A5B1" w14:textId="77777777" w:rsidR="00FC74E8" w:rsidRPr="00741E5B" w:rsidRDefault="00FC74E8" w:rsidP="00FC74E8">
      <w:pPr>
        <w:pStyle w:val="BodyTextIndent2"/>
        <w:spacing w:line="288" w:lineRule="auto"/>
        <w:ind w:firstLine="360"/>
        <w:rPr>
          <w:sz w:val="22"/>
        </w:rPr>
      </w:pPr>
      <w:r>
        <w:rPr>
          <w:sz w:val="22"/>
          <w:lang w:val="en-US"/>
        </w:rPr>
        <w:t xml:space="preserve">             Where Ic</w:t>
      </w:r>
      <w:r w:rsidRPr="00741E5B">
        <w:rPr>
          <w:sz w:val="22"/>
        </w:rPr>
        <w:t xml:space="preserve"> = Index for current month</w:t>
      </w:r>
    </w:p>
    <w:p w14:paraId="2D6157A9" w14:textId="77777777" w:rsidR="00FC74E8" w:rsidRPr="00741E5B" w:rsidRDefault="00FC74E8" w:rsidP="00FC74E8">
      <w:pPr>
        <w:pStyle w:val="BodyTextIndent2"/>
        <w:spacing w:line="288" w:lineRule="auto"/>
        <w:ind w:left="720"/>
        <w:rPr>
          <w:sz w:val="22"/>
        </w:rPr>
      </w:pPr>
      <w:r>
        <w:rPr>
          <w:sz w:val="22"/>
          <w:lang w:val="en-US"/>
        </w:rPr>
        <w:t xml:space="preserve">     </w:t>
      </w:r>
      <w:r w:rsidRPr="00741E5B">
        <w:rPr>
          <w:sz w:val="22"/>
        </w:rPr>
        <w:t>Wi = Weight associated with product i</w:t>
      </w:r>
    </w:p>
    <w:p w14:paraId="0A6CB881" w14:textId="77777777" w:rsidR="00FC74E8" w:rsidRPr="00741E5B" w:rsidRDefault="00FC74E8" w:rsidP="00FC74E8">
      <w:pPr>
        <w:pStyle w:val="BodyTextIndent2"/>
        <w:spacing w:line="288" w:lineRule="auto"/>
        <w:ind w:left="720"/>
      </w:pPr>
      <w:r>
        <w:rPr>
          <w:sz w:val="22"/>
          <w:lang w:val="en-US"/>
        </w:rPr>
        <w:t xml:space="preserve">     </w:t>
      </w:r>
      <w:r w:rsidRPr="00741E5B">
        <w:rPr>
          <w:sz w:val="22"/>
        </w:rPr>
        <w:t>Pci = Price of product i for the current month</w:t>
      </w:r>
    </w:p>
    <w:p w14:paraId="07EED2A2" w14:textId="77777777" w:rsidR="00FC74E8" w:rsidRDefault="00FC74E8" w:rsidP="00FC74E8">
      <w:pPr>
        <w:pStyle w:val="BodyTextIndent2"/>
        <w:spacing w:line="288" w:lineRule="auto"/>
        <w:ind w:left="720"/>
        <w:rPr>
          <w:sz w:val="22"/>
        </w:rPr>
      </w:pPr>
      <w:r>
        <w:rPr>
          <w:sz w:val="22"/>
          <w:lang w:val="en-US"/>
        </w:rPr>
        <w:t xml:space="preserve">     </w:t>
      </w:r>
      <w:r w:rsidRPr="00741E5B">
        <w:rPr>
          <w:sz w:val="22"/>
        </w:rPr>
        <w:t xml:space="preserve">Poi = Price for product i for the </w:t>
      </w:r>
      <w:r>
        <w:rPr>
          <w:sz w:val="22"/>
        </w:rPr>
        <w:t>base</w:t>
      </w:r>
      <w:r w:rsidRPr="00741E5B">
        <w:rPr>
          <w:sz w:val="22"/>
        </w:rPr>
        <w:t xml:space="preserve"> period (</w:t>
      </w:r>
      <w:r>
        <w:rPr>
          <w:sz w:val="22"/>
        </w:rPr>
        <w:t>2018</w:t>
      </w:r>
      <w:r w:rsidRPr="00741E5B">
        <w:rPr>
          <w:sz w:val="22"/>
        </w:rPr>
        <w:t>)</w:t>
      </w:r>
    </w:p>
    <w:p w14:paraId="701332F1" w14:textId="77777777" w:rsidR="00FC74E8" w:rsidRPr="00953FD0" w:rsidRDefault="00FC74E8" w:rsidP="00FC74E8">
      <w:pPr>
        <w:pStyle w:val="BodyTextIndent2CharChar"/>
        <w:spacing w:line="288" w:lineRule="auto"/>
        <w:rPr>
          <w:szCs w:val="24"/>
        </w:rPr>
      </w:pPr>
      <w:r>
        <w:rPr>
          <w:szCs w:val="24"/>
        </w:rPr>
        <w:tab/>
      </w:r>
      <w:r>
        <w:rPr>
          <w:szCs w:val="24"/>
        </w:rPr>
        <w:tab/>
      </w:r>
      <w:r>
        <w:rPr>
          <w:szCs w:val="24"/>
        </w:rPr>
        <w:tab/>
      </w:r>
      <w:r>
        <w:rPr>
          <w:szCs w:val="24"/>
        </w:rPr>
        <w:tab/>
        <w:t xml:space="preserve">     </w:t>
      </w:r>
    </w:p>
    <w:p w14:paraId="2B963A31" w14:textId="77777777" w:rsidR="00FC74E8" w:rsidRPr="00567B52" w:rsidRDefault="00FC74E8" w:rsidP="00FC74E8">
      <w:pPr>
        <w:tabs>
          <w:tab w:val="left" w:pos="0"/>
        </w:tabs>
        <w:jc w:val="both"/>
        <w:rPr>
          <w:sz w:val="24"/>
          <w:szCs w:val="24"/>
          <w:lang w:val="en-US"/>
        </w:rPr>
      </w:pPr>
      <w:r w:rsidRPr="00166BDD">
        <w:rPr>
          <w:sz w:val="24"/>
          <w:szCs w:val="24"/>
        </w:rPr>
        <w:t>The PPI-M is calculated at the 5-digit sub-class level of the NSIC Rev.2 by the above formula. The lowest level indices are determined as a geometric average of the price relatives of the basic observations. Indices at the division level (2-digit code) are then derived as a weighted average of the indices of the products falling within each division. Finally, the overall index is obtained as a weighted average of the division indices</w:t>
      </w:r>
      <w:r w:rsidRPr="003A138D">
        <w:rPr>
          <w:sz w:val="24"/>
          <w:szCs w:val="24"/>
        </w:rPr>
        <w:t>.</w:t>
      </w:r>
      <w:r w:rsidRPr="00567B52">
        <w:rPr>
          <w:sz w:val="24"/>
          <w:szCs w:val="24"/>
        </w:rPr>
        <w:t xml:space="preserve"> </w:t>
      </w:r>
    </w:p>
    <w:p w14:paraId="3D434058" w14:textId="77777777" w:rsidR="00FC74E8" w:rsidRDefault="00FC74E8" w:rsidP="00FC74E8">
      <w:pPr>
        <w:tabs>
          <w:tab w:val="left" w:pos="0"/>
        </w:tabs>
        <w:jc w:val="both"/>
        <w:rPr>
          <w:b/>
          <w:sz w:val="24"/>
          <w:szCs w:val="24"/>
          <w:lang w:val="en-US"/>
        </w:rPr>
      </w:pPr>
      <w:r>
        <w:rPr>
          <w:sz w:val="24"/>
          <w:szCs w:val="24"/>
          <w:lang w:val="en-US"/>
        </w:rPr>
        <w:tab/>
      </w:r>
    </w:p>
    <w:p w14:paraId="580841F0" w14:textId="77777777" w:rsidR="00FC74E8" w:rsidRDefault="00FC74E8" w:rsidP="00FC74E8">
      <w:pPr>
        <w:tabs>
          <w:tab w:val="left" w:pos="540"/>
        </w:tabs>
        <w:rPr>
          <w:b/>
          <w:sz w:val="24"/>
          <w:szCs w:val="24"/>
          <w:lang w:val="en-US"/>
        </w:rPr>
      </w:pPr>
    </w:p>
    <w:p w14:paraId="4FD68973" w14:textId="77777777" w:rsidR="00FC74E8" w:rsidRPr="003A138D" w:rsidRDefault="00FC74E8" w:rsidP="00FC74E8">
      <w:pPr>
        <w:tabs>
          <w:tab w:val="left" w:pos="540"/>
        </w:tabs>
        <w:rPr>
          <w:b/>
          <w:sz w:val="24"/>
          <w:szCs w:val="24"/>
          <w:lang w:val="en-US"/>
        </w:rPr>
      </w:pPr>
      <w:r w:rsidRPr="003A138D">
        <w:rPr>
          <w:b/>
          <w:sz w:val="24"/>
          <w:szCs w:val="24"/>
          <w:lang w:val="en-US"/>
        </w:rPr>
        <w:t>9</w:t>
      </w:r>
      <w:r w:rsidRPr="003A138D">
        <w:rPr>
          <w:b/>
          <w:sz w:val="24"/>
          <w:szCs w:val="24"/>
        </w:rPr>
        <w:t>.</w:t>
      </w:r>
      <w:r w:rsidRPr="003A138D">
        <w:rPr>
          <w:b/>
          <w:sz w:val="24"/>
          <w:szCs w:val="24"/>
          <w:lang w:val="en-US"/>
        </w:rPr>
        <w:tab/>
      </w:r>
      <w:r w:rsidRPr="003A138D">
        <w:rPr>
          <w:b/>
          <w:sz w:val="24"/>
          <w:szCs w:val="24"/>
        </w:rPr>
        <w:t>Uses of PPI</w:t>
      </w:r>
    </w:p>
    <w:p w14:paraId="7463E4E1" w14:textId="77777777" w:rsidR="00FC74E8" w:rsidRPr="003A138D" w:rsidRDefault="00FC74E8" w:rsidP="00FC74E8">
      <w:pPr>
        <w:tabs>
          <w:tab w:val="left" w:pos="540"/>
        </w:tabs>
        <w:rPr>
          <w:szCs w:val="24"/>
          <w:lang w:val="en-US"/>
        </w:rPr>
      </w:pPr>
    </w:p>
    <w:p w14:paraId="37507F5A"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The PPI is a leading indicator of the future status of inflation.  Movement of PPI is usually indicative of a similar change of part of the Consumer Price Index (CPI).  PPI can also be used in the economic analysis of inflation transmission process.</w:t>
      </w:r>
    </w:p>
    <w:p w14:paraId="26328407" w14:textId="77777777" w:rsidR="00FC74E8" w:rsidRPr="003A138D" w:rsidRDefault="00FC74E8" w:rsidP="00FC74E8">
      <w:pPr>
        <w:pStyle w:val="BodyTextCharChar"/>
        <w:tabs>
          <w:tab w:val="left" w:pos="0"/>
          <w:tab w:val="left" w:pos="1134"/>
        </w:tabs>
        <w:spacing w:line="240" w:lineRule="auto"/>
        <w:ind w:left="1134" w:hanging="425"/>
        <w:rPr>
          <w:szCs w:val="24"/>
        </w:rPr>
      </w:pPr>
    </w:p>
    <w:p w14:paraId="7AFFBC55"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provides specific price deflators for the computation of national accounts at constant prices in order to measure real growth</w:t>
      </w:r>
    </w:p>
    <w:p w14:paraId="3FE90722" w14:textId="77777777" w:rsidR="00FC74E8" w:rsidRPr="003A138D" w:rsidRDefault="00FC74E8" w:rsidP="00FC74E8">
      <w:pPr>
        <w:pStyle w:val="ListParagraph"/>
        <w:tabs>
          <w:tab w:val="left" w:pos="1134"/>
        </w:tabs>
        <w:ind w:left="1134" w:hanging="425"/>
        <w:rPr>
          <w:sz w:val="24"/>
          <w:szCs w:val="24"/>
        </w:rPr>
      </w:pPr>
    </w:p>
    <w:p w14:paraId="69C37FBC"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is helpful in the formulation of contract agreement.  It can be used as an escalation clause to protect buyers and sellers against inflation or deflation.</w:t>
      </w:r>
    </w:p>
    <w:p w14:paraId="0C084E14" w14:textId="77777777" w:rsidR="00FC74E8" w:rsidRPr="003A138D" w:rsidRDefault="00FC74E8" w:rsidP="00FC74E8">
      <w:pPr>
        <w:pStyle w:val="BodyTextCharChar"/>
        <w:tabs>
          <w:tab w:val="left" w:pos="0"/>
          <w:tab w:val="left" w:pos="1134"/>
        </w:tabs>
        <w:spacing w:line="240" w:lineRule="auto"/>
        <w:ind w:left="1134" w:hanging="425"/>
        <w:rPr>
          <w:szCs w:val="24"/>
        </w:rPr>
      </w:pPr>
    </w:p>
    <w:p w14:paraId="35A815A1" w14:textId="77777777" w:rsidR="00FC74E8" w:rsidRPr="00567B52"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PPI is also used in econometric models, in forecasting and in inventory accounting.</w:t>
      </w:r>
    </w:p>
    <w:p w14:paraId="0C529C74" w14:textId="77777777" w:rsidR="00FC74E8" w:rsidRPr="00567B52" w:rsidRDefault="00FC74E8" w:rsidP="00FC74E8">
      <w:pPr>
        <w:rPr>
          <w:sz w:val="24"/>
          <w:szCs w:val="24"/>
        </w:rPr>
      </w:pPr>
    </w:p>
    <w:p w14:paraId="5848D53F" w14:textId="77777777" w:rsidR="00FC74E8" w:rsidRDefault="00FC74E8" w:rsidP="00FC74E8">
      <w:pPr>
        <w:tabs>
          <w:tab w:val="left" w:pos="540"/>
        </w:tabs>
        <w:rPr>
          <w:b/>
          <w:sz w:val="24"/>
          <w:szCs w:val="24"/>
        </w:rPr>
      </w:pPr>
      <w:r>
        <w:rPr>
          <w:b/>
          <w:sz w:val="24"/>
          <w:szCs w:val="24"/>
          <w:lang w:val="en-US"/>
        </w:rPr>
        <w:t>10</w:t>
      </w:r>
      <w:r w:rsidRPr="00567B52">
        <w:rPr>
          <w:b/>
          <w:sz w:val="24"/>
          <w:szCs w:val="24"/>
        </w:rPr>
        <w:t>.</w:t>
      </w:r>
      <w:r>
        <w:rPr>
          <w:b/>
          <w:sz w:val="24"/>
          <w:szCs w:val="24"/>
          <w:lang w:val="en-US"/>
        </w:rPr>
        <w:tab/>
      </w:r>
      <w:r w:rsidRPr="00567B52">
        <w:rPr>
          <w:b/>
          <w:sz w:val="24"/>
          <w:szCs w:val="24"/>
        </w:rPr>
        <w:t xml:space="preserve">Missing </w:t>
      </w:r>
      <w:r>
        <w:rPr>
          <w:b/>
          <w:sz w:val="24"/>
          <w:szCs w:val="24"/>
        </w:rPr>
        <w:t>p</w:t>
      </w:r>
      <w:r w:rsidRPr="00567B52">
        <w:rPr>
          <w:b/>
          <w:sz w:val="24"/>
          <w:szCs w:val="24"/>
        </w:rPr>
        <w:t>rices</w:t>
      </w:r>
    </w:p>
    <w:p w14:paraId="7D29BA2F" w14:textId="77777777" w:rsidR="00FC74E8" w:rsidRDefault="00FC74E8" w:rsidP="00FC74E8">
      <w:pPr>
        <w:tabs>
          <w:tab w:val="left" w:pos="540"/>
        </w:tabs>
        <w:rPr>
          <w:b/>
          <w:sz w:val="24"/>
          <w:szCs w:val="24"/>
        </w:rPr>
      </w:pPr>
    </w:p>
    <w:p w14:paraId="44D89748" w14:textId="77777777" w:rsidR="00FC74E8" w:rsidRDefault="00FC74E8" w:rsidP="00FC74E8">
      <w:pPr>
        <w:tabs>
          <w:tab w:val="left" w:pos="540"/>
        </w:tabs>
        <w:rPr>
          <w:sz w:val="24"/>
          <w:szCs w:val="24"/>
        </w:rPr>
      </w:pPr>
      <w:r w:rsidRPr="00723C93">
        <w:rPr>
          <w:sz w:val="24"/>
          <w:szCs w:val="24"/>
        </w:rPr>
        <w:t>In case of temporarily missing prices for products, imputation is carried out as per International Monetary Fund’s recommendations.</w:t>
      </w:r>
    </w:p>
    <w:p w14:paraId="443088E3" w14:textId="77777777" w:rsidR="00FC74E8" w:rsidRDefault="00FC74E8" w:rsidP="00FC74E8">
      <w:pPr>
        <w:tabs>
          <w:tab w:val="left" w:pos="540"/>
        </w:tabs>
        <w:rPr>
          <w:sz w:val="24"/>
          <w:szCs w:val="24"/>
        </w:rPr>
      </w:pPr>
    </w:p>
    <w:p w14:paraId="15003D3E" w14:textId="77777777" w:rsidR="00FC74E8" w:rsidRDefault="00FC74E8" w:rsidP="00FC74E8">
      <w:pPr>
        <w:tabs>
          <w:tab w:val="left" w:pos="540"/>
        </w:tabs>
        <w:rPr>
          <w:sz w:val="24"/>
          <w:szCs w:val="24"/>
        </w:rPr>
      </w:pPr>
    </w:p>
    <w:p w14:paraId="453A1FA8" w14:textId="77777777" w:rsidR="00FC74E8" w:rsidRDefault="00FC74E8" w:rsidP="00FC74E8">
      <w:pPr>
        <w:tabs>
          <w:tab w:val="left" w:pos="540"/>
        </w:tabs>
        <w:rPr>
          <w:b/>
          <w:sz w:val="24"/>
          <w:szCs w:val="24"/>
        </w:rPr>
      </w:pPr>
      <w:r>
        <w:rPr>
          <w:b/>
          <w:sz w:val="24"/>
          <w:szCs w:val="24"/>
          <w:lang w:val="en-US"/>
        </w:rPr>
        <w:t>11</w:t>
      </w:r>
      <w:r w:rsidRPr="00567B52">
        <w:rPr>
          <w:b/>
          <w:sz w:val="24"/>
          <w:szCs w:val="24"/>
        </w:rPr>
        <w:t>.</w:t>
      </w:r>
      <w:r>
        <w:rPr>
          <w:b/>
          <w:sz w:val="24"/>
          <w:szCs w:val="24"/>
          <w:lang w:val="en-US"/>
        </w:rPr>
        <w:tab/>
      </w:r>
      <w:r>
        <w:rPr>
          <w:b/>
          <w:sz w:val="24"/>
          <w:szCs w:val="24"/>
        </w:rPr>
        <w:t>Treatment of product permanently d</w:t>
      </w:r>
      <w:r w:rsidRPr="00567B52">
        <w:rPr>
          <w:b/>
          <w:sz w:val="24"/>
          <w:szCs w:val="24"/>
        </w:rPr>
        <w:t xml:space="preserve">isappeared </w:t>
      </w:r>
    </w:p>
    <w:p w14:paraId="61DD4958" w14:textId="77777777" w:rsidR="00FC74E8" w:rsidRPr="00567B52" w:rsidRDefault="00FC74E8" w:rsidP="00FC74E8">
      <w:pPr>
        <w:pStyle w:val="NormalWebCharChar"/>
        <w:tabs>
          <w:tab w:val="left" w:pos="0"/>
        </w:tabs>
        <w:spacing w:before="0" w:beforeAutospacing="0" w:after="0" w:afterAutospacing="0"/>
        <w:ind w:left="-90"/>
        <w:jc w:val="both"/>
        <w:rPr>
          <w:b/>
          <w:szCs w:val="24"/>
        </w:rPr>
      </w:pPr>
      <w:r w:rsidRPr="00567B52">
        <w:rPr>
          <w:b/>
          <w:szCs w:val="24"/>
        </w:rPr>
        <w:t xml:space="preserve">  </w:t>
      </w:r>
    </w:p>
    <w:p w14:paraId="0153A298" w14:textId="77777777" w:rsidR="00FC74E8" w:rsidRDefault="00FC74E8" w:rsidP="00FC74E8">
      <w:pPr>
        <w:pStyle w:val="NormalWebCharChar"/>
        <w:spacing w:before="0" w:beforeAutospacing="0" w:after="0" w:afterAutospacing="0"/>
        <w:jc w:val="both"/>
        <w:rPr>
          <w:b/>
          <w:color w:val="FF0000"/>
          <w:szCs w:val="24"/>
        </w:rPr>
      </w:pPr>
      <w:r w:rsidRPr="00D8339C">
        <w:rPr>
          <w:szCs w:val="24"/>
        </w:rPr>
        <w:t>Products may disappear permanently for various reasons. The products may disappear from the market because new products have been introduced or the establishments from which the price has been collected have stopped selling the product. When a product disappears permanently, a replacement product of a similar nature will be included in the index.</w:t>
      </w:r>
    </w:p>
    <w:p w14:paraId="00914ABC" w14:textId="77777777" w:rsidR="00FC74E8" w:rsidRDefault="00FC74E8" w:rsidP="00FC74E8">
      <w:pPr>
        <w:pStyle w:val="NormalWebCharChar"/>
        <w:spacing w:before="0" w:beforeAutospacing="0" w:after="0" w:afterAutospacing="0"/>
        <w:ind w:firstLine="720"/>
        <w:jc w:val="both"/>
        <w:rPr>
          <w:b/>
          <w:szCs w:val="24"/>
        </w:rPr>
      </w:pPr>
    </w:p>
    <w:p w14:paraId="60ECB389" w14:textId="77777777" w:rsidR="00FC74E8" w:rsidRPr="00567B52" w:rsidRDefault="00FC74E8" w:rsidP="00FC74E8">
      <w:pPr>
        <w:tabs>
          <w:tab w:val="left" w:pos="540"/>
        </w:tabs>
        <w:rPr>
          <w:b/>
          <w:sz w:val="24"/>
          <w:szCs w:val="24"/>
        </w:rPr>
      </w:pPr>
      <w:r w:rsidRPr="00F77F16">
        <w:rPr>
          <w:b/>
          <w:sz w:val="24"/>
          <w:szCs w:val="24"/>
        </w:rPr>
        <w:t>1</w:t>
      </w:r>
      <w:r>
        <w:rPr>
          <w:b/>
          <w:sz w:val="24"/>
          <w:szCs w:val="24"/>
          <w:lang w:val="en-US"/>
        </w:rPr>
        <w:t>2</w:t>
      </w:r>
      <w:r w:rsidRPr="00F77F16">
        <w:rPr>
          <w:b/>
          <w:sz w:val="24"/>
          <w:szCs w:val="24"/>
        </w:rPr>
        <w:t>.</w:t>
      </w:r>
      <w:r>
        <w:rPr>
          <w:b/>
          <w:sz w:val="24"/>
          <w:szCs w:val="24"/>
        </w:rPr>
        <w:tab/>
      </w:r>
      <w:r w:rsidRPr="00567B52">
        <w:rPr>
          <w:b/>
          <w:sz w:val="24"/>
          <w:szCs w:val="24"/>
        </w:rPr>
        <w:t xml:space="preserve">Treatment of </w:t>
      </w:r>
      <w:r>
        <w:rPr>
          <w:b/>
          <w:sz w:val="24"/>
          <w:szCs w:val="24"/>
        </w:rPr>
        <w:t>quality c</w:t>
      </w:r>
      <w:r w:rsidRPr="00567B52">
        <w:rPr>
          <w:b/>
          <w:sz w:val="24"/>
          <w:szCs w:val="24"/>
        </w:rPr>
        <w:t>hange</w:t>
      </w:r>
    </w:p>
    <w:p w14:paraId="73B07EAB" w14:textId="77777777" w:rsidR="00FC74E8" w:rsidRDefault="00FC74E8" w:rsidP="00FC74E8">
      <w:pPr>
        <w:pStyle w:val="NormalWebCharChar"/>
        <w:spacing w:before="0" w:beforeAutospacing="0" w:after="0" w:afterAutospacing="0"/>
        <w:jc w:val="both"/>
        <w:rPr>
          <w:szCs w:val="24"/>
        </w:rPr>
      </w:pPr>
    </w:p>
    <w:p w14:paraId="54F86D4A" w14:textId="77777777" w:rsidR="00FC74E8" w:rsidRDefault="00FC74E8" w:rsidP="00FC74E8">
      <w:pPr>
        <w:tabs>
          <w:tab w:val="left" w:pos="540"/>
        </w:tabs>
        <w:jc w:val="both"/>
        <w:rPr>
          <w:b/>
          <w:sz w:val="24"/>
          <w:szCs w:val="24"/>
          <w:lang w:val="en-US"/>
        </w:rPr>
      </w:pPr>
      <w:r w:rsidRPr="00A74644">
        <w:rPr>
          <w:sz w:val="24"/>
          <w:szCs w:val="24"/>
          <w:lang w:val="en-US"/>
        </w:rPr>
        <w:t>The index is a measure of only “PURE” price changes and should as far as possible measure the price changes of the same products. Hence, the products must not be affected by quality change. If the change is due to quality, an estimate of the proportion of the change attributed to the quality element is made and adjustment done accordingly.</w:t>
      </w:r>
    </w:p>
    <w:p w14:paraId="5985A3CC" w14:textId="77777777" w:rsidR="00FC74E8" w:rsidRDefault="00FC74E8" w:rsidP="00FC74E8">
      <w:pPr>
        <w:tabs>
          <w:tab w:val="left" w:pos="540"/>
        </w:tabs>
        <w:rPr>
          <w:b/>
          <w:sz w:val="24"/>
          <w:szCs w:val="24"/>
          <w:lang w:val="en-US"/>
        </w:rPr>
      </w:pPr>
    </w:p>
    <w:p w14:paraId="76E9A2DF" w14:textId="77777777" w:rsidR="00FC74E8" w:rsidRPr="00CB1CC2" w:rsidRDefault="00FC74E8" w:rsidP="00FC74E8">
      <w:pPr>
        <w:tabs>
          <w:tab w:val="left" w:pos="540"/>
        </w:tabs>
        <w:rPr>
          <w:b/>
          <w:sz w:val="24"/>
          <w:szCs w:val="24"/>
        </w:rPr>
      </w:pPr>
      <w:r w:rsidRPr="00567B52">
        <w:rPr>
          <w:b/>
          <w:sz w:val="24"/>
          <w:szCs w:val="24"/>
        </w:rPr>
        <w:t>1</w:t>
      </w:r>
      <w:r>
        <w:rPr>
          <w:b/>
          <w:sz w:val="24"/>
          <w:szCs w:val="24"/>
          <w:lang w:val="en-US"/>
        </w:rPr>
        <w:t>3</w:t>
      </w:r>
      <w:r w:rsidRPr="00567B52">
        <w:rPr>
          <w:b/>
          <w:sz w:val="24"/>
          <w:szCs w:val="24"/>
        </w:rPr>
        <w:t>.</w:t>
      </w:r>
      <w:r w:rsidRPr="00567B52">
        <w:rPr>
          <w:b/>
          <w:sz w:val="24"/>
          <w:szCs w:val="24"/>
        </w:rPr>
        <w:tab/>
        <w:t>Reliability of the PPI-M</w:t>
      </w:r>
    </w:p>
    <w:p w14:paraId="7C1A3613" w14:textId="77777777" w:rsidR="00FC74E8" w:rsidRPr="00CB1CC2" w:rsidRDefault="00FC74E8" w:rsidP="00FC74E8">
      <w:pPr>
        <w:pStyle w:val="NormalWebCharChar"/>
        <w:jc w:val="both"/>
        <w:rPr>
          <w:szCs w:val="24"/>
        </w:rPr>
      </w:pPr>
      <w:r w:rsidRPr="00CB1CC2">
        <w:rPr>
          <w:szCs w:val="24"/>
        </w:rPr>
        <w:t>The statistical accuracy of the PPI-M depends heavily on the quality of information provided by the selected establishments (respondents). This office places great emphasis on the need for reporting effective selling prices, i.e. prices after discounts and other price deductions rather than the list or catalogue prices</w:t>
      </w:r>
      <w:r>
        <w:rPr>
          <w:szCs w:val="24"/>
        </w:rPr>
        <w:t>.</w:t>
      </w:r>
    </w:p>
    <w:p w14:paraId="14997ADB" w14:textId="77777777" w:rsidR="00FC74E8" w:rsidRDefault="00FC74E8" w:rsidP="00FC74E8">
      <w:pPr>
        <w:pStyle w:val="NormalWebCharChar"/>
        <w:jc w:val="both"/>
        <w:rPr>
          <w:szCs w:val="24"/>
        </w:rPr>
      </w:pPr>
      <w:r w:rsidRPr="00CB1CC2">
        <w:rPr>
          <w:szCs w:val="24"/>
        </w:rPr>
        <w:t>Standard editing procedures are used to validate the accuracy and reliability of the data. Collected prices are validated during the field work and inconsistencies discussed with the respondents and corrected.</w:t>
      </w:r>
    </w:p>
    <w:p w14:paraId="5F0AD216" w14:textId="77777777" w:rsidR="00F60276" w:rsidRPr="000572FC" w:rsidRDefault="00F60276" w:rsidP="00F60276">
      <w:pPr>
        <w:pStyle w:val="NormalWebCharChar"/>
        <w:jc w:val="both"/>
        <w:rPr>
          <w:szCs w:val="24"/>
        </w:rPr>
      </w:pPr>
      <w:r w:rsidRPr="00CB1CC2">
        <w:rPr>
          <w:szCs w:val="24"/>
        </w:rPr>
        <w:t>Further computer checks are made at office level when compiling the indices. Comparison is also made with the CPI and with the import/export price indices. Systematic analyzes of the source data are made in the context of weight and base year revisions that occur every five years.</w:t>
      </w:r>
    </w:p>
    <w:p w14:paraId="3D2A8E7A" w14:textId="77777777" w:rsidR="00F60276" w:rsidRDefault="00F60276" w:rsidP="00FC74E8">
      <w:pPr>
        <w:pStyle w:val="NormalWebCharChar"/>
        <w:jc w:val="both"/>
        <w:rPr>
          <w:szCs w:val="24"/>
        </w:rPr>
      </w:pPr>
    </w:p>
    <w:sectPr w:rsidR="00F60276" w:rsidSect="003856F8">
      <w:footnotePr>
        <w:numRestart w:val="eachSect"/>
      </w:footnotePr>
      <w:pgSz w:w="11907" w:h="16840" w:code="9"/>
      <w:pgMar w:top="1440" w:right="1368" w:bottom="1440" w:left="1440" w:header="720" w:footer="720" w:gutter="0"/>
      <w:pgNumType w:start="1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2AEE" w14:textId="77777777" w:rsidR="007C0DF0" w:rsidRDefault="007C0DF0">
      <w:r>
        <w:separator/>
      </w:r>
    </w:p>
  </w:endnote>
  <w:endnote w:type="continuationSeparator" w:id="0">
    <w:p w14:paraId="3B8C17C2" w14:textId="77777777" w:rsidR="007C0DF0" w:rsidRDefault="007C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B921" w14:textId="77777777" w:rsidR="00041FB2" w:rsidRDefault="00041FB2">
    <w:pPr>
      <w:pStyle w:val="Footer"/>
    </w:pPr>
  </w:p>
  <w:p w14:paraId="6DD8034C" w14:textId="77777777" w:rsidR="00041FB2" w:rsidRDefault="00041FB2">
    <w:pPr>
      <w:pStyle w:val="Footer"/>
    </w:pPr>
  </w:p>
  <w:p w14:paraId="1303726C" w14:textId="77777777" w:rsidR="00041FB2" w:rsidRDefault="0004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19B0" w14:textId="77777777" w:rsidR="007C0DF0" w:rsidRDefault="007C0DF0">
      <w:r>
        <w:separator/>
      </w:r>
    </w:p>
  </w:footnote>
  <w:footnote w:type="continuationSeparator" w:id="0">
    <w:p w14:paraId="1DD0F2C8" w14:textId="77777777" w:rsidR="007C0DF0" w:rsidRDefault="007C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A15" w14:textId="77777777" w:rsidR="00041FB2" w:rsidRDefault="00041FB2">
    <w:pPr>
      <w:pStyle w:val="Header"/>
      <w:jc w:val="center"/>
    </w:pPr>
  </w:p>
  <w:p w14:paraId="302C5005" w14:textId="77777777" w:rsidR="00041FB2" w:rsidRPr="00DD0476" w:rsidRDefault="00041FB2">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48E" w14:textId="0A5B9927" w:rsidR="00041FB2" w:rsidRPr="00F01C98" w:rsidRDefault="00041FB2">
    <w:pPr>
      <w:pStyle w:val="Header"/>
      <w:jc w:val="center"/>
      <w:rPr>
        <w:sz w:val="22"/>
        <w:szCs w:val="22"/>
      </w:rPr>
    </w:pPr>
    <w:r>
      <w:rPr>
        <w:sz w:val="22"/>
        <w:szCs w:val="22"/>
      </w:rPr>
      <w:t xml:space="preserve"> </w:t>
    </w:r>
    <w:r w:rsidRPr="00F01C98">
      <w:rPr>
        <w:sz w:val="22"/>
        <w:szCs w:val="22"/>
      </w:rPr>
      <w:fldChar w:fldCharType="begin"/>
    </w:r>
    <w:r w:rsidRPr="00F01C98">
      <w:rPr>
        <w:sz w:val="22"/>
        <w:szCs w:val="22"/>
      </w:rPr>
      <w:instrText xml:space="preserve"> PAGE   \* MERGEFORMAT </w:instrText>
    </w:r>
    <w:r w:rsidRPr="00F01C98">
      <w:rPr>
        <w:sz w:val="22"/>
        <w:szCs w:val="22"/>
      </w:rPr>
      <w:fldChar w:fldCharType="separate"/>
    </w:r>
    <w:r w:rsidR="009274E2">
      <w:rPr>
        <w:noProof/>
        <w:sz w:val="22"/>
        <w:szCs w:val="22"/>
      </w:rPr>
      <w:t>5</w:t>
    </w:r>
    <w:r w:rsidRPr="00F01C98">
      <w:rPr>
        <w:sz w:val="22"/>
        <w:szCs w:val="22"/>
      </w:rPr>
      <w:fldChar w:fldCharType="end"/>
    </w:r>
  </w:p>
  <w:p w14:paraId="1FCBB98E" w14:textId="77777777" w:rsidR="00041FB2" w:rsidRDefault="000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6C1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146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D4E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DC24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BE7D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4B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6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8C3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BAC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FEF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4CAA95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123813"/>
    <w:multiLevelType w:val="hybridMultilevel"/>
    <w:tmpl w:val="E56600C2"/>
    <w:lvl w:ilvl="0" w:tplc="5D226EF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15:restartNumberingAfterBreak="0">
    <w:nsid w:val="12B13975"/>
    <w:multiLevelType w:val="hybridMultilevel"/>
    <w:tmpl w:val="8BA4BCDC"/>
    <w:lvl w:ilvl="0" w:tplc="61488F80">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3" w15:restartNumberingAfterBreak="0">
    <w:nsid w:val="164577C7"/>
    <w:multiLevelType w:val="hybridMultilevel"/>
    <w:tmpl w:val="156C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C35D5"/>
    <w:multiLevelType w:val="hybridMultilevel"/>
    <w:tmpl w:val="B770D700"/>
    <w:lvl w:ilvl="0" w:tplc="70D86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6161DE"/>
    <w:multiLevelType w:val="hybridMultilevel"/>
    <w:tmpl w:val="E9B0B65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8DF2FB7"/>
    <w:multiLevelType w:val="hybridMultilevel"/>
    <w:tmpl w:val="1D46825C"/>
    <w:lvl w:ilvl="0" w:tplc="176E5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071125"/>
    <w:multiLevelType w:val="hybridMultilevel"/>
    <w:tmpl w:val="D82ED5F0"/>
    <w:lvl w:ilvl="0" w:tplc="EA18424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8" w15:restartNumberingAfterBreak="0">
    <w:nsid w:val="4EFA1EAD"/>
    <w:multiLevelType w:val="hybridMultilevel"/>
    <w:tmpl w:val="8936441E"/>
    <w:lvl w:ilvl="0" w:tplc="9DF08908">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8D276E"/>
    <w:multiLevelType w:val="hybridMultilevel"/>
    <w:tmpl w:val="1AA80ED4"/>
    <w:lvl w:ilvl="0" w:tplc="17AA4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E2450"/>
    <w:multiLevelType w:val="hybridMultilevel"/>
    <w:tmpl w:val="77E0337E"/>
    <w:lvl w:ilvl="0" w:tplc="4C3E5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957"/>
    <w:multiLevelType w:val="hybridMultilevel"/>
    <w:tmpl w:val="4E6E60F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9"/>
  </w:num>
  <w:num w:numId="14">
    <w:abstractNumId w:val="17"/>
  </w:num>
  <w:num w:numId="15">
    <w:abstractNumId w:val="11"/>
  </w:num>
  <w:num w:numId="16">
    <w:abstractNumId w:val="13"/>
  </w:num>
  <w:num w:numId="17">
    <w:abstractNumId w:val="20"/>
  </w:num>
  <w:num w:numId="18">
    <w:abstractNumId w:val="14"/>
  </w:num>
  <w:num w:numId="19">
    <w:abstractNumId w:val="16"/>
  </w:num>
  <w:num w:numId="20">
    <w:abstractNumId w:val="1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11B"/>
    <w:rsid w:val="000011B4"/>
    <w:rsid w:val="00001F12"/>
    <w:rsid w:val="000029C1"/>
    <w:rsid w:val="000045E0"/>
    <w:rsid w:val="00004C79"/>
    <w:rsid w:val="000069AE"/>
    <w:rsid w:val="00007287"/>
    <w:rsid w:val="00007748"/>
    <w:rsid w:val="00010873"/>
    <w:rsid w:val="000111AC"/>
    <w:rsid w:val="00011FE3"/>
    <w:rsid w:val="00012E05"/>
    <w:rsid w:val="000146ED"/>
    <w:rsid w:val="00015012"/>
    <w:rsid w:val="00017D34"/>
    <w:rsid w:val="00022159"/>
    <w:rsid w:val="00022387"/>
    <w:rsid w:val="00022491"/>
    <w:rsid w:val="00022870"/>
    <w:rsid w:val="0002530C"/>
    <w:rsid w:val="0002694D"/>
    <w:rsid w:val="00026E5C"/>
    <w:rsid w:val="0003072D"/>
    <w:rsid w:val="000316F3"/>
    <w:rsid w:val="00032120"/>
    <w:rsid w:val="000331E4"/>
    <w:rsid w:val="000346E4"/>
    <w:rsid w:val="0003497E"/>
    <w:rsid w:val="00034D93"/>
    <w:rsid w:val="00037218"/>
    <w:rsid w:val="00037F22"/>
    <w:rsid w:val="00040F12"/>
    <w:rsid w:val="00041762"/>
    <w:rsid w:val="00041FB2"/>
    <w:rsid w:val="00045029"/>
    <w:rsid w:val="000528ED"/>
    <w:rsid w:val="000536CB"/>
    <w:rsid w:val="00055A02"/>
    <w:rsid w:val="00055AA5"/>
    <w:rsid w:val="00055C2F"/>
    <w:rsid w:val="0005713A"/>
    <w:rsid w:val="00057516"/>
    <w:rsid w:val="00060D4D"/>
    <w:rsid w:val="00062AC5"/>
    <w:rsid w:val="00062C40"/>
    <w:rsid w:val="00062FCD"/>
    <w:rsid w:val="00064740"/>
    <w:rsid w:val="00064975"/>
    <w:rsid w:val="00064A72"/>
    <w:rsid w:val="000655B9"/>
    <w:rsid w:val="0006628F"/>
    <w:rsid w:val="000662E1"/>
    <w:rsid w:val="000667AA"/>
    <w:rsid w:val="00066BB8"/>
    <w:rsid w:val="000675C4"/>
    <w:rsid w:val="00071B31"/>
    <w:rsid w:val="00072374"/>
    <w:rsid w:val="000730E2"/>
    <w:rsid w:val="000744FC"/>
    <w:rsid w:val="000761A7"/>
    <w:rsid w:val="00077696"/>
    <w:rsid w:val="000779AE"/>
    <w:rsid w:val="00077B8B"/>
    <w:rsid w:val="0008025E"/>
    <w:rsid w:val="00080FAD"/>
    <w:rsid w:val="000822C9"/>
    <w:rsid w:val="000824FD"/>
    <w:rsid w:val="000839D2"/>
    <w:rsid w:val="0008497C"/>
    <w:rsid w:val="000855F2"/>
    <w:rsid w:val="00085C8E"/>
    <w:rsid w:val="0009116D"/>
    <w:rsid w:val="000913CD"/>
    <w:rsid w:val="000913E0"/>
    <w:rsid w:val="00091FB2"/>
    <w:rsid w:val="00092C09"/>
    <w:rsid w:val="000936F7"/>
    <w:rsid w:val="00093997"/>
    <w:rsid w:val="00093D83"/>
    <w:rsid w:val="00094925"/>
    <w:rsid w:val="000953D8"/>
    <w:rsid w:val="00097790"/>
    <w:rsid w:val="000A01F1"/>
    <w:rsid w:val="000A0645"/>
    <w:rsid w:val="000A0910"/>
    <w:rsid w:val="000A0B25"/>
    <w:rsid w:val="000A0CAE"/>
    <w:rsid w:val="000A1391"/>
    <w:rsid w:val="000A152D"/>
    <w:rsid w:val="000A1B54"/>
    <w:rsid w:val="000A37F2"/>
    <w:rsid w:val="000A3B6A"/>
    <w:rsid w:val="000A5B04"/>
    <w:rsid w:val="000A6507"/>
    <w:rsid w:val="000A7E3B"/>
    <w:rsid w:val="000B02ED"/>
    <w:rsid w:val="000B330C"/>
    <w:rsid w:val="000B3B24"/>
    <w:rsid w:val="000B43E1"/>
    <w:rsid w:val="000B4CFF"/>
    <w:rsid w:val="000B57EA"/>
    <w:rsid w:val="000B636E"/>
    <w:rsid w:val="000B6BD0"/>
    <w:rsid w:val="000B6EEF"/>
    <w:rsid w:val="000C00C1"/>
    <w:rsid w:val="000C0DC1"/>
    <w:rsid w:val="000C10E8"/>
    <w:rsid w:val="000C183A"/>
    <w:rsid w:val="000C34A7"/>
    <w:rsid w:val="000C3CAB"/>
    <w:rsid w:val="000C40FB"/>
    <w:rsid w:val="000C422F"/>
    <w:rsid w:val="000C5205"/>
    <w:rsid w:val="000D0BA8"/>
    <w:rsid w:val="000D0DD8"/>
    <w:rsid w:val="000D177E"/>
    <w:rsid w:val="000D197B"/>
    <w:rsid w:val="000D1D85"/>
    <w:rsid w:val="000D2DEB"/>
    <w:rsid w:val="000D49D1"/>
    <w:rsid w:val="000D4B35"/>
    <w:rsid w:val="000D6A4E"/>
    <w:rsid w:val="000D71B8"/>
    <w:rsid w:val="000E022B"/>
    <w:rsid w:val="000E12E5"/>
    <w:rsid w:val="000E3101"/>
    <w:rsid w:val="000E39A3"/>
    <w:rsid w:val="000E538F"/>
    <w:rsid w:val="000E6339"/>
    <w:rsid w:val="000E6870"/>
    <w:rsid w:val="000F21DE"/>
    <w:rsid w:val="000F269B"/>
    <w:rsid w:val="000F277F"/>
    <w:rsid w:val="000F2ED6"/>
    <w:rsid w:val="000F4690"/>
    <w:rsid w:val="000F4C6F"/>
    <w:rsid w:val="000F54D0"/>
    <w:rsid w:val="000F5E85"/>
    <w:rsid w:val="000F6579"/>
    <w:rsid w:val="000F6697"/>
    <w:rsid w:val="000F7355"/>
    <w:rsid w:val="00100850"/>
    <w:rsid w:val="00100DFF"/>
    <w:rsid w:val="0010121D"/>
    <w:rsid w:val="0010158D"/>
    <w:rsid w:val="00101E98"/>
    <w:rsid w:val="001020D3"/>
    <w:rsid w:val="001022FC"/>
    <w:rsid w:val="00102DFB"/>
    <w:rsid w:val="001054FD"/>
    <w:rsid w:val="00107A2B"/>
    <w:rsid w:val="00107BDD"/>
    <w:rsid w:val="001102EF"/>
    <w:rsid w:val="0011134E"/>
    <w:rsid w:val="001113B9"/>
    <w:rsid w:val="0011377A"/>
    <w:rsid w:val="00114F49"/>
    <w:rsid w:val="00116657"/>
    <w:rsid w:val="00116C3F"/>
    <w:rsid w:val="001205CA"/>
    <w:rsid w:val="00120A62"/>
    <w:rsid w:val="001228CF"/>
    <w:rsid w:val="00122B44"/>
    <w:rsid w:val="0012304B"/>
    <w:rsid w:val="001233B2"/>
    <w:rsid w:val="0012428B"/>
    <w:rsid w:val="0012454A"/>
    <w:rsid w:val="00125C2B"/>
    <w:rsid w:val="00125F6E"/>
    <w:rsid w:val="00127119"/>
    <w:rsid w:val="00127AF0"/>
    <w:rsid w:val="00131322"/>
    <w:rsid w:val="00131D74"/>
    <w:rsid w:val="00134680"/>
    <w:rsid w:val="00134ED1"/>
    <w:rsid w:val="00135C88"/>
    <w:rsid w:val="00136DC4"/>
    <w:rsid w:val="001403DC"/>
    <w:rsid w:val="001409E4"/>
    <w:rsid w:val="001417F1"/>
    <w:rsid w:val="00141D43"/>
    <w:rsid w:val="00142BBF"/>
    <w:rsid w:val="00143F68"/>
    <w:rsid w:val="00144BB5"/>
    <w:rsid w:val="0014575F"/>
    <w:rsid w:val="00146D31"/>
    <w:rsid w:val="00147995"/>
    <w:rsid w:val="0015000B"/>
    <w:rsid w:val="001521A3"/>
    <w:rsid w:val="001534D7"/>
    <w:rsid w:val="001562B6"/>
    <w:rsid w:val="00156680"/>
    <w:rsid w:val="00156EBF"/>
    <w:rsid w:val="001579D4"/>
    <w:rsid w:val="00157C41"/>
    <w:rsid w:val="00160099"/>
    <w:rsid w:val="00162956"/>
    <w:rsid w:val="00162D54"/>
    <w:rsid w:val="00162D6D"/>
    <w:rsid w:val="00163B64"/>
    <w:rsid w:val="00164A55"/>
    <w:rsid w:val="00164DFA"/>
    <w:rsid w:val="001650CD"/>
    <w:rsid w:val="00166097"/>
    <w:rsid w:val="00170371"/>
    <w:rsid w:val="001721D2"/>
    <w:rsid w:val="00172A27"/>
    <w:rsid w:val="00173567"/>
    <w:rsid w:val="00173D36"/>
    <w:rsid w:val="0017499F"/>
    <w:rsid w:val="001759B1"/>
    <w:rsid w:val="001760B2"/>
    <w:rsid w:val="00176255"/>
    <w:rsid w:val="00176CE1"/>
    <w:rsid w:val="00176D85"/>
    <w:rsid w:val="001779F3"/>
    <w:rsid w:val="00177F07"/>
    <w:rsid w:val="00180F00"/>
    <w:rsid w:val="00181386"/>
    <w:rsid w:val="001813C5"/>
    <w:rsid w:val="00182ADA"/>
    <w:rsid w:val="0018335C"/>
    <w:rsid w:val="00183853"/>
    <w:rsid w:val="00185EC9"/>
    <w:rsid w:val="001867EC"/>
    <w:rsid w:val="00186FFB"/>
    <w:rsid w:val="00187428"/>
    <w:rsid w:val="0019092F"/>
    <w:rsid w:val="00190A42"/>
    <w:rsid w:val="00191A5B"/>
    <w:rsid w:val="00191FEA"/>
    <w:rsid w:val="00192C9E"/>
    <w:rsid w:val="00194122"/>
    <w:rsid w:val="00194228"/>
    <w:rsid w:val="001945FA"/>
    <w:rsid w:val="00194B60"/>
    <w:rsid w:val="001953B4"/>
    <w:rsid w:val="00196159"/>
    <w:rsid w:val="001A0534"/>
    <w:rsid w:val="001A0D68"/>
    <w:rsid w:val="001A1192"/>
    <w:rsid w:val="001A1B72"/>
    <w:rsid w:val="001A53C6"/>
    <w:rsid w:val="001A5876"/>
    <w:rsid w:val="001A5CC4"/>
    <w:rsid w:val="001A7FDC"/>
    <w:rsid w:val="001B013E"/>
    <w:rsid w:val="001B05DE"/>
    <w:rsid w:val="001B0B5F"/>
    <w:rsid w:val="001B1233"/>
    <w:rsid w:val="001B1707"/>
    <w:rsid w:val="001B1A4F"/>
    <w:rsid w:val="001B1AEC"/>
    <w:rsid w:val="001B2557"/>
    <w:rsid w:val="001B2F16"/>
    <w:rsid w:val="001B6409"/>
    <w:rsid w:val="001B689F"/>
    <w:rsid w:val="001B73BC"/>
    <w:rsid w:val="001B7B9B"/>
    <w:rsid w:val="001B7F0C"/>
    <w:rsid w:val="001C01B3"/>
    <w:rsid w:val="001C0654"/>
    <w:rsid w:val="001C18C9"/>
    <w:rsid w:val="001C1D5D"/>
    <w:rsid w:val="001C229D"/>
    <w:rsid w:val="001C2302"/>
    <w:rsid w:val="001C29F0"/>
    <w:rsid w:val="001C36B3"/>
    <w:rsid w:val="001C3833"/>
    <w:rsid w:val="001C47B0"/>
    <w:rsid w:val="001C4DA1"/>
    <w:rsid w:val="001C5628"/>
    <w:rsid w:val="001C593F"/>
    <w:rsid w:val="001C5B7B"/>
    <w:rsid w:val="001C62CD"/>
    <w:rsid w:val="001C6679"/>
    <w:rsid w:val="001C6F4D"/>
    <w:rsid w:val="001D0F3D"/>
    <w:rsid w:val="001D1D89"/>
    <w:rsid w:val="001D2783"/>
    <w:rsid w:val="001D54A1"/>
    <w:rsid w:val="001D5513"/>
    <w:rsid w:val="001E217E"/>
    <w:rsid w:val="001E35BD"/>
    <w:rsid w:val="001E3F99"/>
    <w:rsid w:val="001E6505"/>
    <w:rsid w:val="001E6BC4"/>
    <w:rsid w:val="001E7DC8"/>
    <w:rsid w:val="001F0436"/>
    <w:rsid w:val="001F0498"/>
    <w:rsid w:val="001F2FFB"/>
    <w:rsid w:val="001F4C47"/>
    <w:rsid w:val="001F525D"/>
    <w:rsid w:val="001F5664"/>
    <w:rsid w:val="001F6845"/>
    <w:rsid w:val="001F7FFE"/>
    <w:rsid w:val="00201DD6"/>
    <w:rsid w:val="00201E8E"/>
    <w:rsid w:val="0020433D"/>
    <w:rsid w:val="0020457E"/>
    <w:rsid w:val="00204FB8"/>
    <w:rsid w:val="002058AF"/>
    <w:rsid w:val="002059E9"/>
    <w:rsid w:val="0020626F"/>
    <w:rsid w:val="0020647D"/>
    <w:rsid w:val="00213A08"/>
    <w:rsid w:val="00214105"/>
    <w:rsid w:val="00214ED7"/>
    <w:rsid w:val="002167AB"/>
    <w:rsid w:val="00217E58"/>
    <w:rsid w:val="00217E61"/>
    <w:rsid w:val="00220A36"/>
    <w:rsid w:val="00222AA7"/>
    <w:rsid w:val="00222AB1"/>
    <w:rsid w:val="00222DEA"/>
    <w:rsid w:val="00223E49"/>
    <w:rsid w:val="002240AE"/>
    <w:rsid w:val="002249A5"/>
    <w:rsid w:val="00224A40"/>
    <w:rsid w:val="00224F51"/>
    <w:rsid w:val="00225548"/>
    <w:rsid w:val="0023142D"/>
    <w:rsid w:val="00232857"/>
    <w:rsid w:val="00233C95"/>
    <w:rsid w:val="00234715"/>
    <w:rsid w:val="0023757A"/>
    <w:rsid w:val="0023767B"/>
    <w:rsid w:val="0024007D"/>
    <w:rsid w:val="00241280"/>
    <w:rsid w:val="00241614"/>
    <w:rsid w:val="00241684"/>
    <w:rsid w:val="00241753"/>
    <w:rsid w:val="002425F9"/>
    <w:rsid w:val="00242864"/>
    <w:rsid w:val="002439B5"/>
    <w:rsid w:val="0024455A"/>
    <w:rsid w:val="002447D6"/>
    <w:rsid w:val="00245C57"/>
    <w:rsid w:val="00246B2C"/>
    <w:rsid w:val="00247A58"/>
    <w:rsid w:val="0025002F"/>
    <w:rsid w:val="0025004D"/>
    <w:rsid w:val="0025171E"/>
    <w:rsid w:val="0025252D"/>
    <w:rsid w:val="00253DF4"/>
    <w:rsid w:val="00254D4D"/>
    <w:rsid w:val="002553EC"/>
    <w:rsid w:val="00255610"/>
    <w:rsid w:val="00255C40"/>
    <w:rsid w:val="002576E9"/>
    <w:rsid w:val="00257F86"/>
    <w:rsid w:val="00260868"/>
    <w:rsid w:val="00260FFD"/>
    <w:rsid w:val="002621A9"/>
    <w:rsid w:val="0026259B"/>
    <w:rsid w:val="00262912"/>
    <w:rsid w:val="00262D81"/>
    <w:rsid w:val="00262FDF"/>
    <w:rsid w:val="00263C60"/>
    <w:rsid w:val="00265894"/>
    <w:rsid w:val="00265DFA"/>
    <w:rsid w:val="00266168"/>
    <w:rsid w:val="00266BDB"/>
    <w:rsid w:val="00266C8B"/>
    <w:rsid w:val="00266FF8"/>
    <w:rsid w:val="002671BE"/>
    <w:rsid w:val="00267503"/>
    <w:rsid w:val="002677C1"/>
    <w:rsid w:val="00272251"/>
    <w:rsid w:val="00273C63"/>
    <w:rsid w:val="0027429F"/>
    <w:rsid w:val="00275371"/>
    <w:rsid w:val="002768FB"/>
    <w:rsid w:val="00277D8F"/>
    <w:rsid w:val="002807B2"/>
    <w:rsid w:val="0028082E"/>
    <w:rsid w:val="00281B38"/>
    <w:rsid w:val="002821A4"/>
    <w:rsid w:val="00282D92"/>
    <w:rsid w:val="0028350A"/>
    <w:rsid w:val="00284397"/>
    <w:rsid w:val="00284AE0"/>
    <w:rsid w:val="002852E7"/>
    <w:rsid w:val="00286441"/>
    <w:rsid w:val="00287D6A"/>
    <w:rsid w:val="00287E58"/>
    <w:rsid w:val="00291317"/>
    <w:rsid w:val="00291788"/>
    <w:rsid w:val="00292FFF"/>
    <w:rsid w:val="00293177"/>
    <w:rsid w:val="00294792"/>
    <w:rsid w:val="00294EE9"/>
    <w:rsid w:val="00295125"/>
    <w:rsid w:val="00295B01"/>
    <w:rsid w:val="00296DB5"/>
    <w:rsid w:val="002A0565"/>
    <w:rsid w:val="002A0727"/>
    <w:rsid w:val="002A1750"/>
    <w:rsid w:val="002A190D"/>
    <w:rsid w:val="002A4414"/>
    <w:rsid w:val="002A4912"/>
    <w:rsid w:val="002A4997"/>
    <w:rsid w:val="002A4F40"/>
    <w:rsid w:val="002A5FFA"/>
    <w:rsid w:val="002A74CF"/>
    <w:rsid w:val="002A7500"/>
    <w:rsid w:val="002A7596"/>
    <w:rsid w:val="002B0116"/>
    <w:rsid w:val="002B0FF6"/>
    <w:rsid w:val="002B1005"/>
    <w:rsid w:val="002B1C4D"/>
    <w:rsid w:val="002B1D3F"/>
    <w:rsid w:val="002B346B"/>
    <w:rsid w:val="002B4CCA"/>
    <w:rsid w:val="002B4F1E"/>
    <w:rsid w:val="002B5642"/>
    <w:rsid w:val="002B67A6"/>
    <w:rsid w:val="002B7466"/>
    <w:rsid w:val="002B75D1"/>
    <w:rsid w:val="002C02D1"/>
    <w:rsid w:val="002C26ED"/>
    <w:rsid w:val="002C37F0"/>
    <w:rsid w:val="002C5B53"/>
    <w:rsid w:val="002C5CEE"/>
    <w:rsid w:val="002C6757"/>
    <w:rsid w:val="002C7E49"/>
    <w:rsid w:val="002C7F13"/>
    <w:rsid w:val="002D1679"/>
    <w:rsid w:val="002D2996"/>
    <w:rsid w:val="002D6653"/>
    <w:rsid w:val="002E2048"/>
    <w:rsid w:val="002E4E0A"/>
    <w:rsid w:val="002E540C"/>
    <w:rsid w:val="002E59BD"/>
    <w:rsid w:val="002E75A4"/>
    <w:rsid w:val="002E7C97"/>
    <w:rsid w:val="002F0A76"/>
    <w:rsid w:val="002F0D61"/>
    <w:rsid w:val="002F2A76"/>
    <w:rsid w:val="002F3F96"/>
    <w:rsid w:val="002F5A09"/>
    <w:rsid w:val="002F6FCF"/>
    <w:rsid w:val="002F794E"/>
    <w:rsid w:val="002F7B5A"/>
    <w:rsid w:val="003018BD"/>
    <w:rsid w:val="003028E7"/>
    <w:rsid w:val="00302CA5"/>
    <w:rsid w:val="00302D27"/>
    <w:rsid w:val="00302DE3"/>
    <w:rsid w:val="0030311B"/>
    <w:rsid w:val="003042A4"/>
    <w:rsid w:val="003048E0"/>
    <w:rsid w:val="0030669E"/>
    <w:rsid w:val="00306FBA"/>
    <w:rsid w:val="00307C4B"/>
    <w:rsid w:val="0031097C"/>
    <w:rsid w:val="0031116E"/>
    <w:rsid w:val="00313F66"/>
    <w:rsid w:val="0031451C"/>
    <w:rsid w:val="00314AA1"/>
    <w:rsid w:val="00315E35"/>
    <w:rsid w:val="00320F26"/>
    <w:rsid w:val="0032127F"/>
    <w:rsid w:val="003228E4"/>
    <w:rsid w:val="003228E8"/>
    <w:rsid w:val="00323119"/>
    <w:rsid w:val="003258B0"/>
    <w:rsid w:val="003268F3"/>
    <w:rsid w:val="00326D34"/>
    <w:rsid w:val="0032736C"/>
    <w:rsid w:val="00327F27"/>
    <w:rsid w:val="00330388"/>
    <w:rsid w:val="00331D1F"/>
    <w:rsid w:val="0033362A"/>
    <w:rsid w:val="00333E67"/>
    <w:rsid w:val="00335CE5"/>
    <w:rsid w:val="0033627E"/>
    <w:rsid w:val="00336417"/>
    <w:rsid w:val="003368EC"/>
    <w:rsid w:val="00337339"/>
    <w:rsid w:val="003401C1"/>
    <w:rsid w:val="00341102"/>
    <w:rsid w:val="00341ADE"/>
    <w:rsid w:val="00342F21"/>
    <w:rsid w:val="0034311B"/>
    <w:rsid w:val="00344B7E"/>
    <w:rsid w:val="003467E7"/>
    <w:rsid w:val="003469F5"/>
    <w:rsid w:val="0034760F"/>
    <w:rsid w:val="00347851"/>
    <w:rsid w:val="00350104"/>
    <w:rsid w:val="0035048E"/>
    <w:rsid w:val="003533D3"/>
    <w:rsid w:val="0035481B"/>
    <w:rsid w:val="00355729"/>
    <w:rsid w:val="00357A8B"/>
    <w:rsid w:val="00360635"/>
    <w:rsid w:val="00361F50"/>
    <w:rsid w:val="00362AA4"/>
    <w:rsid w:val="003658BB"/>
    <w:rsid w:val="00365E6D"/>
    <w:rsid w:val="00365F0C"/>
    <w:rsid w:val="003663A9"/>
    <w:rsid w:val="00367354"/>
    <w:rsid w:val="0036770E"/>
    <w:rsid w:val="00367856"/>
    <w:rsid w:val="00367D9A"/>
    <w:rsid w:val="00370689"/>
    <w:rsid w:val="00371404"/>
    <w:rsid w:val="003714AE"/>
    <w:rsid w:val="00371BA1"/>
    <w:rsid w:val="00372672"/>
    <w:rsid w:val="00374FE5"/>
    <w:rsid w:val="003754E4"/>
    <w:rsid w:val="00377FB1"/>
    <w:rsid w:val="0038019E"/>
    <w:rsid w:val="003819D6"/>
    <w:rsid w:val="00381C51"/>
    <w:rsid w:val="0038316F"/>
    <w:rsid w:val="00383698"/>
    <w:rsid w:val="003839D1"/>
    <w:rsid w:val="003840A3"/>
    <w:rsid w:val="00384580"/>
    <w:rsid w:val="0038475C"/>
    <w:rsid w:val="00384E47"/>
    <w:rsid w:val="00384EC2"/>
    <w:rsid w:val="003850CB"/>
    <w:rsid w:val="003856F8"/>
    <w:rsid w:val="0038677A"/>
    <w:rsid w:val="003869F6"/>
    <w:rsid w:val="00386A2B"/>
    <w:rsid w:val="00386AC6"/>
    <w:rsid w:val="003912A1"/>
    <w:rsid w:val="00391E67"/>
    <w:rsid w:val="00395F2F"/>
    <w:rsid w:val="003962AB"/>
    <w:rsid w:val="00396471"/>
    <w:rsid w:val="0039699A"/>
    <w:rsid w:val="0039733E"/>
    <w:rsid w:val="003A07CE"/>
    <w:rsid w:val="003A0803"/>
    <w:rsid w:val="003A0D3C"/>
    <w:rsid w:val="003A202C"/>
    <w:rsid w:val="003A28D4"/>
    <w:rsid w:val="003A3793"/>
    <w:rsid w:val="003A4C7E"/>
    <w:rsid w:val="003A4CAF"/>
    <w:rsid w:val="003A4DB0"/>
    <w:rsid w:val="003A5565"/>
    <w:rsid w:val="003A5B0F"/>
    <w:rsid w:val="003A6DC0"/>
    <w:rsid w:val="003A7A9A"/>
    <w:rsid w:val="003A7E55"/>
    <w:rsid w:val="003B0850"/>
    <w:rsid w:val="003B08D0"/>
    <w:rsid w:val="003B1151"/>
    <w:rsid w:val="003B139B"/>
    <w:rsid w:val="003B162A"/>
    <w:rsid w:val="003B1912"/>
    <w:rsid w:val="003B24BD"/>
    <w:rsid w:val="003B2687"/>
    <w:rsid w:val="003B27F8"/>
    <w:rsid w:val="003B2959"/>
    <w:rsid w:val="003B37B8"/>
    <w:rsid w:val="003B5EE0"/>
    <w:rsid w:val="003B6E4F"/>
    <w:rsid w:val="003B7461"/>
    <w:rsid w:val="003B7926"/>
    <w:rsid w:val="003C03C7"/>
    <w:rsid w:val="003C0674"/>
    <w:rsid w:val="003C2080"/>
    <w:rsid w:val="003C2229"/>
    <w:rsid w:val="003C41CD"/>
    <w:rsid w:val="003C4905"/>
    <w:rsid w:val="003C5874"/>
    <w:rsid w:val="003C5CE8"/>
    <w:rsid w:val="003C751D"/>
    <w:rsid w:val="003C7A64"/>
    <w:rsid w:val="003C7C45"/>
    <w:rsid w:val="003D0EB1"/>
    <w:rsid w:val="003D1C84"/>
    <w:rsid w:val="003D1E76"/>
    <w:rsid w:val="003D1F56"/>
    <w:rsid w:val="003D36F9"/>
    <w:rsid w:val="003D44AB"/>
    <w:rsid w:val="003D4A0B"/>
    <w:rsid w:val="003D5B70"/>
    <w:rsid w:val="003D62E1"/>
    <w:rsid w:val="003E098B"/>
    <w:rsid w:val="003E14B1"/>
    <w:rsid w:val="003E1706"/>
    <w:rsid w:val="003E3CDF"/>
    <w:rsid w:val="003E597F"/>
    <w:rsid w:val="003E634C"/>
    <w:rsid w:val="003E64D3"/>
    <w:rsid w:val="003E6B26"/>
    <w:rsid w:val="003E78A1"/>
    <w:rsid w:val="003E7E0F"/>
    <w:rsid w:val="003F0CBE"/>
    <w:rsid w:val="003F0E14"/>
    <w:rsid w:val="003F164C"/>
    <w:rsid w:val="003F25AA"/>
    <w:rsid w:val="003F3DE7"/>
    <w:rsid w:val="003F477D"/>
    <w:rsid w:val="003F539E"/>
    <w:rsid w:val="003F5DC4"/>
    <w:rsid w:val="003F5E07"/>
    <w:rsid w:val="003F67F0"/>
    <w:rsid w:val="003F71ED"/>
    <w:rsid w:val="003F71F7"/>
    <w:rsid w:val="00400A33"/>
    <w:rsid w:val="004013CC"/>
    <w:rsid w:val="00401BDA"/>
    <w:rsid w:val="00402801"/>
    <w:rsid w:val="00405C96"/>
    <w:rsid w:val="004072B9"/>
    <w:rsid w:val="0041125F"/>
    <w:rsid w:val="00412407"/>
    <w:rsid w:val="00412461"/>
    <w:rsid w:val="00412E87"/>
    <w:rsid w:val="00413C8D"/>
    <w:rsid w:val="00415B55"/>
    <w:rsid w:val="00417280"/>
    <w:rsid w:val="004176C8"/>
    <w:rsid w:val="0042164A"/>
    <w:rsid w:val="004228DF"/>
    <w:rsid w:val="004229A0"/>
    <w:rsid w:val="00422B3D"/>
    <w:rsid w:val="00423963"/>
    <w:rsid w:val="00424CC1"/>
    <w:rsid w:val="004256BA"/>
    <w:rsid w:val="004257FF"/>
    <w:rsid w:val="00425D02"/>
    <w:rsid w:val="004261F7"/>
    <w:rsid w:val="004304FD"/>
    <w:rsid w:val="00432553"/>
    <w:rsid w:val="00432AC1"/>
    <w:rsid w:val="00433ADB"/>
    <w:rsid w:val="00433C19"/>
    <w:rsid w:val="00433E7D"/>
    <w:rsid w:val="00434581"/>
    <w:rsid w:val="00435692"/>
    <w:rsid w:val="004366DF"/>
    <w:rsid w:val="00436B6D"/>
    <w:rsid w:val="00437FAE"/>
    <w:rsid w:val="004406FE"/>
    <w:rsid w:val="004407C6"/>
    <w:rsid w:val="00440F3B"/>
    <w:rsid w:val="0044379A"/>
    <w:rsid w:val="0044462E"/>
    <w:rsid w:val="0044530D"/>
    <w:rsid w:val="00445797"/>
    <w:rsid w:val="0044636C"/>
    <w:rsid w:val="004501BE"/>
    <w:rsid w:val="00451490"/>
    <w:rsid w:val="0045340F"/>
    <w:rsid w:val="004535CA"/>
    <w:rsid w:val="004535D1"/>
    <w:rsid w:val="004537F5"/>
    <w:rsid w:val="0045417C"/>
    <w:rsid w:val="0045501F"/>
    <w:rsid w:val="00456975"/>
    <w:rsid w:val="00456D25"/>
    <w:rsid w:val="00457B96"/>
    <w:rsid w:val="00457E2C"/>
    <w:rsid w:val="00457FC3"/>
    <w:rsid w:val="004605D7"/>
    <w:rsid w:val="00460972"/>
    <w:rsid w:val="00460BFA"/>
    <w:rsid w:val="004619A4"/>
    <w:rsid w:val="00461A6A"/>
    <w:rsid w:val="00461E45"/>
    <w:rsid w:val="004621C8"/>
    <w:rsid w:val="0046243B"/>
    <w:rsid w:val="00463D4B"/>
    <w:rsid w:val="0046409A"/>
    <w:rsid w:val="004647E7"/>
    <w:rsid w:val="00465E36"/>
    <w:rsid w:val="00466618"/>
    <w:rsid w:val="00466AFC"/>
    <w:rsid w:val="00467B21"/>
    <w:rsid w:val="0047126B"/>
    <w:rsid w:val="00473A8A"/>
    <w:rsid w:val="004742E3"/>
    <w:rsid w:val="00475370"/>
    <w:rsid w:val="00475AF2"/>
    <w:rsid w:val="00476DCE"/>
    <w:rsid w:val="00477464"/>
    <w:rsid w:val="00477C58"/>
    <w:rsid w:val="004807B2"/>
    <w:rsid w:val="004810C6"/>
    <w:rsid w:val="004819D2"/>
    <w:rsid w:val="0048215D"/>
    <w:rsid w:val="00482279"/>
    <w:rsid w:val="00482426"/>
    <w:rsid w:val="004831CD"/>
    <w:rsid w:val="00484183"/>
    <w:rsid w:val="004844D5"/>
    <w:rsid w:val="004846AD"/>
    <w:rsid w:val="004860DB"/>
    <w:rsid w:val="004862B9"/>
    <w:rsid w:val="004872E1"/>
    <w:rsid w:val="00490A68"/>
    <w:rsid w:val="00491761"/>
    <w:rsid w:val="00493234"/>
    <w:rsid w:val="00494885"/>
    <w:rsid w:val="00494F9C"/>
    <w:rsid w:val="0049539C"/>
    <w:rsid w:val="0049651E"/>
    <w:rsid w:val="00496B92"/>
    <w:rsid w:val="00496E51"/>
    <w:rsid w:val="004974C5"/>
    <w:rsid w:val="00497D13"/>
    <w:rsid w:val="004A0E1B"/>
    <w:rsid w:val="004A14F6"/>
    <w:rsid w:val="004A196B"/>
    <w:rsid w:val="004A2906"/>
    <w:rsid w:val="004A323F"/>
    <w:rsid w:val="004A356E"/>
    <w:rsid w:val="004A3EEB"/>
    <w:rsid w:val="004A3F90"/>
    <w:rsid w:val="004A4EB1"/>
    <w:rsid w:val="004A567E"/>
    <w:rsid w:val="004A5687"/>
    <w:rsid w:val="004A61ED"/>
    <w:rsid w:val="004A7C9C"/>
    <w:rsid w:val="004B0003"/>
    <w:rsid w:val="004B2185"/>
    <w:rsid w:val="004B2297"/>
    <w:rsid w:val="004B335F"/>
    <w:rsid w:val="004B3B0B"/>
    <w:rsid w:val="004C10BB"/>
    <w:rsid w:val="004C1B22"/>
    <w:rsid w:val="004C1D54"/>
    <w:rsid w:val="004C2C61"/>
    <w:rsid w:val="004C3B7B"/>
    <w:rsid w:val="004C3DB2"/>
    <w:rsid w:val="004C5795"/>
    <w:rsid w:val="004C5C8E"/>
    <w:rsid w:val="004C613E"/>
    <w:rsid w:val="004C6EEB"/>
    <w:rsid w:val="004D10BF"/>
    <w:rsid w:val="004D1DC4"/>
    <w:rsid w:val="004D1FC8"/>
    <w:rsid w:val="004D23EC"/>
    <w:rsid w:val="004D2F99"/>
    <w:rsid w:val="004D43C9"/>
    <w:rsid w:val="004D442D"/>
    <w:rsid w:val="004D4D1C"/>
    <w:rsid w:val="004D5728"/>
    <w:rsid w:val="004D6BF0"/>
    <w:rsid w:val="004D6D1E"/>
    <w:rsid w:val="004D6D9E"/>
    <w:rsid w:val="004D738A"/>
    <w:rsid w:val="004D746A"/>
    <w:rsid w:val="004D7A53"/>
    <w:rsid w:val="004E01AC"/>
    <w:rsid w:val="004E07D6"/>
    <w:rsid w:val="004E1D64"/>
    <w:rsid w:val="004E360E"/>
    <w:rsid w:val="004E3977"/>
    <w:rsid w:val="004E4A9C"/>
    <w:rsid w:val="004E5153"/>
    <w:rsid w:val="004E5570"/>
    <w:rsid w:val="004E6128"/>
    <w:rsid w:val="004E79F5"/>
    <w:rsid w:val="004F1353"/>
    <w:rsid w:val="004F46AE"/>
    <w:rsid w:val="004F5548"/>
    <w:rsid w:val="004F6027"/>
    <w:rsid w:val="004F65D5"/>
    <w:rsid w:val="004F7BFE"/>
    <w:rsid w:val="005049E7"/>
    <w:rsid w:val="00505037"/>
    <w:rsid w:val="005054FA"/>
    <w:rsid w:val="00505B63"/>
    <w:rsid w:val="00506426"/>
    <w:rsid w:val="00510C36"/>
    <w:rsid w:val="00510CEB"/>
    <w:rsid w:val="00510D7F"/>
    <w:rsid w:val="00510FD5"/>
    <w:rsid w:val="0051286B"/>
    <w:rsid w:val="00512D40"/>
    <w:rsid w:val="0051465F"/>
    <w:rsid w:val="00514E33"/>
    <w:rsid w:val="005152E7"/>
    <w:rsid w:val="0051587F"/>
    <w:rsid w:val="00516001"/>
    <w:rsid w:val="00516626"/>
    <w:rsid w:val="00516BE6"/>
    <w:rsid w:val="00516DCA"/>
    <w:rsid w:val="005174B0"/>
    <w:rsid w:val="00520532"/>
    <w:rsid w:val="005207F5"/>
    <w:rsid w:val="00521152"/>
    <w:rsid w:val="005211AC"/>
    <w:rsid w:val="00521EF2"/>
    <w:rsid w:val="0052235B"/>
    <w:rsid w:val="00523110"/>
    <w:rsid w:val="00523F13"/>
    <w:rsid w:val="00524104"/>
    <w:rsid w:val="005256B9"/>
    <w:rsid w:val="0052726F"/>
    <w:rsid w:val="0053089B"/>
    <w:rsid w:val="00530C66"/>
    <w:rsid w:val="005315B9"/>
    <w:rsid w:val="0053187E"/>
    <w:rsid w:val="00531B86"/>
    <w:rsid w:val="00532A39"/>
    <w:rsid w:val="005330EA"/>
    <w:rsid w:val="00533372"/>
    <w:rsid w:val="0053502F"/>
    <w:rsid w:val="005354F9"/>
    <w:rsid w:val="00535BDA"/>
    <w:rsid w:val="00535CDA"/>
    <w:rsid w:val="00537C61"/>
    <w:rsid w:val="00540412"/>
    <w:rsid w:val="0054055B"/>
    <w:rsid w:val="00540DAB"/>
    <w:rsid w:val="00541114"/>
    <w:rsid w:val="0054182A"/>
    <w:rsid w:val="00542F2F"/>
    <w:rsid w:val="005435C3"/>
    <w:rsid w:val="00543774"/>
    <w:rsid w:val="00544247"/>
    <w:rsid w:val="005449E2"/>
    <w:rsid w:val="00544EBC"/>
    <w:rsid w:val="005471B3"/>
    <w:rsid w:val="00547F16"/>
    <w:rsid w:val="0055034B"/>
    <w:rsid w:val="0055120C"/>
    <w:rsid w:val="00552B38"/>
    <w:rsid w:val="00553856"/>
    <w:rsid w:val="00553EBF"/>
    <w:rsid w:val="00554358"/>
    <w:rsid w:val="005552BC"/>
    <w:rsid w:val="005555E3"/>
    <w:rsid w:val="0055596A"/>
    <w:rsid w:val="005559BF"/>
    <w:rsid w:val="00556EF2"/>
    <w:rsid w:val="00557D80"/>
    <w:rsid w:val="005601F6"/>
    <w:rsid w:val="00560821"/>
    <w:rsid w:val="0056206F"/>
    <w:rsid w:val="00562C0F"/>
    <w:rsid w:val="00562CF1"/>
    <w:rsid w:val="0056421C"/>
    <w:rsid w:val="005642EC"/>
    <w:rsid w:val="00570746"/>
    <w:rsid w:val="00570F0D"/>
    <w:rsid w:val="0057182F"/>
    <w:rsid w:val="0057336B"/>
    <w:rsid w:val="00573426"/>
    <w:rsid w:val="00574630"/>
    <w:rsid w:val="00574A4B"/>
    <w:rsid w:val="00574F84"/>
    <w:rsid w:val="00575493"/>
    <w:rsid w:val="00575704"/>
    <w:rsid w:val="005758E9"/>
    <w:rsid w:val="00576099"/>
    <w:rsid w:val="00576F44"/>
    <w:rsid w:val="00581017"/>
    <w:rsid w:val="00581086"/>
    <w:rsid w:val="00581569"/>
    <w:rsid w:val="00581F52"/>
    <w:rsid w:val="005843F0"/>
    <w:rsid w:val="00584945"/>
    <w:rsid w:val="0058536E"/>
    <w:rsid w:val="00585D6A"/>
    <w:rsid w:val="00587D1F"/>
    <w:rsid w:val="00590008"/>
    <w:rsid w:val="0059005E"/>
    <w:rsid w:val="0059087F"/>
    <w:rsid w:val="00591058"/>
    <w:rsid w:val="00591682"/>
    <w:rsid w:val="00591A5A"/>
    <w:rsid w:val="00591F9D"/>
    <w:rsid w:val="00592492"/>
    <w:rsid w:val="005925E3"/>
    <w:rsid w:val="00593450"/>
    <w:rsid w:val="00593BC0"/>
    <w:rsid w:val="00594514"/>
    <w:rsid w:val="0059455E"/>
    <w:rsid w:val="005A04E6"/>
    <w:rsid w:val="005A0585"/>
    <w:rsid w:val="005A1059"/>
    <w:rsid w:val="005A1724"/>
    <w:rsid w:val="005A1744"/>
    <w:rsid w:val="005A1E3D"/>
    <w:rsid w:val="005A22DD"/>
    <w:rsid w:val="005A3304"/>
    <w:rsid w:val="005A37BF"/>
    <w:rsid w:val="005A4BA7"/>
    <w:rsid w:val="005A67A4"/>
    <w:rsid w:val="005A6890"/>
    <w:rsid w:val="005A76A8"/>
    <w:rsid w:val="005A7799"/>
    <w:rsid w:val="005B1D63"/>
    <w:rsid w:val="005B2259"/>
    <w:rsid w:val="005B4689"/>
    <w:rsid w:val="005B6FEA"/>
    <w:rsid w:val="005B7047"/>
    <w:rsid w:val="005B74B9"/>
    <w:rsid w:val="005B7591"/>
    <w:rsid w:val="005C0301"/>
    <w:rsid w:val="005C0679"/>
    <w:rsid w:val="005C0723"/>
    <w:rsid w:val="005C0CD4"/>
    <w:rsid w:val="005C0ECC"/>
    <w:rsid w:val="005C2237"/>
    <w:rsid w:val="005C244D"/>
    <w:rsid w:val="005C2FEF"/>
    <w:rsid w:val="005C322D"/>
    <w:rsid w:val="005C34C1"/>
    <w:rsid w:val="005C3B98"/>
    <w:rsid w:val="005C45FA"/>
    <w:rsid w:val="005C50A0"/>
    <w:rsid w:val="005C575E"/>
    <w:rsid w:val="005C5923"/>
    <w:rsid w:val="005C6D5F"/>
    <w:rsid w:val="005C755F"/>
    <w:rsid w:val="005D07D0"/>
    <w:rsid w:val="005D2045"/>
    <w:rsid w:val="005D4230"/>
    <w:rsid w:val="005D51E9"/>
    <w:rsid w:val="005D603D"/>
    <w:rsid w:val="005D6D3F"/>
    <w:rsid w:val="005D7DE3"/>
    <w:rsid w:val="005E2819"/>
    <w:rsid w:val="005E2F87"/>
    <w:rsid w:val="005E2FC6"/>
    <w:rsid w:val="005E3E3B"/>
    <w:rsid w:val="005E52B8"/>
    <w:rsid w:val="005E5FC5"/>
    <w:rsid w:val="005E6A74"/>
    <w:rsid w:val="005E6E41"/>
    <w:rsid w:val="005E70DC"/>
    <w:rsid w:val="005F02DE"/>
    <w:rsid w:val="005F0E50"/>
    <w:rsid w:val="005F295F"/>
    <w:rsid w:val="005F2FB2"/>
    <w:rsid w:val="005F4F8B"/>
    <w:rsid w:val="005F55A5"/>
    <w:rsid w:val="005F5B15"/>
    <w:rsid w:val="0060157E"/>
    <w:rsid w:val="00602809"/>
    <w:rsid w:val="00603B4E"/>
    <w:rsid w:val="00603CAD"/>
    <w:rsid w:val="00604246"/>
    <w:rsid w:val="0060531A"/>
    <w:rsid w:val="00605866"/>
    <w:rsid w:val="006058D2"/>
    <w:rsid w:val="006106EA"/>
    <w:rsid w:val="00610754"/>
    <w:rsid w:val="00611031"/>
    <w:rsid w:val="0061234D"/>
    <w:rsid w:val="00612B79"/>
    <w:rsid w:val="00612F90"/>
    <w:rsid w:val="0061300E"/>
    <w:rsid w:val="006133BD"/>
    <w:rsid w:val="0061347B"/>
    <w:rsid w:val="00613D9B"/>
    <w:rsid w:val="00615C24"/>
    <w:rsid w:val="00617139"/>
    <w:rsid w:val="00620E49"/>
    <w:rsid w:val="00621947"/>
    <w:rsid w:val="00621F08"/>
    <w:rsid w:val="0062279F"/>
    <w:rsid w:val="00623ABB"/>
    <w:rsid w:val="0062457B"/>
    <w:rsid w:val="006250A1"/>
    <w:rsid w:val="006250A5"/>
    <w:rsid w:val="00630017"/>
    <w:rsid w:val="00630039"/>
    <w:rsid w:val="00630262"/>
    <w:rsid w:val="006308D4"/>
    <w:rsid w:val="00630A07"/>
    <w:rsid w:val="00630DEE"/>
    <w:rsid w:val="0063222A"/>
    <w:rsid w:val="00634D97"/>
    <w:rsid w:val="00635443"/>
    <w:rsid w:val="00635915"/>
    <w:rsid w:val="006377DE"/>
    <w:rsid w:val="00640C75"/>
    <w:rsid w:val="006415CA"/>
    <w:rsid w:val="00641ECD"/>
    <w:rsid w:val="00643ADC"/>
    <w:rsid w:val="00644939"/>
    <w:rsid w:val="006451E5"/>
    <w:rsid w:val="00645EFF"/>
    <w:rsid w:val="00650C2D"/>
    <w:rsid w:val="00650F37"/>
    <w:rsid w:val="00651096"/>
    <w:rsid w:val="00651C53"/>
    <w:rsid w:val="00651FC7"/>
    <w:rsid w:val="0065345C"/>
    <w:rsid w:val="0065420D"/>
    <w:rsid w:val="00654502"/>
    <w:rsid w:val="006558AB"/>
    <w:rsid w:val="00655901"/>
    <w:rsid w:val="00655AED"/>
    <w:rsid w:val="00655BFB"/>
    <w:rsid w:val="006577E6"/>
    <w:rsid w:val="00663AE8"/>
    <w:rsid w:val="006654B3"/>
    <w:rsid w:val="0066617C"/>
    <w:rsid w:val="006664A2"/>
    <w:rsid w:val="00667088"/>
    <w:rsid w:val="00667331"/>
    <w:rsid w:val="00670DC5"/>
    <w:rsid w:val="0067120A"/>
    <w:rsid w:val="00671860"/>
    <w:rsid w:val="00671945"/>
    <w:rsid w:val="00671CB6"/>
    <w:rsid w:val="006724EC"/>
    <w:rsid w:val="00672AA0"/>
    <w:rsid w:val="00673011"/>
    <w:rsid w:val="00674562"/>
    <w:rsid w:val="006751AF"/>
    <w:rsid w:val="00675523"/>
    <w:rsid w:val="00675A53"/>
    <w:rsid w:val="0067691C"/>
    <w:rsid w:val="00676A29"/>
    <w:rsid w:val="00680DF3"/>
    <w:rsid w:val="00681E8C"/>
    <w:rsid w:val="00682AD0"/>
    <w:rsid w:val="00684092"/>
    <w:rsid w:val="006844AF"/>
    <w:rsid w:val="0068486A"/>
    <w:rsid w:val="00684AE8"/>
    <w:rsid w:val="006851F3"/>
    <w:rsid w:val="00687047"/>
    <w:rsid w:val="00690772"/>
    <w:rsid w:val="006911C1"/>
    <w:rsid w:val="00692EA2"/>
    <w:rsid w:val="00693E29"/>
    <w:rsid w:val="00694384"/>
    <w:rsid w:val="006946AC"/>
    <w:rsid w:val="006947DB"/>
    <w:rsid w:val="00694F96"/>
    <w:rsid w:val="00695A15"/>
    <w:rsid w:val="00696C1B"/>
    <w:rsid w:val="006A1096"/>
    <w:rsid w:val="006A1126"/>
    <w:rsid w:val="006A1A13"/>
    <w:rsid w:val="006A2828"/>
    <w:rsid w:val="006A2B6A"/>
    <w:rsid w:val="006A2FD3"/>
    <w:rsid w:val="006A379F"/>
    <w:rsid w:val="006A4827"/>
    <w:rsid w:val="006A676F"/>
    <w:rsid w:val="006A6B94"/>
    <w:rsid w:val="006B026B"/>
    <w:rsid w:val="006B07DE"/>
    <w:rsid w:val="006B1253"/>
    <w:rsid w:val="006B25A1"/>
    <w:rsid w:val="006B2BF4"/>
    <w:rsid w:val="006B3744"/>
    <w:rsid w:val="006B4B48"/>
    <w:rsid w:val="006B6698"/>
    <w:rsid w:val="006B7BBE"/>
    <w:rsid w:val="006C1914"/>
    <w:rsid w:val="006C288E"/>
    <w:rsid w:val="006C3047"/>
    <w:rsid w:val="006C3619"/>
    <w:rsid w:val="006C5DA2"/>
    <w:rsid w:val="006C6F82"/>
    <w:rsid w:val="006D04E3"/>
    <w:rsid w:val="006D313A"/>
    <w:rsid w:val="006D373A"/>
    <w:rsid w:val="006D6875"/>
    <w:rsid w:val="006D745F"/>
    <w:rsid w:val="006D7885"/>
    <w:rsid w:val="006D78AE"/>
    <w:rsid w:val="006D79A5"/>
    <w:rsid w:val="006D7EF2"/>
    <w:rsid w:val="006E0B25"/>
    <w:rsid w:val="006E1BD4"/>
    <w:rsid w:val="006E1CEC"/>
    <w:rsid w:val="006E2725"/>
    <w:rsid w:val="006E2C5F"/>
    <w:rsid w:val="006E2F33"/>
    <w:rsid w:val="006E3168"/>
    <w:rsid w:val="006E3ACB"/>
    <w:rsid w:val="006E437C"/>
    <w:rsid w:val="006E4656"/>
    <w:rsid w:val="006E4850"/>
    <w:rsid w:val="006E4D6E"/>
    <w:rsid w:val="006E4F10"/>
    <w:rsid w:val="006E6249"/>
    <w:rsid w:val="006E69D2"/>
    <w:rsid w:val="006E6F4E"/>
    <w:rsid w:val="006E76DA"/>
    <w:rsid w:val="006E7AF6"/>
    <w:rsid w:val="006E7B74"/>
    <w:rsid w:val="006F011C"/>
    <w:rsid w:val="006F18C5"/>
    <w:rsid w:val="006F3C0B"/>
    <w:rsid w:val="006F418D"/>
    <w:rsid w:val="006F436A"/>
    <w:rsid w:val="006F6480"/>
    <w:rsid w:val="006F6DE3"/>
    <w:rsid w:val="006F6E40"/>
    <w:rsid w:val="006F7CED"/>
    <w:rsid w:val="006F7DDF"/>
    <w:rsid w:val="006F7E10"/>
    <w:rsid w:val="00700378"/>
    <w:rsid w:val="0070048A"/>
    <w:rsid w:val="007027FA"/>
    <w:rsid w:val="007040C6"/>
    <w:rsid w:val="007045C9"/>
    <w:rsid w:val="00704EEA"/>
    <w:rsid w:val="00705A5A"/>
    <w:rsid w:val="00706378"/>
    <w:rsid w:val="0071089C"/>
    <w:rsid w:val="00710D47"/>
    <w:rsid w:val="00711E8A"/>
    <w:rsid w:val="00713BBE"/>
    <w:rsid w:val="007164FA"/>
    <w:rsid w:val="007166E5"/>
    <w:rsid w:val="00716CF1"/>
    <w:rsid w:val="0071710D"/>
    <w:rsid w:val="00721480"/>
    <w:rsid w:val="00721AF4"/>
    <w:rsid w:val="00721CDD"/>
    <w:rsid w:val="00722110"/>
    <w:rsid w:val="007224E9"/>
    <w:rsid w:val="0072325C"/>
    <w:rsid w:val="0072593E"/>
    <w:rsid w:val="00726D1B"/>
    <w:rsid w:val="00727413"/>
    <w:rsid w:val="007276DB"/>
    <w:rsid w:val="00727955"/>
    <w:rsid w:val="00727B7D"/>
    <w:rsid w:val="00730601"/>
    <w:rsid w:val="007308CC"/>
    <w:rsid w:val="00730B6A"/>
    <w:rsid w:val="00732FFC"/>
    <w:rsid w:val="0073585E"/>
    <w:rsid w:val="007359F5"/>
    <w:rsid w:val="00735B37"/>
    <w:rsid w:val="00736424"/>
    <w:rsid w:val="00737FDD"/>
    <w:rsid w:val="0074221D"/>
    <w:rsid w:val="00742FAD"/>
    <w:rsid w:val="00743F14"/>
    <w:rsid w:val="00744E18"/>
    <w:rsid w:val="00747E9E"/>
    <w:rsid w:val="00747F7B"/>
    <w:rsid w:val="00747FB2"/>
    <w:rsid w:val="00750FB9"/>
    <w:rsid w:val="00751A1B"/>
    <w:rsid w:val="00751FC1"/>
    <w:rsid w:val="00753A6B"/>
    <w:rsid w:val="00754DB5"/>
    <w:rsid w:val="00755636"/>
    <w:rsid w:val="00755EEE"/>
    <w:rsid w:val="007574E8"/>
    <w:rsid w:val="00757A65"/>
    <w:rsid w:val="0076099F"/>
    <w:rsid w:val="00760DA5"/>
    <w:rsid w:val="00760DFB"/>
    <w:rsid w:val="0076162D"/>
    <w:rsid w:val="007619AD"/>
    <w:rsid w:val="00762208"/>
    <w:rsid w:val="00762861"/>
    <w:rsid w:val="00762D56"/>
    <w:rsid w:val="007654B8"/>
    <w:rsid w:val="00766A56"/>
    <w:rsid w:val="0076738E"/>
    <w:rsid w:val="00767A9B"/>
    <w:rsid w:val="00770157"/>
    <w:rsid w:val="00771429"/>
    <w:rsid w:val="00771645"/>
    <w:rsid w:val="00772091"/>
    <w:rsid w:val="00773053"/>
    <w:rsid w:val="007735B3"/>
    <w:rsid w:val="00773907"/>
    <w:rsid w:val="00774017"/>
    <w:rsid w:val="00774B4A"/>
    <w:rsid w:val="00774FA6"/>
    <w:rsid w:val="00774FDD"/>
    <w:rsid w:val="00775B44"/>
    <w:rsid w:val="00776019"/>
    <w:rsid w:val="00776042"/>
    <w:rsid w:val="00776A8B"/>
    <w:rsid w:val="00777A1A"/>
    <w:rsid w:val="00777AC5"/>
    <w:rsid w:val="00780290"/>
    <w:rsid w:val="00780508"/>
    <w:rsid w:val="00781A87"/>
    <w:rsid w:val="007826D2"/>
    <w:rsid w:val="0078310A"/>
    <w:rsid w:val="00783259"/>
    <w:rsid w:val="007833B9"/>
    <w:rsid w:val="00784531"/>
    <w:rsid w:val="00784C74"/>
    <w:rsid w:val="00786752"/>
    <w:rsid w:val="007868F9"/>
    <w:rsid w:val="00791D21"/>
    <w:rsid w:val="007927D4"/>
    <w:rsid w:val="00793D0B"/>
    <w:rsid w:val="007946E1"/>
    <w:rsid w:val="00796FE4"/>
    <w:rsid w:val="007971EC"/>
    <w:rsid w:val="007974D2"/>
    <w:rsid w:val="00797918"/>
    <w:rsid w:val="00797C53"/>
    <w:rsid w:val="00797E40"/>
    <w:rsid w:val="007A0318"/>
    <w:rsid w:val="007A04BC"/>
    <w:rsid w:val="007A09DF"/>
    <w:rsid w:val="007A0A5D"/>
    <w:rsid w:val="007A1282"/>
    <w:rsid w:val="007A2232"/>
    <w:rsid w:val="007A268C"/>
    <w:rsid w:val="007A343D"/>
    <w:rsid w:val="007A413E"/>
    <w:rsid w:val="007A55FB"/>
    <w:rsid w:val="007A6393"/>
    <w:rsid w:val="007A692B"/>
    <w:rsid w:val="007A6D1A"/>
    <w:rsid w:val="007A6E70"/>
    <w:rsid w:val="007B013D"/>
    <w:rsid w:val="007B0559"/>
    <w:rsid w:val="007B059F"/>
    <w:rsid w:val="007B11DD"/>
    <w:rsid w:val="007B471F"/>
    <w:rsid w:val="007B4C0F"/>
    <w:rsid w:val="007B7E5C"/>
    <w:rsid w:val="007B7F16"/>
    <w:rsid w:val="007C06FB"/>
    <w:rsid w:val="007C0DF0"/>
    <w:rsid w:val="007C1290"/>
    <w:rsid w:val="007C3840"/>
    <w:rsid w:val="007C4809"/>
    <w:rsid w:val="007C597F"/>
    <w:rsid w:val="007C5E4C"/>
    <w:rsid w:val="007C61D1"/>
    <w:rsid w:val="007C6B46"/>
    <w:rsid w:val="007C7536"/>
    <w:rsid w:val="007C78CC"/>
    <w:rsid w:val="007D0138"/>
    <w:rsid w:val="007D1CBD"/>
    <w:rsid w:val="007D229F"/>
    <w:rsid w:val="007D25AC"/>
    <w:rsid w:val="007D261D"/>
    <w:rsid w:val="007D28B4"/>
    <w:rsid w:val="007D313E"/>
    <w:rsid w:val="007D3D36"/>
    <w:rsid w:val="007D407B"/>
    <w:rsid w:val="007D45A6"/>
    <w:rsid w:val="007D6E79"/>
    <w:rsid w:val="007D6F4D"/>
    <w:rsid w:val="007E0826"/>
    <w:rsid w:val="007E0D78"/>
    <w:rsid w:val="007E108E"/>
    <w:rsid w:val="007E170F"/>
    <w:rsid w:val="007E1AFA"/>
    <w:rsid w:val="007E31DE"/>
    <w:rsid w:val="007E50BB"/>
    <w:rsid w:val="007E523C"/>
    <w:rsid w:val="007E6B58"/>
    <w:rsid w:val="007E6DC6"/>
    <w:rsid w:val="007E708E"/>
    <w:rsid w:val="007E70B4"/>
    <w:rsid w:val="007F0576"/>
    <w:rsid w:val="007F0BBE"/>
    <w:rsid w:val="007F17B1"/>
    <w:rsid w:val="007F1B0B"/>
    <w:rsid w:val="007F1DE3"/>
    <w:rsid w:val="007F1FF3"/>
    <w:rsid w:val="007F2FEB"/>
    <w:rsid w:val="007F3119"/>
    <w:rsid w:val="007F3E4E"/>
    <w:rsid w:val="007F3FA8"/>
    <w:rsid w:val="007F6D75"/>
    <w:rsid w:val="007F74A7"/>
    <w:rsid w:val="0080087A"/>
    <w:rsid w:val="00800B95"/>
    <w:rsid w:val="00801AEF"/>
    <w:rsid w:val="00801DB3"/>
    <w:rsid w:val="00802276"/>
    <w:rsid w:val="00802787"/>
    <w:rsid w:val="00803842"/>
    <w:rsid w:val="008044DB"/>
    <w:rsid w:val="00804C3A"/>
    <w:rsid w:val="00805E6E"/>
    <w:rsid w:val="008068C6"/>
    <w:rsid w:val="00806C77"/>
    <w:rsid w:val="00807407"/>
    <w:rsid w:val="00807B65"/>
    <w:rsid w:val="00807FE9"/>
    <w:rsid w:val="008119D5"/>
    <w:rsid w:val="00811A69"/>
    <w:rsid w:val="00811D0D"/>
    <w:rsid w:val="00812AF2"/>
    <w:rsid w:val="008130AB"/>
    <w:rsid w:val="0081551F"/>
    <w:rsid w:val="00817D4C"/>
    <w:rsid w:val="00821605"/>
    <w:rsid w:val="00821CBA"/>
    <w:rsid w:val="00822795"/>
    <w:rsid w:val="00822C4C"/>
    <w:rsid w:val="008243EA"/>
    <w:rsid w:val="00825AC7"/>
    <w:rsid w:val="0082686E"/>
    <w:rsid w:val="008276A0"/>
    <w:rsid w:val="00830608"/>
    <w:rsid w:val="0083141E"/>
    <w:rsid w:val="00831806"/>
    <w:rsid w:val="00832E89"/>
    <w:rsid w:val="008338BE"/>
    <w:rsid w:val="008345C1"/>
    <w:rsid w:val="00834B16"/>
    <w:rsid w:val="008352F1"/>
    <w:rsid w:val="008364B6"/>
    <w:rsid w:val="0083716D"/>
    <w:rsid w:val="00837472"/>
    <w:rsid w:val="00837A78"/>
    <w:rsid w:val="00840606"/>
    <w:rsid w:val="00840A57"/>
    <w:rsid w:val="00840AAC"/>
    <w:rsid w:val="008411EF"/>
    <w:rsid w:val="00841D93"/>
    <w:rsid w:val="008426C0"/>
    <w:rsid w:val="00842994"/>
    <w:rsid w:val="00843084"/>
    <w:rsid w:val="00843213"/>
    <w:rsid w:val="0084422F"/>
    <w:rsid w:val="0084431A"/>
    <w:rsid w:val="00845C16"/>
    <w:rsid w:val="00845E9E"/>
    <w:rsid w:val="008468C9"/>
    <w:rsid w:val="00847174"/>
    <w:rsid w:val="008477B9"/>
    <w:rsid w:val="00851572"/>
    <w:rsid w:val="00851E60"/>
    <w:rsid w:val="00852492"/>
    <w:rsid w:val="008542C2"/>
    <w:rsid w:val="0085490E"/>
    <w:rsid w:val="00854923"/>
    <w:rsid w:val="00854A33"/>
    <w:rsid w:val="00860993"/>
    <w:rsid w:val="00861101"/>
    <w:rsid w:val="0086110D"/>
    <w:rsid w:val="0086183B"/>
    <w:rsid w:val="00861B21"/>
    <w:rsid w:val="008624E5"/>
    <w:rsid w:val="00863B67"/>
    <w:rsid w:val="00863F83"/>
    <w:rsid w:val="00864839"/>
    <w:rsid w:val="008649A3"/>
    <w:rsid w:val="00865D67"/>
    <w:rsid w:val="0086632D"/>
    <w:rsid w:val="00866D44"/>
    <w:rsid w:val="008707F9"/>
    <w:rsid w:val="00871453"/>
    <w:rsid w:val="008717F2"/>
    <w:rsid w:val="0087308C"/>
    <w:rsid w:val="00874AF6"/>
    <w:rsid w:val="008759D3"/>
    <w:rsid w:val="00875A94"/>
    <w:rsid w:val="00875E43"/>
    <w:rsid w:val="00876461"/>
    <w:rsid w:val="00877E22"/>
    <w:rsid w:val="00880A4C"/>
    <w:rsid w:val="00880B35"/>
    <w:rsid w:val="00881F45"/>
    <w:rsid w:val="008826AD"/>
    <w:rsid w:val="008833A9"/>
    <w:rsid w:val="008834F7"/>
    <w:rsid w:val="008841C6"/>
    <w:rsid w:val="0088482A"/>
    <w:rsid w:val="00885229"/>
    <w:rsid w:val="008859E0"/>
    <w:rsid w:val="00886CF6"/>
    <w:rsid w:val="00886DA1"/>
    <w:rsid w:val="00886EF0"/>
    <w:rsid w:val="00887D7B"/>
    <w:rsid w:val="0089011A"/>
    <w:rsid w:val="0089023E"/>
    <w:rsid w:val="00890A5F"/>
    <w:rsid w:val="00890B38"/>
    <w:rsid w:val="008913D1"/>
    <w:rsid w:val="00891E6C"/>
    <w:rsid w:val="008924CF"/>
    <w:rsid w:val="008924F9"/>
    <w:rsid w:val="0089375F"/>
    <w:rsid w:val="00893BEA"/>
    <w:rsid w:val="00894751"/>
    <w:rsid w:val="008950B9"/>
    <w:rsid w:val="0089548A"/>
    <w:rsid w:val="00895AB7"/>
    <w:rsid w:val="00895DDE"/>
    <w:rsid w:val="00897AD2"/>
    <w:rsid w:val="00897D68"/>
    <w:rsid w:val="008A1C34"/>
    <w:rsid w:val="008A1EEE"/>
    <w:rsid w:val="008A24C2"/>
    <w:rsid w:val="008A2840"/>
    <w:rsid w:val="008A2FDA"/>
    <w:rsid w:val="008A3CB7"/>
    <w:rsid w:val="008A3D59"/>
    <w:rsid w:val="008A4DE1"/>
    <w:rsid w:val="008A5492"/>
    <w:rsid w:val="008A5C27"/>
    <w:rsid w:val="008B072F"/>
    <w:rsid w:val="008B07FF"/>
    <w:rsid w:val="008B4B81"/>
    <w:rsid w:val="008B533B"/>
    <w:rsid w:val="008B5741"/>
    <w:rsid w:val="008B651A"/>
    <w:rsid w:val="008B6B9F"/>
    <w:rsid w:val="008B712E"/>
    <w:rsid w:val="008B7583"/>
    <w:rsid w:val="008B775F"/>
    <w:rsid w:val="008C094B"/>
    <w:rsid w:val="008C26A5"/>
    <w:rsid w:val="008C2B72"/>
    <w:rsid w:val="008C2F15"/>
    <w:rsid w:val="008C5453"/>
    <w:rsid w:val="008C6698"/>
    <w:rsid w:val="008C73B5"/>
    <w:rsid w:val="008D004A"/>
    <w:rsid w:val="008D03AC"/>
    <w:rsid w:val="008D08FE"/>
    <w:rsid w:val="008D0C51"/>
    <w:rsid w:val="008D14A1"/>
    <w:rsid w:val="008D1E2E"/>
    <w:rsid w:val="008D44F3"/>
    <w:rsid w:val="008D4709"/>
    <w:rsid w:val="008D4CA6"/>
    <w:rsid w:val="008D671E"/>
    <w:rsid w:val="008D6908"/>
    <w:rsid w:val="008E0950"/>
    <w:rsid w:val="008E1C1D"/>
    <w:rsid w:val="008E3BE4"/>
    <w:rsid w:val="008E41EC"/>
    <w:rsid w:val="008E4789"/>
    <w:rsid w:val="008E4884"/>
    <w:rsid w:val="008E5B9C"/>
    <w:rsid w:val="008F050A"/>
    <w:rsid w:val="008F0535"/>
    <w:rsid w:val="008F09B5"/>
    <w:rsid w:val="008F0D3D"/>
    <w:rsid w:val="008F18C9"/>
    <w:rsid w:val="008F54D5"/>
    <w:rsid w:val="008F6623"/>
    <w:rsid w:val="008F7208"/>
    <w:rsid w:val="008F736C"/>
    <w:rsid w:val="009004AB"/>
    <w:rsid w:val="00901384"/>
    <w:rsid w:val="00901BED"/>
    <w:rsid w:val="009035EE"/>
    <w:rsid w:val="00904684"/>
    <w:rsid w:val="00904F64"/>
    <w:rsid w:val="00905A3F"/>
    <w:rsid w:val="0090676B"/>
    <w:rsid w:val="00906B69"/>
    <w:rsid w:val="00910296"/>
    <w:rsid w:val="00912228"/>
    <w:rsid w:val="009126EA"/>
    <w:rsid w:val="0091354E"/>
    <w:rsid w:val="00913702"/>
    <w:rsid w:val="00914597"/>
    <w:rsid w:val="00915076"/>
    <w:rsid w:val="009151E9"/>
    <w:rsid w:val="009155E3"/>
    <w:rsid w:val="0091613B"/>
    <w:rsid w:val="009165F6"/>
    <w:rsid w:val="00916FBB"/>
    <w:rsid w:val="00922EBA"/>
    <w:rsid w:val="00925B3F"/>
    <w:rsid w:val="009274E2"/>
    <w:rsid w:val="00927B89"/>
    <w:rsid w:val="00932651"/>
    <w:rsid w:val="00934273"/>
    <w:rsid w:val="00935E1D"/>
    <w:rsid w:val="00936C8F"/>
    <w:rsid w:val="009402B9"/>
    <w:rsid w:val="009403AE"/>
    <w:rsid w:val="0094169F"/>
    <w:rsid w:val="009422AC"/>
    <w:rsid w:val="0094406D"/>
    <w:rsid w:val="00944579"/>
    <w:rsid w:val="00945C15"/>
    <w:rsid w:val="0094741F"/>
    <w:rsid w:val="0094764E"/>
    <w:rsid w:val="00950A53"/>
    <w:rsid w:val="009513DF"/>
    <w:rsid w:val="009516AB"/>
    <w:rsid w:val="00952026"/>
    <w:rsid w:val="009531BE"/>
    <w:rsid w:val="0095329F"/>
    <w:rsid w:val="009541A6"/>
    <w:rsid w:val="0095444C"/>
    <w:rsid w:val="00957CFD"/>
    <w:rsid w:val="0096154F"/>
    <w:rsid w:val="00961DA8"/>
    <w:rsid w:val="00966BC8"/>
    <w:rsid w:val="00967024"/>
    <w:rsid w:val="00967265"/>
    <w:rsid w:val="009674F4"/>
    <w:rsid w:val="0096759B"/>
    <w:rsid w:val="00967CF4"/>
    <w:rsid w:val="00970A55"/>
    <w:rsid w:val="00971893"/>
    <w:rsid w:val="00973431"/>
    <w:rsid w:val="00976E9C"/>
    <w:rsid w:val="009771C3"/>
    <w:rsid w:val="00977FAA"/>
    <w:rsid w:val="009803CA"/>
    <w:rsid w:val="009803D0"/>
    <w:rsid w:val="00980B94"/>
    <w:rsid w:val="00981318"/>
    <w:rsid w:val="00983ADE"/>
    <w:rsid w:val="00985183"/>
    <w:rsid w:val="0098646C"/>
    <w:rsid w:val="009866C3"/>
    <w:rsid w:val="00986FCD"/>
    <w:rsid w:val="00990F34"/>
    <w:rsid w:val="0099132A"/>
    <w:rsid w:val="009919D3"/>
    <w:rsid w:val="0099203F"/>
    <w:rsid w:val="00992B79"/>
    <w:rsid w:val="00992B84"/>
    <w:rsid w:val="0099346E"/>
    <w:rsid w:val="009937A4"/>
    <w:rsid w:val="00994545"/>
    <w:rsid w:val="00994CAA"/>
    <w:rsid w:val="009957C9"/>
    <w:rsid w:val="00995C29"/>
    <w:rsid w:val="00996124"/>
    <w:rsid w:val="009963A4"/>
    <w:rsid w:val="0099788B"/>
    <w:rsid w:val="009A369F"/>
    <w:rsid w:val="009A3B88"/>
    <w:rsid w:val="009A4F33"/>
    <w:rsid w:val="009A5412"/>
    <w:rsid w:val="009A5973"/>
    <w:rsid w:val="009A5DB1"/>
    <w:rsid w:val="009A665B"/>
    <w:rsid w:val="009A6986"/>
    <w:rsid w:val="009A6ADA"/>
    <w:rsid w:val="009A75A1"/>
    <w:rsid w:val="009A77F0"/>
    <w:rsid w:val="009B0672"/>
    <w:rsid w:val="009B0C09"/>
    <w:rsid w:val="009B1555"/>
    <w:rsid w:val="009B18D3"/>
    <w:rsid w:val="009B22DA"/>
    <w:rsid w:val="009B3547"/>
    <w:rsid w:val="009B5A92"/>
    <w:rsid w:val="009B7187"/>
    <w:rsid w:val="009B7787"/>
    <w:rsid w:val="009C0DA7"/>
    <w:rsid w:val="009C1A11"/>
    <w:rsid w:val="009C240B"/>
    <w:rsid w:val="009C2C02"/>
    <w:rsid w:val="009C453F"/>
    <w:rsid w:val="009C4A3C"/>
    <w:rsid w:val="009C595B"/>
    <w:rsid w:val="009C7223"/>
    <w:rsid w:val="009C72A8"/>
    <w:rsid w:val="009C7D0C"/>
    <w:rsid w:val="009D01E5"/>
    <w:rsid w:val="009D029E"/>
    <w:rsid w:val="009D2105"/>
    <w:rsid w:val="009D228E"/>
    <w:rsid w:val="009D26D6"/>
    <w:rsid w:val="009D37CC"/>
    <w:rsid w:val="009D40D2"/>
    <w:rsid w:val="009D4C83"/>
    <w:rsid w:val="009D4F58"/>
    <w:rsid w:val="009D6E2D"/>
    <w:rsid w:val="009D7901"/>
    <w:rsid w:val="009E0AA1"/>
    <w:rsid w:val="009E235A"/>
    <w:rsid w:val="009E2B5B"/>
    <w:rsid w:val="009E2C2D"/>
    <w:rsid w:val="009E3A20"/>
    <w:rsid w:val="009E53B5"/>
    <w:rsid w:val="009E5898"/>
    <w:rsid w:val="009E5D21"/>
    <w:rsid w:val="009E620F"/>
    <w:rsid w:val="009E62E1"/>
    <w:rsid w:val="009E658C"/>
    <w:rsid w:val="009E70A3"/>
    <w:rsid w:val="009F08F3"/>
    <w:rsid w:val="009F1398"/>
    <w:rsid w:val="009F16FA"/>
    <w:rsid w:val="009F1D62"/>
    <w:rsid w:val="009F269C"/>
    <w:rsid w:val="009F27A3"/>
    <w:rsid w:val="009F342C"/>
    <w:rsid w:val="009F371C"/>
    <w:rsid w:val="009F56BC"/>
    <w:rsid w:val="009F6522"/>
    <w:rsid w:val="009F7D38"/>
    <w:rsid w:val="00A003C7"/>
    <w:rsid w:val="00A0061E"/>
    <w:rsid w:val="00A01180"/>
    <w:rsid w:val="00A02000"/>
    <w:rsid w:val="00A03450"/>
    <w:rsid w:val="00A04853"/>
    <w:rsid w:val="00A04BB3"/>
    <w:rsid w:val="00A04F73"/>
    <w:rsid w:val="00A0785A"/>
    <w:rsid w:val="00A1045C"/>
    <w:rsid w:val="00A10480"/>
    <w:rsid w:val="00A12394"/>
    <w:rsid w:val="00A14C45"/>
    <w:rsid w:val="00A15291"/>
    <w:rsid w:val="00A22B5A"/>
    <w:rsid w:val="00A230DA"/>
    <w:rsid w:val="00A253CE"/>
    <w:rsid w:val="00A2555B"/>
    <w:rsid w:val="00A25862"/>
    <w:rsid w:val="00A25B4D"/>
    <w:rsid w:val="00A30CB8"/>
    <w:rsid w:val="00A31245"/>
    <w:rsid w:val="00A3155C"/>
    <w:rsid w:val="00A31629"/>
    <w:rsid w:val="00A31D67"/>
    <w:rsid w:val="00A32306"/>
    <w:rsid w:val="00A32874"/>
    <w:rsid w:val="00A33323"/>
    <w:rsid w:val="00A33569"/>
    <w:rsid w:val="00A3417C"/>
    <w:rsid w:val="00A34732"/>
    <w:rsid w:val="00A34788"/>
    <w:rsid w:val="00A3481F"/>
    <w:rsid w:val="00A3752A"/>
    <w:rsid w:val="00A37B7F"/>
    <w:rsid w:val="00A37BAD"/>
    <w:rsid w:val="00A405D7"/>
    <w:rsid w:val="00A40907"/>
    <w:rsid w:val="00A40A84"/>
    <w:rsid w:val="00A41550"/>
    <w:rsid w:val="00A4297D"/>
    <w:rsid w:val="00A4330A"/>
    <w:rsid w:val="00A43DDA"/>
    <w:rsid w:val="00A455A8"/>
    <w:rsid w:val="00A45CE1"/>
    <w:rsid w:val="00A46556"/>
    <w:rsid w:val="00A47105"/>
    <w:rsid w:val="00A50FE2"/>
    <w:rsid w:val="00A51619"/>
    <w:rsid w:val="00A54687"/>
    <w:rsid w:val="00A56581"/>
    <w:rsid w:val="00A565CF"/>
    <w:rsid w:val="00A56FEC"/>
    <w:rsid w:val="00A57ABC"/>
    <w:rsid w:val="00A6321D"/>
    <w:rsid w:val="00A636EC"/>
    <w:rsid w:val="00A64140"/>
    <w:rsid w:val="00A64B27"/>
    <w:rsid w:val="00A651E6"/>
    <w:rsid w:val="00A65F6F"/>
    <w:rsid w:val="00A6696F"/>
    <w:rsid w:val="00A73ECF"/>
    <w:rsid w:val="00A74135"/>
    <w:rsid w:val="00A74469"/>
    <w:rsid w:val="00A74756"/>
    <w:rsid w:val="00A75247"/>
    <w:rsid w:val="00A75A3A"/>
    <w:rsid w:val="00A7695A"/>
    <w:rsid w:val="00A77823"/>
    <w:rsid w:val="00A8010E"/>
    <w:rsid w:val="00A80245"/>
    <w:rsid w:val="00A803A0"/>
    <w:rsid w:val="00A82474"/>
    <w:rsid w:val="00A84EEA"/>
    <w:rsid w:val="00A8548F"/>
    <w:rsid w:val="00A86ADD"/>
    <w:rsid w:val="00A86BB1"/>
    <w:rsid w:val="00A86E29"/>
    <w:rsid w:val="00A86FFA"/>
    <w:rsid w:val="00A874E6"/>
    <w:rsid w:val="00A9242E"/>
    <w:rsid w:val="00A92F92"/>
    <w:rsid w:val="00A9390C"/>
    <w:rsid w:val="00A93A26"/>
    <w:rsid w:val="00A93B74"/>
    <w:rsid w:val="00A93CC3"/>
    <w:rsid w:val="00A93E03"/>
    <w:rsid w:val="00A9753E"/>
    <w:rsid w:val="00AA2EF9"/>
    <w:rsid w:val="00AA4617"/>
    <w:rsid w:val="00AA46DB"/>
    <w:rsid w:val="00AA477E"/>
    <w:rsid w:val="00AA4C32"/>
    <w:rsid w:val="00AA6EEA"/>
    <w:rsid w:val="00AB0A44"/>
    <w:rsid w:val="00AB30A9"/>
    <w:rsid w:val="00AB33D6"/>
    <w:rsid w:val="00AB46B6"/>
    <w:rsid w:val="00AB524A"/>
    <w:rsid w:val="00AB5841"/>
    <w:rsid w:val="00AB5F7F"/>
    <w:rsid w:val="00AB6B4A"/>
    <w:rsid w:val="00AB6CDC"/>
    <w:rsid w:val="00AB6FE6"/>
    <w:rsid w:val="00AB7300"/>
    <w:rsid w:val="00AB7C3E"/>
    <w:rsid w:val="00AC0473"/>
    <w:rsid w:val="00AC1552"/>
    <w:rsid w:val="00AC1D62"/>
    <w:rsid w:val="00AC4445"/>
    <w:rsid w:val="00AC6D42"/>
    <w:rsid w:val="00AC7588"/>
    <w:rsid w:val="00AD016E"/>
    <w:rsid w:val="00AD01CE"/>
    <w:rsid w:val="00AD04AC"/>
    <w:rsid w:val="00AD0744"/>
    <w:rsid w:val="00AD0772"/>
    <w:rsid w:val="00AD0C4E"/>
    <w:rsid w:val="00AD0CF5"/>
    <w:rsid w:val="00AD0E82"/>
    <w:rsid w:val="00AD11D8"/>
    <w:rsid w:val="00AD1318"/>
    <w:rsid w:val="00AD15CD"/>
    <w:rsid w:val="00AD1C2F"/>
    <w:rsid w:val="00AD1CC9"/>
    <w:rsid w:val="00AD205E"/>
    <w:rsid w:val="00AD25D9"/>
    <w:rsid w:val="00AD2704"/>
    <w:rsid w:val="00AD2D46"/>
    <w:rsid w:val="00AD32E0"/>
    <w:rsid w:val="00AD3814"/>
    <w:rsid w:val="00AD391F"/>
    <w:rsid w:val="00AD3ADB"/>
    <w:rsid w:val="00AD5C80"/>
    <w:rsid w:val="00AD63F6"/>
    <w:rsid w:val="00AE03FA"/>
    <w:rsid w:val="00AE0CBE"/>
    <w:rsid w:val="00AE159A"/>
    <w:rsid w:val="00AE1617"/>
    <w:rsid w:val="00AE26AB"/>
    <w:rsid w:val="00AE371D"/>
    <w:rsid w:val="00AE4591"/>
    <w:rsid w:val="00AE5FFD"/>
    <w:rsid w:val="00AE6007"/>
    <w:rsid w:val="00AE6233"/>
    <w:rsid w:val="00AE6624"/>
    <w:rsid w:val="00AE6D31"/>
    <w:rsid w:val="00AF0DAC"/>
    <w:rsid w:val="00AF1267"/>
    <w:rsid w:val="00AF27DC"/>
    <w:rsid w:val="00AF2AE2"/>
    <w:rsid w:val="00AF3302"/>
    <w:rsid w:val="00AF4028"/>
    <w:rsid w:val="00AF495A"/>
    <w:rsid w:val="00AF54C7"/>
    <w:rsid w:val="00AF54E9"/>
    <w:rsid w:val="00AF5F3E"/>
    <w:rsid w:val="00AF62FA"/>
    <w:rsid w:val="00B00721"/>
    <w:rsid w:val="00B00A6F"/>
    <w:rsid w:val="00B03E34"/>
    <w:rsid w:val="00B05803"/>
    <w:rsid w:val="00B07F49"/>
    <w:rsid w:val="00B1310D"/>
    <w:rsid w:val="00B1395B"/>
    <w:rsid w:val="00B1525B"/>
    <w:rsid w:val="00B15398"/>
    <w:rsid w:val="00B16B22"/>
    <w:rsid w:val="00B16D7D"/>
    <w:rsid w:val="00B17B5F"/>
    <w:rsid w:val="00B21210"/>
    <w:rsid w:val="00B21240"/>
    <w:rsid w:val="00B2151F"/>
    <w:rsid w:val="00B21792"/>
    <w:rsid w:val="00B218E3"/>
    <w:rsid w:val="00B21AC7"/>
    <w:rsid w:val="00B23376"/>
    <w:rsid w:val="00B2340D"/>
    <w:rsid w:val="00B24A33"/>
    <w:rsid w:val="00B24CB5"/>
    <w:rsid w:val="00B24EDD"/>
    <w:rsid w:val="00B2522E"/>
    <w:rsid w:val="00B2571E"/>
    <w:rsid w:val="00B25879"/>
    <w:rsid w:val="00B2764B"/>
    <w:rsid w:val="00B27D25"/>
    <w:rsid w:val="00B30956"/>
    <w:rsid w:val="00B30ADA"/>
    <w:rsid w:val="00B31076"/>
    <w:rsid w:val="00B31956"/>
    <w:rsid w:val="00B31E29"/>
    <w:rsid w:val="00B3234F"/>
    <w:rsid w:val="00B33A8C"/>
    <w:rsid w:val="00B3444E"/>
    <w:rsid w:val="00B35DD1"/>
    <w:rsid w:val="00B36063"/>
    <w:rsid w:val="00B36E3E"/>
    <w:rsid w:val="00B37436"/>
    <w:rsid w:val="00B376E7"/>
    <w:rsid w:val="00B40ECF"/>
    <w:rsid w:val="00B41320"/>
    <w:rsid w:val="00B418B0"/>
    <w:rsid w:val="00B41B8B"/>
    <w:rsid w:val="00B43786"/>
    <w:rsid w:val="00B4389E"/>
    <w:rsid w:val="00B43B12"/>
    <w:rsid w:val="00B44139"/>
    <w:rsid w:val="00B443B4"/>
    <w:rsid w:val="00B4453C"/>
    <w:rsid w:val="00B44C66"/>
    <w:rsid w:val="00B44E23"/>
    <w:rsid w:val="00B4553F"/>
    <w:rsid w:val="00B45D44"/>
    <w:rsid w:val="00B4770C"/>
    <w:rsid w:val="00B50887"/>
    <w:rsid w:val="00B50B01"/>
    <w:rsid w:val="00B5186E"/>
    <w:rsid w:val="00B51EBD"/>
    <w:rsid w:val="00B52497"/>
    <w:rsid w:val="00B52725"/>
    <w:rsid w:val="00B5320E"/>
    <w:rsid w:val="00B53556"/>
    <w:rsid w:val="00B55335"/>
    <w:rsid w:val="00B55CB2"/>
    <w:rsid w:val="00B55DFE"/>
    <w:rsid w:val="00B57DB5"/>
    <w:rsid w:val="00B60EF4"/>
    <w:rsid w:val="00B61A1A"/>
    <w:rsid w:val="00B6271E"/>
    <w:rsid w:val="00B65009"/>
    <w:rsid w:val="00B65C12"/>
    <w:rsid w:val="00B65CE5"/>
    <w:rsid w:val="00B66CBA"/>
    <w:rsid w:val="00B66DC8"/>
    <w:rsid w:val="00B67DC0"/>
    <w:rsid w:val="00B7019C"/>
    <w:rsid w:val="00B71424"/>
    <w:rsid w:val="00B71976"/>
    <w:rsid w:val="00B71AB4"/>
    <w:rsid w:val="00B737E3"/>
    <w:rsid w:val="00B7415C"/>
    <w:rsid w:val="00B75216"/>
    <w:rsid w:val="00B76143"/>
    <w:rsid w:val="00B7657D"/>
    <w:rsid w:val="00B77511"/>
    <w:rsid w:val="00B8093D"/>
    <w:rsid w:val="00B80FF0"/>
    <w:rsid w:val="00B82FE5"/>
    <w:rsid w:val="00B83161"/>
    <w:rsid w:val="00B847E6"/>
    <w:rsid w:val="00B86608"/>
    <w:rsid w:val="00B907B7"/>
    <w:rsid w:val="00B9151C"/>
    <w:rsid w:val="00B9202B"/>
    <w:rsid w:val="00B92C77"/>
    <w:rsid w:val="00B9342E"/>
    <w:rsid w:val="00B93F71"/>
    <w:rsid w:val="00B9490A"/>
    <w:rsid w:val="00B94F3C"/>
    <w:rsid w:val="00B94F47"/>
    <w:rsid w:val="00B952C2"/>
    <w:rsid w:val="00B96097"/>
    <w:rsid w:val="00B966A5"/>
    <w:rsid w:val="00B96A76"/>
    <w:rsid w:val="00B973C2"/>
    <w:rsid w:val="00B9787B"/>
    <w:rsid w:val="00BA289B"/>
    <w:rsid w:val="00BA2ACF"/>
    <w:rsid w:val="00BA3030"/>
    <w:rsid w:val="00BA43E1"/>
    <w:rsid w:val="00BA461F"/>
    <w:rsid w:val="00BA52B5"/>
    <w:rsid w:val="00BA5508"/>
    <w:rsid w:val="00BA58DB"/>
    <w:rsid w:val="00BA6C45"/>
    <w:rsid w:val="00BB0693"/>
    <w:rsid w:val="00BB0A15"/>
    <w:rsid w:val="00BB1B98"/>
    <w:rsid w:val="00BB2902"/>
    <w:rsid w:val="00BB3DC2"/>
    <w:rsid w:val="00BB412D"/>
    <w:rsid w:val="00BB6ABC"/>
    <w:rsid w:val="00BC0038"/>
    <w:rsid w:val="00BC054B"/>
    <w:rsid w:val="00BC144B"/>
    <w:rsid w:val="00BC1E87"/>
    <w:rsid w:val="00BC2261"/>
    <w:rsid w:val="00BC3491"/>
    <w:rsid w:val="00BC4F42"/>
    <w:rsid w:val="00BC4FDD"/>
    <w:rsid w:val="00BC540D"/>
    <w:rsid w:val="00BC58C4"/>
    <w:rsid w:val="00BC5F48"/>
    <w:rsid w:val="00BC66C6"/>
    <w:rsid w:val="00BC68CE"/>
    <w:rsid w:val="00BC6C9C"/>
    <w:rsid w:val="00BC6E1C"/>
    <w:rsid w:val="00BC711D"/>
    <w:rsid w:val="00BC7FB0"/>
    <w:rsid w:val="00BD1B68"/>
    <w:rsid w:val="00BD2493"/>
    <w:rsid w:val="00BD25EE"/>
    <w:rsid w:val="00BD38BD"/>
    <w:rsid w:val="00BD448A"/>
    <w:rsid w:val="00BD4F12"/>
    <w:rsid w:val="00BD5C73"/>
    <w:rsid w:val="00BD6029"/>
    <w:rsid w:val="00BD7105"/>
    <w:rsid w:val="00BD7266"/>
    <w:rsid w:val="00BD79B2"/>
    <w:rsid w:val="00BD7D00"/>
    <w:rsid w:val="00BD7E38"/>
    <w:rsid w:val="00BE0012"/>
    <w:rsid w:val="00BE08A9"/>
    <w:rsid w:val="00BE11BA"/>
    <w:rsid w:val="00BE1785"/>
    <w:rsid w:val="00BE218B"/>
    <w:rsid w:val="00BE30DD"/>
    <w:rsid w:val="00BE3DEF"/>
    <w:rsid w:val="00BE5EC0"/>
    <w:rsid w:val="00BE63EC"/>
    <w:rsid w:val="00BE6566"/>
    <w:rsid w:val="00BE6DE8"/>
    <w:rsid w:val="00BE6EF2"/>
    <w:rsid w:val="00BE7405"/>
    <w:rsid w:val="00BE7DD9"/>
    <w:rsid w:val="00BF0D53"/>
    <w:rsid w:val="00BF1A4E"/>
    <w:rsid w:val="00BF2553"/>
    <w:rsid w:val="00BF3D2F"/>
    <w:rsid w:val="00BF3DC6"/>
    <w:rsid w:val="00BF43B1"/>
    <w:rsid w:val="00BF661A"/>
    <w:rsid w:val="00BF7776"/>
    <w:rsid w:val="00BF7BF3"/>
    <w:rsid w:val="00C00ADF"/>
    <w:rsid w:val="00C027D7"/>
    <w:rsid w:val="00C03288"/>
    <w:rsid w:val="00C03892"/>
    <w:rsid w:val="00C03D1B"/>
    <w:rsid w:val="00C03E3F"/>
    <w:rsid w:val="00C041DB"/>
    <w:rsid w:val="00C05CC7"/>
    <w:rsid w:val="00C061E4"/>
    <w:rsid w:val="00C07718"/>
    <w:rsid w:val="00C11266"/>
    <w:rsid w:val="00C12448"/>
    <w:rsid w:val="00C12898"/>
    <w:rsid w:val="00C138FD"/>
    <w:rsid w:val="00C13AAF"/>
    <w:rsid w:val="00C166D4"/>
    <w:rsid w:val="00C20295"/>
    <w:rsid w:val="00C21A13"/>
    <w:rsid w:val="00C225B1"/>
    <w:rsid w:val="00C22D1F"/>
    <w:rsid w:val="00C24CFD"/>
    <w:rsid w:val="00C253EF"/>
    <w:rsid w:val="00C25484"/>
    <w:rsid w:val="00C261BF"/>
    <w:rsid w:val="00C27896"/>
    <w:rsid w:val="00C308FF"/>
    <w:rsid w:val="00C30ABC"/>
    <w:rsid w:val="00C31691"/>
    <w:rsid w:val="00C32ED9"/>
    <w:rsid w:val="00C32F08"/>
    <w:rsid w:val="00C33109"/>
    <w:rsid w:val="00C3312F"/>
    <w:rsid w:val="00C33C02"/>
    <w:rsid w:val="00C34ACE"/>
    <w:rsid w:val="00C36857"/>
    <w:rsid w:val="00C369AC"/>
    <w:rsid w:val="00C37408"/>
    <w:rsid w:val="00C374C7"/>
    <w:rsid w:val="00C37BEC"/>
    <w:rsid w:val="00C40667"/>
    <w:rsid w:val="00C40C06"/>
    <w:rsid w:val="00C413AA"/>
    <w:rsid w:val="00C417FB"/>
    <w:rsid w:val="00C42479"/>
    <w:rsid w:val="00C42716"/>
    <w:rsid w:val="00C43F3F"/>
    <w:rsid w:val="00C44FB9"/>
    <w:rsid w:val="00C44FF3"/>
    <w:rsid w:val="00C4575A"/>
    <w:rsid w:val="00C47879"/>
    <w:rsid w:val="00C502CE"/>
    <w:rsid w:val="00C5050B"/>
    <w:rsid w:val="00C51ADC"/>
    <w:rsid w:val="00C522AE"/>
    <w:rsid w:val="00C530E8"/>
    <w:rsid w:val="00C534E3"/>
    <w:rsid w:val="00C53720"/>
    <w:rsid w:val="00C53C2A"/>
    <w:rsid w:val="00C54870"/>
    <w:rsid w:val="00C548B9"/>
    <w:rsid w:val="00C54F7C"/>
    <w:rsid w:val="00C564DF"/>
    <w:rsid w:val="00C56561"/>
    <w:rsid w:val="00C56E94"/>
    <w:rsid w:val="00C57620"/>
    <w:rsid w:val="00C57CAE"/>
    <w:rsid w:val="00C602C4"/>
    <w:rsid w:val="00C6064F"/>
    <w:rsid w:val="00C620E2"/>
    <w:rsid w:val="00C6285C"/>
    <w:rsid w:val="00C63BDF"/>
    <w:rsid w:val="00C647CD"/>
    <w:rsid w:val="00C660CA"/>
    <w:rsid w:val="00C66D2A"/>
    <w:rsid w:val="00C66F6F"/>
    <w:rsid w:val="00C670C9"/>
    <w:rsid w:val="00C7001E"/>
    <w:rsid w:val="00C710BA"/>
    <w:rsid w:val="00C734F1"/>
    <w:rsid w:val="00C7362C"/>
    <w:rsid w:val="00C73896"/>
    <w:rsid w:val="00C73A34"/>
    <w:rsid w:val="00C73D9C"/>
    <w:rsid w:val="00C754ED"/>
    <w:rsid w:val="00C75CF6"/>
    <w:rsid w:val="00C76CEE"/>
    <w:rsid w:val="00C77163"/>
    <w:rsid w:val="00C8064B"/>
    <w:rsid w:val="00C806F8"/>
    <w:rsid w:val="00C834E6"/>
    <w:rsid w:val="00C8361E"/>
    <w:rsid w:val="00C867C5"/>
    <w:rsid w:val="00C87009"/>
    <w:rsid w:val="00C87F47"/>
    <w:rsid w:val="00C90DD4"/>
    <w:rsid w:val="00C910D8"/>
    <w:rsid w:val="00C9125A"/>
    <w:rsid w:val="00C9213E"/>
    <w:rsid w:val="00C921D0"/>
    <w:rsid w:val="00C9616C"/>
    <w:rsid w:val="00C9618D"/>
    <w:rsid w:val="00C96BE3"/>
    <w:rsid w:val="00C97519"/>
    <w:rsid w:val="00CA0420"/>
    <w:rsid w:val="00CA0EF5"/>
    <w:rsid w:val="00CA359B"/>
    <w:rsid w:val="00CA38DD"/>
    <w:rsid w:val="00CA4863"/>
    <w:rsid w:val="00CA49F8"/>
    <w:rsid w:val="00CA537F"/>
    <w:rsid w:val="00CA5FC0"/>
    <w:rsid w:val="00CA5FC6"/>
    <w:rsid w:val="00CA60A8"/>
    <w:rsid w:val="00CA6E62"/>
    <w:rsid w:val="00CB0319"/>
    <w:rsid w:val="00CB0592"/>
    <w:rsid w:val="00CB193F"/>
    <w:rsid w:val="00CB2571"/>
    <w:rsid w:val="00CB27CB"/>
    <w:rsid w:val="00CB3AB8"/>
    <w:rsid w:val="00CB456C"/>
    <w:rsid w:val="00CB57CF"/>
    <w:rsid w:val="00CB5AB6"/>
    <w:rsid w:val="00CC0260"/>
    <w:rsid w:val="00CC152A"/>
    <w:rsid w:val="00CC2893"/>
    <w:rsid w:val="00CC3D41"/>
    <w:rsid w:val="00CC3F17"/>
    <w:rsid w:val="00CC40C7"/>
    <w:rsid w:val="00CC6A92"/>
    <w:rsid w:val="00CC6B3C"/>
    <w:rsid w:val="00CD00C3"/>
    <w:rsid w:val="00CD026F"/>
    <w:rsid w:val="00CD0524"/>
    <w:rsid w:val="00CD0A32"/>
    <w:rsid w:val="00CD14E5"/>
    <w:rsid w:val="00CD1A21"/>
    <w:rsid w:val="00CD2BB2"/>
    <w:rsid w:val="00CD3C27"/>
    <w:rsid w:val="00CD3E11"/>
    <w:rsid w:val="00CD4467"/>
    <w:rsid w:val="00CD57A4"/>
    <w:rsid w:val="00CD680F"/>
    <w:rsid w:val="00CD68F2"/>
    <w:rsid w:val="00CD6F9C"/>
    <w:rsid w:val="00CD782E"/>
    <w:rsid w:val="00CE0CCA"/>
    <w:rsid w:val="00CE15A0"/>
    <w:rsid w:val="00CE2079"/>
    <w:rsid w:val="00CE4701"/>
    <w:rsid w:val="00CE5404"/>
    <w:rsid w:val="00CE5495"/>
    <w:rsid w:val="00CE6612"/>
    <w:rsid w:val="00CF0136"/>
    <w:rsid w:val="00CF0C0E"/>
    <w:rsid w:val="00CF1228"/>
    <w:rsid w:val="00CF248C"/>
    <w:rsid w:val="00CF3CB6"/>
    <w:rsid w:val="00CF5B5C"/>
    <w:rsid w:val="00CF68D0"/>
    <w:rsid w:val="00CF69F6"/>
    <w:rsid w:val="00CF74D3"/>
    <w:rsid w:val="00CF766F"/>
    <w:rsid w:val="00CF7E0C"/>
    <w:rsid w:val="00D016F1"/>
    <w:rsid w:val="00D01C5B"/>
    <w:rsid w:val="00D03091"/>
    <w:rsid w:val="00D030A6"/>
    <w:rsid w:val="00D03FB4"/>
    <w:rsid w:val="00D06273"/>
    <w:rsid w:val="00D07B90"/>
    <w:rsid w:val="00D10096"/>
    <w:rsid w:val="00D10214"/>
    <w:rsid w:val="00D12C53"/>
    <w:rsid w:val="00D14427"/>
    <w:rsid w:val="00D147B0"/>
    <w:rsid w:val="00D15535"/>
    <w:rsid w:val="00D174E9"/>
    <w:rsid w:val="00D17D4F"/>
    <w:rsid w:val="00D17EEA"/>
    <w:rsid w:val="00D204A5"/>
    <w:rsid w:val="00D20DE1"/>
    <w:rsid w:val="00D21512"/>
    <w:rsid w:val="00D22A45"/>
    <w:rsid w:val="00D24272"/>
    <w:rsid w:val="00D24A37"/>
    <w:rsid w:val="00D259C1"/>
    <w:rsid w:val="00D25D91"/>
    <w:rsid w:val="00D25E37"/>
    <w:rsid w:val="00D262B4"/>
    <w:rsid w:val="00D277B9"/>
    <w:rsid w:val="00D30CB5"/>
    <w:rsid w:val="00D3308D"/>
    <w:rsid w:val="00D33E93"/>
    <w:rsid w:val="00D34988"/>
    <w:rsid w:val="00D414C9"/>
    <w:rsid w:val="00D42ADD"/>
    <w:rsid w:val="00D4328B"/>
    <w:rsid w:val="00D45F7C"/>
    <w:rsid w:val="00D50AD0"/>
    <w:rsid w:val="00D5140A"/>
    <w:rsid w:val="00D5236B"/>
    <w:rsid w:val="00D52471"/>
    <w:rsid w:val="00D53524"/>
    <w:rsid w:val="00D54B56"/>
    <w:rsid w:val="00D56185"/>
    <w:rsid w:val="00D56257"/>
    <w:rsid w:val="00D6074C"/>
    <w:rsid w:val="00D618F2"/>
    <w:rsid w:val="00D61F77"/>
    <w:rsid w:val="00D6260D"/>
    <w:rsid w:val="00D62639"/>
    <w:rsid w:val="00D62A93"/>
    <w:rsid w:val="00D64DDB"/>
    <w:rsid w:val="00D655FE"/>
    <w:rsid w:val="00D65D37"/>
    <w:rsid w:val="00D65D8B"/>
    <w:rsid w:val="00D6600A"/>
    <w:rsid w:val="00D66567"/>
    <w:rsid w:val="00D67475"/>
    <w:rsid w:val="00D7042E"/>
    <w:rsid w:val="00D705CA"/>
    <w:rsid w:val="00D712C5"/>
    <w:rsid w:val="00D71311"/>
    <w:rsid w:val="00D73747"/>
    <w:rsid w:val="00D73E43"/>
    <w:rsid w:val="00D74B2A"/>
    <w:rsid w:val="00D75790"/>
    <w:rsid w:val="00D75882"/>
    <w:rsid w:val="00D76134"/>
    <w:rsid w:val="00D765C2"/>
    <w:rsid w:val="00D80DE6"/>
    <w:rsid w:val="00D812A1"/>
    <w:rsid w:val="00D813F3"/>
    <w:rsid w:val="00D814A1"/>
    <w:rsid w:val="00D816C4"/>
    <w:rsid w:val="00D82326"/>
    <w:rsid w:val="00D838B0"/>
    <w:rsid w:val="00D83A85"/>
    <w:rsid w:val="00D8405E"/>
    <w:rsid w:val="00D8479E"/>
    <w:rsid w:val="00D86215"/>
    <w:rsid w:val="00D902C1"/>
    <w:rsid w:val="00D90C34"/>
    <w:rsid w:val="00D921B4"/>
    <w:rsid w:val="00D925ED"/>
    <w:rsid w:val="00D93649"/>
    <w:rsid w:val="00D942B6"/>
    <w:rsid w:val="00D948CA"/>
    <w:rsid w:val="00D94A47"/>
    <w:rsid w:val="00D96925"/>
    <w:rsid w:val="00DA0DDF"/>
    <w:rsid w:val="00DA1157"/>
    <w:rsid w:val="00DA1A74"/>
    <w:rsid w:val="00DA24B9"/>
    <w:rsid w:val="00DA25A6"/>
    <w:rsid w:val="00DA2884"/>
    <w:rsid w:val="00DA2F8F"/>
    <w:rsid w:val="00DA323F"/>
    <w:rsid w:val="00DA451E"/>
    <w:rsid w:val="00DA5071"/>
    <w:rsid w:val="00DA5545"/>
    <w:rsid w:val="00DA557D"/>
    <w:rsid w:val="00DA5833"/>
    <w:rsid w:val="00DA7811"/>
    <w:rsid w:val="00DA7ADC"/>
    <w:rsid w:val="00DB0439"/>
    <w:rsid w:val="00DB0EF2"/>
    <w:rsid w:val="00DB0FCA"/>
    <w:rsid w:val="00DB22DC"/>
    <w:rsid w:val="00DB322B"/>
    <w:rsid w:val="00DB3ABF"/>
    <w:rsid w:val="00DB3D5A"/>
    <w:rsid w:val="00DB4196"/>
    <w:rsid w:val="00DB45A4"/>
    <w:rsid w:val="00DB4C80"/>
    <w:rsid w:val="00DB5F24"/>
    <w:rsid w:val="00DB7167"/>
    <w:rsid w:val="00DC0717"/>
    <w:rsid w:val="00DC1126"/>
    <w:rsid w:val="00DC20ED"/>
    <w:rsid w:val="00DC2102"/>
    <w:rsid w:val="00DC2B6E"/>
    <w:rsid w:val="00DC30C4"/>
    <w:rsid w:val="00DC3922"/>
    <w:rsid w:val="00DC3A46"/>
    <w:rsid w:val="00DD03B2"/>
    <w:rsid w:val="00DD0476"/>
    <w:rsid w:val="00DD0B11"/>
    <w:rsid w:val="00DD0E70"/>
    <w:rsid w:val="00DD1511"/>
    <w:rsid w:val="00DD1EA2"/>
    <w:rsid w:val="00DD20B3"/>
    <w:rsid w:val="00DD329C"/>
    <w:rsid w:val="00DD38A8"/>
    <w:rsid w:val="00DD3C34"/>
    <w:rsid w:val="00DD4281"/>
    <w:rsid w:val="00DD46B5"/>
    <w:rsid w:val="00DD7DF2"/>
    <w:rsid w:val="00DE04E4"/>
    <w:rsid w:val="00DE14F8"/>
    <w:rsid w:val="00DE26AD"/>
    <w:rsid w:val="00DE28C8"/>
    <w:rsid w:val="00DE2C68"/>
    <w:rsid w:val="00DE2FA0"/>
    <w:rsid w:val="00DE330D"/>
    <w:rsid w:val="00DE3476"/>
    <w:rsid w:val="00DE4399"/>
    <w:rsid w:val="00DF0455"/>
    <w:rsid w:val="00DF09CF"/>
    <w:rsid w:val="00DF2575"/>
    <w:rsid w:val="00DF369A"/>
    <w:rsid w:val="00DF4DEB"/>
    <w:rsid w:val="00DF57EB"/>
    <w:rsid w:val="00DF62A1"/>
    <w:rsid w:val="00E007F6"/>
    <w:rsid w:val="00E00C98"/>
    <w:rsid w:val="00E00DBA"/>
    <w:rsid w:val="00E01789"/>
    <w:rsid w:val="00E0216C"/>
    <w:rsid w:val="00E029C3"/>
    <w:rsid w:val="00E02EF0"/>
    <w:rsid w:val="00E02F1B"/>
    <w:rsid w:val="00E02FD6"/>
    <w:rsid w:val="00E048C9"/>
    <w:rsid w:val="00E04D75"/>
    <w:rsid w:val="00E04EDB"/>
    <w:rsid w:val="00E059A3"/>
    <w:rsid w:val="00E074D1"/>
    <w:rsid w:val="00E10953"/>
    <w:rsid w:val="00E10F80"/>
    <w:rsid w:val="00E11C95"/>
    <w:rsid w:val="00E14447"/>
    <w:rsid w:val="00E1475E"/>
    <w:rsid w:val="00E14799"/>
    <w:rsid w:val="00E15F91"/>
    <w:rsid w:val="00E16234"/>
    <w:rsid w:val="00E16B95"/>
    <w:rsid w:val="00E16DB5"/>
    <w:rsid w:val="00E17610"/>
    <w:rsid w:val="00E1795C"/>
    <w:rsid w:val="00E17E46"/>
    <w:rsid w:val="00E23A1D"/>
    <w:rsid w:val="00E24C77"/>
    <w:rsid w:val="00E2727B"/>
    <w:rsid w:val="00E30186"/>
    <w:rsid w:val="00E311CD"/>
    <w:rsid w:val="00E32492"/>
    <w:rsid w:val="00E32518"/>
    <w:rsid w:val="00E3252D"/>
    <w:rsid w:val="00E332A7"/>
    <w:rsid w:val="00E3347B"/>
    <w:rsid w:val="00E34555"/>
    <w:rsid w:val="00E346A3"/>
    <w:rsid w:val="00E3560A"/>
    <w:rsid w:val="00E35986"/>
    <w:rsid w:val="00E3681A"/>
    <w:rsid w:val="00E37576"/>
    <w:rsid w:val="00E41034"/>
    <w:rsid w:val="00E410CA"/>
    <w:rsid w:val="00E4145E"/>
    <w:rsid w:val="00E41D6A"/>
    <w:rsid w:val="00E41F5F"/>
    <w:rsid w:val="00E42189"/>
    <w:rsid w:val="00E439FB"/>
    <w:rsid w:val="00E45836"/>
    <w:rsid w:val="00E510E3"/>
    <w:rsid w:val="00E51534"/>
    <w:rsid w:val="00E51AFF"/>
    <w:rsid w:val="00E52661"/>
    <w:rsid w:val="00E5278F"/>
    <w:rsid w:val="00E531F8"/>
    <w:rsid w:val="00E53AD5"/>
    <w:rsid w:val="00E55B77"/>
    <w:rsid w:val="00E55C8B"/>
    <w:rsid w:val="00E60FBF"/>
    <w:rsid w:val="00E62B49"/>
    <w:rsid w:val="00E63952"/>
    <w:rsid w:val="00E64159"/>
    <w:rsid w:val="00E65CCA"/>
    <w:rsid w:val="00E66AF1"/>
    <w:rsid w:val="00E676E6"/>
    <w:rsid w:val="00E70900"/>
    <w:rsid w:val="00E70C60"/>
    <w:rsid w:val="00E71514"/>
    <w:rsid w:val="00E729F2"/>
    <w:rsid w:val="00E72BA2"/>
    <w:rsid w:val="00E72D8F"/>
    <w:rsid w:val="00E72F1F"/>
    <w:rsid w:val="00E73626"/>
    <w:rsid w:val="00E73CF5"/>
    <w:rsid w:val="00E750E9"/>
    <w:rsid w:val="00E76623"/>
    <w:rsid w:val="00E76BFE"/>
    <w:rsid w:val="00E7780A"/>
    <w:rsid w:val="00E77880"/>
    <w:rsid w:val="00E810AC"/>
    <w:rsid w:val="00E81BDF"/>
    <w:rsid w:val="00E8276A"/>
    <w:rsid w:val="00E83213"/>
    <w:rsid w:val="00E847E5"/>
    <w:rsid w:val="00E85313"/>
    <w:rsid w:val="00E854FA"/>
    <w:rsid w:val="00E879A1"/>
    <w:rsid w:val="00E9014C"/>
    <w:rsid w:val="00E90287"/>
    <w:rsid w:val="00E903A5"/>
    <w:rsid w:val="00E93886"/>
    <w:rsid w:val="00E94E54"/>
    <w:rsid w:val="00E9522D"/>
    <w:rsid w:val="00E95E6A"/>
    <w:rsid w:val="00EA05FF"/>
    <w:rsid w:val="00EA0838"/>
    <w:rsid w:val="00EA21E4"/>
    <w:rsid w:val="00EA44C5"/>
    <w:rsid w:val="00EA5564"/>
    <w:rsid w:val="00EA70DD"/>
    <w:rsid w:val="00EA7142"/>
    <w:rsid w:val="00EA7E76"/>
    <w:rsid w:val="00EB07A0"/>
    <w:rsid w:val="00EB1B93"/>
    <w:rsid w:val="00EB221B"/>
    <w:rsid w:val="00EB40C5"/>
    <w:rsid w:val="00EB4B7F"/>
    <w:rsid w:val="00EB4F1E"/>
    <w:rsid w:val="00EB519F"/>
    <w:rsid w:val="00EB5554"/>
    <w:rsid w:val="00EB6096"/>
    <w:rsid w:val="00EB7331"/>
    <w:rsid w:val="00EB795E"/>
    <w:rsid w:val="00EB7FDD"/>
    <w:rsid w:val="00EB7FF6"/>
    <w:rsid w:val="00EC0065"/>
    <w:rsid w:val="00EC08AE"/>
    <w:rsid w:val="00EC0DE7"/>
    <w:rsid w:val="00EC2011"/>
    <w:rsid w:val="00EC2394"/>
    <w:rsid w:val="00EC2B50"/>
    <w:rsid w:val="00EC305F"/>
    <w:rsid w:val="00EC31FF"/>
    <w:rsid w:val="00EC4923"/>
    <w:rsid w:val="00EC5831"/>
    <w:rsid w:val="00EC5D20"/>
    <w:rsid w:val="00EC66C6"/>
    <w:rsid w:val="00EC67F8"/>
    <w:rsid w:val="00ED096B"/>
    <w:rsid w:val="00ED15F0"/>
    <w:rsid w:val="00ED1A4F"/>
    <w:rsid w:val="00ED301A"/>
    <w:rsid w:val="00ED4577"/>
    <w:rsid w:val="00ED4BE6"/>
    <w:rsid w:val="00ED7EC6"/>
    <w:rsid w:val="00EE007A"/>
    <w:rsid w:val="00EE0717"/>
    <w:rsid w:val="00EE2243"/>
    <w:rsid w:val="00EE23A0"/>
    <w:rsid w:val="00EE2944"/>
    <w:rsid w:val="00EE431F"/>
    <w:rsid w:val="00EE756C"/>
    <w:rsid w:val="00EE78BB"/>
    <w:rsid w:val="00EE7D06"/>
    <w:rsid w:val="00EF05AD"/>
    <w:rsid w:val="00EF0F5B"/>
    <w:rsid w:val="00EF132A"/>
    <w:rsid w:val="00EF2ED1"/>
    <w:rsid w:val="00EF56BC"/>
    <w:rsid w:val="00EF653D"/>
    <w:rsid w:val="00EF6852"/>
    <w:rsid w:val="00EF6930"/>
    <w:rsid w:val="00EF76D2"/>
    <w:rsid w:val="00F001CE"/>
    <w:rsid w:val="00F0132C"/>
    <w:rsid w:val="00F01C98"/>
    <w:rsid w:val="00F0207C"/>
    <w:rsid w:val="00F02232"/>
    <w:rsid w:val="00F02A33"/>
    <w:rsid w:val="00F02FFA"/>
    <w:rsid w:val="00F035CF"/>
    <w:rsid w:val="00F037FF"/>
    <w:rsid w:val="00F055E4"/>
    <w:rsid w:val="00F05C04"/>
    <w:rsid w:val="00F062F0"/>
    <w:rsid w:val="00F0672F"/>
    <w:rsid w:val="00F0692E"/>
    <w:rsid w:val="00F071F3"/>
    <w:rsid w:val="00F10623"/>
    <w:rsid w:val="00F10655"/>
    <w:rsid w:val="00F11583"/>
    <w:rsid w:val="00F134E3"/>
    <w:rsid w:val="00F150C7"/>
    <w:rsid w:val="00F15EAA"/>
    <w:rsid w:val="00F165EF"/>
    <w:rsid w:val="00F168E4"/>
    <w:rsid w:val="00F179F2"/>
    <w:rsid w:val="00F203C7"/>
    <w:rsid w:val="00F2046F"/>
    <w:rsid w:val="00F205B2"/>
    <w:rsid w:val="00F20A5A"/>
    <w:rsid w:val="00F20BD2"/>
    <w:rsid w:val="00F216CA"/>
    <w:rsid w:val="00F225C7"/>
    <w:rsid w:val="00F23A75"/>
    <w:rsid w:val="00F24996"/>
    <w:rsid w:val="00F2512B"/>
    <w:rsid w:val="00F251C1"/>
    <w:rsid w:val="00F25652"/>
    <w:rsid w:val="00F25FF8"/>
    <w:rsid w:val="00F2613C"/>
    <w:rsid w:val="00F2707C"/>
    <w:rsid w:val="00F275BE"/>
    <w:rsid w:val="00F2785B"/>
    <w:rsid w:val="00F303DA"/>
    <w:rsid w:val="00F32AF7"/>
    <w:rsid w:val="00F3386A"/>
    <w:rsid w:val="00F33BE0"/>
    <w:rsid w:val="00F34483"/>
    <w:rsid w:val="00F35D68"/>
    <w:rsid w:val="00F36266"/>
    <w:rsid w:val="00F36274"/>
    <w:rsid w:val="00F378AA"/>
    <w:rsid w:val="00F40479"/>
    <w:rsid w:val="00F44389"/>
    <w:rsid w:val="00F45C8D"/>
    <w:rsid w:val="00F46594"/>
    <w:rsid w:val="00F46FE3"/>
    <w:rsid w:val="00F50669"/>
    <w:rsid w:val="00F5100C"/>
    <w:rsid w:val="00F52550"/>
    <w:rsid w:val="00F57C24"/>
    <w:rsid w:val="00F60276"/>
    <w:rsid w:val="00F603EC"/>
    <w:rsid w:val="00F606F6"/>
    <w:rsid w:val="00F607B8"/>
    <w:rsid w:val="00F62E9C"/>
    <w:rsid w:val="00F63983"/>
    <w:rsid w:val="00F66F46"/>
    <w:rsid w:val="00F678E1"/>
    <w:rsid w:val="00F7038C"/>
    <w:rsid w:val="00F70B5D"/>
    <w:rsid w:val="00F71403"/>
    <w:rsid w:val="00F7196C"/>
    <w:rsid w:val="00F71C41"/>
    <w:rsid w:val="00F723A1"/>
    <w:rsid w:val="00F723ED"/>
    <w:rsid w:val="00F731A4"/>
    <w:rsid w:val="00F7381F"/>
    <w:rsid w:val="00F75757"/>
    <w:rsid w:val="00F75CA7"/>
    <w:rsid w:val="00F75CFA"/>
    <w:rsid w:val="00F7653A"/>
    <w:rsid w:val="00F76742"/>
    <w:rsid w:val="00F771F0"/>
    <w:rsid w:val="00F77857"/>
    <w:rsid w:val="00F77A46"/>
    <w:rsid w:val="00F77F16"/>
    <w:rsid w:val="00F80772"/>
    <w:rsid w:val="00F80898"/>
    <w:rsid w:val="00F82C9B"/>
    <w:rsid w:val="00F82CFD"/>
    <w:rsid w:val="00F82EE8"/>
    <w:rsid w:val="00F83373"/>
    <w:rsid w:val="00F83F9A"/>
    <w:rsid w:val="00F846D6"/>
    <w:rsid w:val="00F8510D"/>
    <w:rsid w:val="00F86119"/>
    <w:rsid w:val="00F8689F"/>
    <w:rsid w:val="00F9010F"/>
    <w:rsid w:val="00F922FE"/>
    <w:rsid w:val="00F929B5"/>
    <w:rsid w:val="00F93648"/>
    <w:rsid w:val="00F94248"/>
    <w:rsid w:val="00F94B01"/>
    <w:rsid w:val="00F95067"/>
    <w:rsid w:val="00F977A3"/>
    <w:rsid w:val="00F97B81"/>
    <w:rsid w:val="00FA0D48"/>
    <w:rsid w:val="00FA132F"/>
    <w:rsid w:val="00FA3A65"/>
    <w:rsid w:val="00FA4007"/>
    <w:rsid w:val="00FA44A9"/>
    <w:rsid w:val="00FA4B3C"/>
    <w:rsid w:val="00FA5432"/>
    <w:rsid w:val="00FA7496"/>
    <w:rsid w:val="00FA7DBD"/>
    <w:rsid w:val="00FB0B44"/>
    <w:rsid w:val="00FB1701"/>
    <w:rsid w:val="00FB1B60"/>
    <w:rsid w:val="00FB25F5"/>
    <w:rsid w:val="00FB2612"/>
    <w:rsid w:val="00FB2DEB"/>
    <w:rsid w:val="00FB2E21"/>
    <w:rsid w:val="00FB2F86"/>
    <w:rsid w:val="00FB45CC"/>
    <w:rsid w:val="00FB46B7"/>
    <w:rsid w:val="00FB5297"/>
    <w:rsid w:val="00FB5344"/>
    <w:rsid w:val="00FB5898"/>
    <w:rsid w:val="00FB58DD"/>
    <w:rsid w:val="00FB6184"/>
    <w:rsid w:val="00FB6714"/>
    <w:rsid w:val="00FB6ED1"/>
    <w:rsid w:val="00FC0182"/>
    <w:rsid w:val="00FC080C"/>
    <w:rsid w:val="00FC1D92"/>
    <w:rsid w:val="00FC33E6"/>
    <w:rsid w:val="00FC3791"/>
    <w:rsid w:val="00FC3CDF"/>
    <w:rsid w:val="00FC3D47"/>
    <w:rsid w:val="00FC41B3"/>
    <w:rsid w:val="00FC4605"/>
    <w:rsid w:val="00FC486A"/>
    <w:rsid w:val="00FC623A"/>
    <w:rsid w:val="00FC6BB2"/>
    <w:rsid w:val="00FC73FF"/>
    <w:rsid w:val="00FC74E8"/>
    <w:rsid w:val="00FD16DF"/>
    <w:rsid w:val="00FD2548"/>
    <w:rsid w:val="00FD373E"/>
    <w:rsid w:val="00FD4908"/>
    <w:rsid w:val="00FD63A5"/>
    <w:rsid w:val="00FD69BC"/>
    <w:rsid w:val="00FD750F"/>
    <w:rsid w:val="00FD79BA"/>
    <w:rsid w:val="00FE0058"/>
    <w:rsid w:val="00FE010E"/>
    <w:rsid w:val="00FE27EB"/>
    <w:rsid w:val="00FE316F"/>
    <w:rsid w:val="00FE4B0B"/>
    <w:rsid w:val="00FE5D9B"/>
    <w:rsid w:val="00FF19AF"/>
    <w:rsid w:val="00FF2B85"/>
    <w:rsid w:val="00FF3BFB"/>
    <w:rsid w:val="00FF3EC4"/>
    <w:rsid w:val="00FF402B"/>
    <w:rsid w:val="00FF4E1A"/>
    <w:rsid w:val="00FF60E4"/>
    <w:rsid w:val="00FF693E"/>
    <w:rsid w:val="00FF75E2"/>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D6BD3"/>
  <w15:chartTrackingRefBased/>
  <w15:docId w15:val="{A4270A69-75A8-4D66-B497-6FAB247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DE"/>
    <w:rPr>
      <w:lang w:val="en-GB"/>
    </w:rPr>
  </w:style>
  <w:style w:type="paragraph" w:styleId="Heading1">
    <w:name w:val="heading 1"/>
    <w:basedOn w:val="Normal"/>
    <w:next w:val="Normal"/>
    <w:link w:val="Heading1Char"/>
    <w:uiPriority w:val="99"/>
    <w:qFormat/>
    <w:rsid w:val="000F21DE"/>
    <w:pPr>
      <w:keepNext/>
      <w:jc w:val="both"/>
      <w:outlineLvl w:val="0"/>
    </w:pPr>
    <w:rPr>
      <w:rFonts w:ascii="Cambria" w:hAnsi="Cambria"/>
      <w:b/>
      <w:bCs/>
      <w:kern w:val="32"/>
      <w:sz w:val="32"/>
      <w:szCs w:val="32"/>
      <w:lang w:eastAsia="x-none"/>
    </w:rPr>
  </w:style>
  <w:style w:type="paragraph" w:styleId="Heading2">
    <w:name w:val="heading 2"/>
    <w:basedOn w:val="Normal"/>
    <w:next w:val="Normal"/>
    <w:qFormat/>
    <w:locked/>
    <w:rsid w:val="00FF2B85"/>
    <w:pPr>
      <w:keepNext/>
      <w:jc w:val="both"/>
      <w:outlineLvl w:val="1"/>
    </w:pPr>
    <w:rPr>
      <w:b/>
      <w:sz w:val="24"/>
    </w:rPr>
  </w:style>
  <w:style w:type="paragraph" w:styleId="Heading3">
    <w:name w:val="heading 3"/>
    <w:basedOn w:val="Normal"/>
    <w:next w:val="Normal"/>
    <w:qFormat/>
    <w:locked/>
    <w:rsid w:val="008022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F5100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F5100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F5100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F5100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F5100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F5100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6D85"/>
    <w:rPr>
      <w:rFonts w:ascii="Cambria" w:hAnsi="Cambria" w:cs="Cambria"/>
      <w:b/>
      <w:bCs/>
      <w:kern w:val="32"/>
      <w:sz w:val="32"/>
      <w:szCs w:val="32"/>
      <w:lang w:val="en-GB"/>
    </w:rPr>
  </w:style>
  <w:style w:type="character" w:styleId="PageNumber">
    <w:name w:val="page number"/>
    <w:basedOn w:val="DefaultParagraphFont"/>
    <w:uiPriority w:val="99"/>
    <w:rsid w:val="000F21DE"/>
  </w:style>
  <w:style w:type="paragraph" w:styleId="Header">
    <w:name w:val="header"/>
    <w:basedOn w:val="Normal"/>
    <w:link w:val="HeaderChar"/>
    <w:uiPriority w:val="99"/>
    <w:rsid w:val="000F21DE"/>
    <w:pPr>
      <w:tabs>
        <w:tab w:val="center" w:pos="4320"/>
        <w:tab w:val="right" w:pos="8640"/>
      </w:tabs>
    </w:pPr>
    <w:rPr>
      <w:lang w:eastAsia="x-none"/>
    </w:rPr>
  </w:style>
  <w:style w:type="character" w:customStyle="1" w:styleId="HeaderChar">
    <w:name w:val="Header Char"/>
    <w:link w:val="Header"/>
    <w:uiPriority w:val="99"/>
    <w:locked/>
    <w:rsid w:val="00176D85"/>
    <w:rPr>
      <w:sz w:val="20"/>
      <w:szCs w:val="20"/>
      <w:lang w:val="en-GB"/>
    </w:rPr>
  </w:style>
  <w:style w:type="paragraph" w:styleId="BodyTextIndent3">
    <w:name w:val="Body Text Indent 3"/>
    <w:basedOn w:val="Normal"/>
    <w:link w:val="BodyTextIndent3Char"/>
    <w:uiPriority w:val="99"/>
    <w:rsid w:val="000F21DE"/>
    <w:pPr>
      <w:ind w:left="1134" w:hanging="425"/>
    </w:pPr>
    <w:rPr>
      <w:sz w:val="16"/>
      <w:szCs w:val="16"/>
      <w:lang w:eastAsia="x-none"/>
    </w:rPr>
  </w:style>
  <w:style w:type="character" w:customStyle="1" w:styleId="BodyTextIndent3Char">
    <w:name w:val="Body Text Indent 3 Char"/>
    <w:link w:val="BodyTextIndent3"/>
    <w:uiPriority w:val="99"/>
    <w:semiHidden/>
    <w:locked/>
    <w:rsid w:val="00176D85"/>
    <w:rPr>
      <w:sz w:val="16"/>
      <w:szCs w:val="16"/>
      <w:lang w:val="en-GB"/>
    </w:rPr>
  </w:style>
  <w:style w:type="paragraph" w:styleId="BodyTextIndent">
    <w:name w:val="Body Text Indent"/>
    <w:basedOn w:val="Normal"/>
    <w:link w:val="BodyTextIndentChar1"/>
    <w:uiPriority w:val="99"/>
    <w:rsid w:val="000F21DE"/>
    <w:pPr>
      <w:ind w:firstLine="720"/>
      <w:jc w:val="both"/>
    </w:pPr>
    <w:rPr>
      <w:lang w:eastAsia="x-none"/>
    </w:rPr>
  </w:style>
  <w:style w:type="character" w:customStyle="1" w:styleId="BodyTextIndentChar1">
    <w:name w:val="Body Text Indent Char1"/>
    <w:link w:val="BodyTextIndent"/>
    <w:uiPriority w:val="99"/>
    <w:locked/>
    <w:rsid w:val="00176D85"/>
    <w:rPr>
      <w:sz w:val="20"/>
      <w:szCs w:val="20"/>
      <w:lang w:val="en-GB"/>
    </w:rPr>
  </w:style>
  <w:style w:type="paragraph" w:styleId="BalloonText">
    <w:name w:val="Balloon Text"/>
    <w:basedOn w:val="Normal"/>
    <w:link w:val="BalloonTextChar"/>
    <w:uiPriority w:val="99"/>
    <w:semiHidden/>
    <w:rsid w:val="000F21DE"/>
    <w:rPr>
      <w:sz w:val="2"/>
      <w:szCs w:val="2"/>
      <w:lang w:eastAsia="x-none"/>
    </w:rPr>
  </w:style>
  <w:style w:type="character" w:customStyle="1" w:styleId="BalloonTextChar">
    <w:name w:val="Balloon Text Char"/>
    <w:link w:val="BalloonText"/>
    <w:uiPriority w:val="99"/>
    <w:semiHidden/>
    <w:locked/>
    <w:rsid w:val="00176D85"/>
    <w:rPr>
      <w:sz w:val="2"/>
      <w:szCs w:val="2"/>
      <w:lang w:val="en-GB"/>
    </w:rPr>
  </w:style>
  <w:style w:type="paragraph" w:styleId="Footer">
    <w:name w:val="footer"/>
    <w:basedOn w:val="Normal"/>
    <w:link w:val="FooterChar"/>
    <w:uiPriority w:val="99"/>
    <w:rsid w:val="000F21DE"/>
    <w:pPr>
      <w:tabs>
        <w:tab w:val="center" w:pos="4320"/>
        <w:tab w:val="right" w:pos="8640"/>
      </w:tabs>
    </w:pPr>
    <w:rPr>
      <w:lang w:eastAsia="x-none"/>
    </w:rPr>
  </w:style>
  <w:style w:type="character" w:customStyle="1" w:styleId="FooterChar">
    <w:name w:val="Footer Char"/>
    <w:link w:val="Footer"/>
    <w:uiPriority w:val="99"/>
    <w:locked/>
    <w:rsid w:val="00176D85"/>
    <w:rPr>
      <w:sz w:val="20"/>
      <w:szCs w:val="20"/>
      <w:lang w:val="en-GB"/>
    </w:rPr>
  </w:style>
  <w:style w:type="paragraph" w:styleId="BodyTextIndent2">
    <w:name w:val="Body Text Indent 2"/>
    <w:basedOn w:val="Normal"/>
    <w:link w:val="BodyTextIndent2Char"/>
    <w:uiPriority w:val="99"/>
    <w:rsid w:val="000F21DE"/>
    <w:pPr>
      <w:ind w:firstLine="720"/>
    </w:pPr>
    <w:rPr>
      <w:lang w:eastAsia="x-none"/>
    </w:rPr>
  </w:style>
  <w:style w:type="character" w:customStyle="1" w:styleId="BodyTextIndent2Char">
    <w:name w:val="Body Text Indent 2 Char"/>
    <w:link w:val="BodyTextIndent2"/>
    <w:uiPriority w:val="99"/>
    <w:semiHidden/>
    <w:locked/>
    <w:rsid w:val="00176D85"/>
    <w:rPr>
      <w:sz w:val="20"/>
      <w:szCs w:val="20"/>
      <w:lang w:val="en-GB"/>
    </w:rPr>
  </w:style>
  <w:style w:type="paragraph" w:styleId="BodyText">
    <w:name w:val="Body Text"/>
    <w:basedOn w:val="Normal"/>
    <w:link w:val="BodyTextChar"/>
    <w:uiPriority w:val="99"/>
    <w:rsid w:val="000F21DE"/>
    <w:pPr>
      <w:spacing w:line="360" w:lineRule="exact"/>
      <w:jc w:val="both"/>
    </w:pPr>
    <w:rPr>
      <w:lang w:eastAsia="x-none"/>
    </w:rPr>
  </w:style>
  <w:style w:type="character" w:customStyle="1" w:styleId="BodyTextChar">
    <w:name w:val="Body Text Char"/>
    <w:link w:val="BodyText"/>
    <w:uiPriority w:val="99"/>
    <w:semiHidden/>
    <w:locked/>
    <w:rsid w:val="00176D85"/>
    <w:rPr>
      <w:sz w:val="20"/>
      <w:szCs w:val="20"/>
      <w:lang w:val="en-GB"/>
    </w:rPr>
  </w:style>
  <w:style w:type="character" w:customStyle="1" w:styleId="BodyTextIndentChar">
    <w:name w:val="Body Text Indent Char"/>
    <w:semiHidden/>
    <w:locked/>
    <w:rsid w:val="002C7F13"/>
    <w:rPr>
      <w:rFonts w:cs="Times New Roman"/>
      <w:sz w:val="20"/>
      <w:szCs w:val="20"/>
      <w:lang w:val="en-GB"/>
    </w:rPr>
  </w:style>
  <w:style w:type="paragraph" w:styleId="NoSpacing">
    <w:name w:val="No Spacing"/>
    <w:uiPriority w:val="1"/>
    <w:qFormat/>
    <w:rsid w:val="00DB3ABF"/>
    <w:rPr>
      <w:lang w:val="en-GB"/>
    </w:rPr>
  </w:style>
  <w:style w:type="paragraph" w:customStyle="1" w:styleId="BodyText11pt">
    <w:name w:val="Body Text + 11 pt"/>
    <w:aliases w:val="Left:  0.39&quot;,Line spacing:  single"/>
    <w:basedOn w:val="BodyText"/>
    <w:rsid w:val="00AE0CBE"/>
    <w:pPr>
      <w:spacing w:line="240" w:lineRule="auto"/>
      <w:ind w:left="562"/>
    </w:pPr>
    <w:rPr>
      <w:sz w:val="22"/>
      <w:szCs w:val="22"/>
    </w:rPr>
  </w:style>
  <w:style w:type="paragraph" w:styleId="ListParagraph">
    <w:name w:val="List Paragraph"/>
    <w:basedOn w:val="Normal"/>
    <w:uiPriority w:val="34"/>
    <w:qFormat/>
    <w:rsid w:val="00F10623"/>
    <w:pPr>
      <w:ind w:left="720"/>
    </w:pPr>
    <w:rPr>
      <w:lang w:val="en-US"/>
    </w:rPr>
  </w:style>
  <w:style w:type="paragraph" w:customStyle="1" w:styleId="BodyTextCharChar">
    <w:name w:val="Body Text Char Char"/>
    <w:basedOn w:val="Normal"/>
    <w:rsid w:val="002058AF"/>
    <w:pPr>
      <w:spacing w:line="360" w:lineRule="exact"/>
      <w:jc w:val="both"/>
    </w:pPr>
    <w:rPr>
      <w:sz w:val="24"/>
      <w:lang w:val="en-US"/>
    </w:rPr>
  </w:style>
  <w:style w:type="paragraph" w:customStyle="1" w:styleId="BodyTextIndent2CharChar">
    <w:name w:val="Body Text Indent 2 Char Char"/>
    <w:basedOn w:val="Normal"/>
    <w:rsid w:val="002058AF"/>
    <w:pPr>
      <w:ind w:firstLine="720"/>
    </w:pPr>
    <w:rPr>
      <w:sz w:val="24"/>
      <w:lang w:val="en-US"/>
    </w:rPr>
  </w:style>
  <w:style w:type="paragraph" w:customStyle="1" w:styleId="NormalWebCharChar">
    <w:name w:val="Normal (Web) Char Char"/>
    <w:basedOn w:val="Normal"/>
    <w:rsid w:val="002058AF"/>
    <w:pPr>
      <w:spacing w:before="100" w:beforeAutospacing="1" w:after="100" w:afterAutospacing="1"/>
    </w:pPr>
    <w:rPr>
      <w:sz w:val="24"/>
      <w:lang w:val="en-US"/>
    </w:rPr>
  </w:style>
  <w:style w:type="character" w:styleId="Hyperlink">
    <w:name w:val="Hyperlink"/>
    <w:uiPriority w:val="99"/>
    <w:unhideWhenUsed/>
    <w:rsid w:val="000C10E8"/>
    <w:rPr>
      <w:color w:val="0000FF"/>
      <w:u w:val="single"/>
    </w:rPr>
  </w:style>
  <w:style w:type="character" w:styleId="FollowedHyperlink">
    <w:name w:val="FollowedHyperlink"/>
    <w:uiPriority w:val="99"/>
    <w:semiHidden/>
    <w:unhideWhenUsed/>
    <w:rsid w:val="000C10E8"/>
    <w:rPr>
      <w:color w:val="800080"/>
      <w:u w:val="single"/>
    </w:rPr>
  </w:style>
  <w:style w:type="paragraph" w:styleId="NormalWeb">
    <w:name w:val="Normal (Web)"/>
    <w:basedOn w:val="Normal"/>
    <w:link w:val="NormalWebChar"/>
    <w:rsid w:val="0038019E"/>
    <w:pPr>
      <w:spacing w:before="100" w:beforeAutospacing="1" w:after="100" w:afterAutospacing="1"/>
    </w:pPr>
    <w:rPr>
      <w:szCs w:val="24"/>
      <w:lang w:val="x-none" w:eastAsia="x-none"/>
    </w:rPr>
  </w:style>
  <w:style w:type="character" w:customStyle="1" w:styleId="NormalWebChar">
    <w:name w:val="Normal (Web) Char"/>
    <w:link w:val="NormalWeb"/>
    <w:rsid w:val="0038019E"/>
    <w:rPr>
      <w:szCs w:val="24"/>
    </w:rPr>
  </w:style>
  <w:style w:type="character" w:styleId="CommentReference">
    <w:name w:val="annotation reference"/>
    <w:uiPriority w:val="99"/>
    <w:semiHidden/>
    <w:unhideWhenUsed/>
    <w:rsid w:val="00FA7DBD"/>
    <w:rPr>
      <w:sz w:val="16"/>
      <w:szCs w:val="16"/>
    </w:rPr>
  </w:style>
  <w:style w:type="paragraph" w:styleId="CommentText">
    <w:name w:val="annotation text"/>
    <w:basedOn w:val="Normal"/>
    <w:link w:val="CommentTextChar"/>
    <w:uiPriority w:val="99"/>
    <w:semiHidden/>
    <w:unhideWhenUsed/>
    <w:rsid w:val="00FA7DBD"/>
    <w:rPr>
      <w:lang w:eastAsia="x-none"/>
    </w:rPr>
  </w:style>
  <w:style w:type="character" w:customStyle="1" w:styleId="CommentTextChar">
    <w:name w:val="Comment Text Char"/>
    <w:link w:val="CommentText"/>
    <w:uiPriority w:val="99"/>
    <w:semiHidden/>
    <w:rsid w:val="00FA7DBD"/>
    <w:rPr>
      <w:lang w:val="en-GB"/>
    </w:rPr>
  </w:style>
  <w:style w:type="paragraph" w:styleId="CommentSubject">
    <w:name w:val="annotation subject"/>
    <w:basedOn w:val="CommentText"/>
    <w:next w:val="CommentText"/>
    <w:link w:val="CommentSubjectChar"/>
    <w:uiPriority w:val="99"/>
    <w:semiHidden/>
    <w:unhideWhenUsed/>
    <w:rsid w:val="00FA7DBD"/>
    <w:rPr>
      <w:b/>
      <w:bCs/>
    </w:rPr>
  </w:style>
  <w:style w:type="character" w:customStyle="1" w:styleId="CommentSubjectChar">
    <w:name w:val="Comment Subject Char"/>
    <w:link w:val="CommentSubject"/>
    <w:uiPriority w:val="99"/>
    <w:semiHidden/>
    <w:rsid w:val="00FA7DBD"/>
    <w:rPr>
      <w:b/>
      <w:bCs/>
      <w:lang w:val="en-GB"/>
    </w:rPr>
  </w:style>
  <w:style w:type="paragraph" w:styleId="Bibliography">
    <w:name w:val="Bibliography"/>
    <w:basedOn w:val="Normal"/>
    <w:next w:val="Normal"/>
    <w:uiPriority w:val="37"/>
    <w:semiHidden/>
    <w:unhideWhenUsed/>
    <w:rsid w:val="00F5100C"/>
  </w:style>
  <w:style w:type="paragraph" w:styleId="BlockText">
    <w:name w:val="Block Text"/>
    <w:basedOn w:val="Normal"/>
    <w:uiPriority w:val="99"/>
    <w:semiHidden/>
    <w:unhideWhenUsed/>
    <w:rsid w:val="00F5100C"/>
    <w:pPr>
      <w:spacing w:after="120"/>
      <w:ind w:left="1440" w:right="1440"/>
    </w:pPr>
  </w:style>
  <w:style w:type="paragraph" w:styleId="BodyText2">
    <w:name w:val="Body Text 2"/>
    <w:basedOn w:val="Normal"/>
    <w:link w:val="BodyText2Char"/>
    <w:uiPriority w:val="99"/>
    <w:semiHidden/>
    <w:unhideWhenUsed/>
    <w:rsid w:val="00F5100C"/>
    <w:pPr>
      <w:spacing w:after="120" w:line="480" w:lineRule="auto"/>
    </w:pPr>
  </w:style>
  <w:style w:type="character" w:customStyle="1" w:styleId="BodyText2Char">
    <w:name w:val="Body Text 2 Char"/>
    <w:link w:val="BodyText2"/>
    <w:uiPriority w:val="99"/>
    <w:semiHidden/>
    <w:rsid w:val="00F5100C"/>
    <w:rPr>
      <w:lang w:val="en-GB" w:eastAsia="en-US"/>
    </w:rPr>
  </w:style>
  <w:style w:type="paragraph" w:styleId="BodyText3">
    <w:name w:val="Body Text 3"/>
    <w:basedOn w:val="Normal"/>
    <w:link w:val="BodyText3Char"/>
    <w:uiPriority w:val="99"/>
    <w:semiHidden/>
    <w:unhideWhenUsed/>
    <w:rsid w:val="00F5100C"/>
    <w:pPr>
      <w:spacing w:after="120"/>
    </w:pPr>
    <w:rPr>
      <w:sz w:val="16"/>
      <w:szCs w:val="16"/>
    </w:rPr>
  </w:style>
  <w:style w:type="character" w:customStyle="1" w:styleId="BodyText3Char">
    <w:name w:val="Body Text 3 Char"/>
    <w:link w:val="BodyText3"/>
    <w:uiPriority w:val="99"/>
    <w:semiHidden/>
    <w:rsid w:val="00F5100C"/>
    <w:rPr>
      <w:sz w:val="16"/>
      <w:szCs w:val="16"/>
      <w:lang w:val="en-GB" w:eastAsia="en-US"/>
    </w:rPr>
  </w:style>
  <w:style w:type="paragraph" w:styleId="BodyTextFirstIndent">
    <w:name w:val="Body Text First Indent"/>
    <w:basedOn w:val="BodyText"/>
    <w:link w:val="BodyTextFirstIndentChar"/>
    <w:uiPriority w:val="99"/>
    <w:semiHidden/>
    <w:unhideWhenUsed/>
    <w:rsid w:val="00F5100C"/>
    <w:pPr>
      <w:spacing w:after="120" w:line="240" w:lineRule="auto"/>
      <w:ind w:firstLine="210"/>
      <w:jc w:val="left"/>
    </w:pPr>
    <w:rPr>
      <w:lang w:eastAsia="en-US"/>
    </w:rPr>
  </w:style>
  <w:style w:type="character" w:customStyle="1" w:styleId="BodyTextFirstIndentChar">
    <w:name w:val="Body Text First Indent Char"/>
    <w:link w:val="BodyTextFirstIndent"/>
    <w:uiPriority w:val="99"/>
    <w:semiHidden/>
    <w:rsid w:val="00F5100C"/>
    <w:rPr>
      <w:sz w:val="20"/>
      <w:szCs w:val="20"/>
      <w:lang w:val="en-GB" w:eastAsia="en-US"/>
    </w:rPr>
  </w:style>
  <w:style w:type="paragraph" w:styleId="BodyTextFirstIndent2">
    <w:name w:val="Body Text First Indent 2"/>
    <w:basedOn w:val="BodyTextIndent"/>
    <w:link w:val="BodyTextFirstIndent2Char"/>
    <w:uiPriority w:val="99"/>
    <w:semiHidden/>
    <w:unhideWhenUsed/>
    <w:rsid w:val="00F5100C"/>
    <w:pPr>
      <w:spacing w:after="120"/>
      <w:ind w:left="283" w:firstLine="210"/>
      <w:jc w:val="left"/>
    </w:pPr>
    <w:rPr>
      <w:lang w:eastAsia="en-US"/>
    </w:rPr>
  </w:style>
  <w:style w:type="character" w:customStyle="1" w:styleId="BodyTextFirstIndent2Char">
    <w:name w:val="Body Text First Indent 2 Char"/>
    <w:link w:val="BodyTextFirstIndent2"/>
    <w:uiPriority w:val="99"/>
    <w:semiHidden/>
    <w:rsid w:val="00F5100C"/>
    <w:rPr>
      <w:sz w:val="20"/>
      <w:szCs w:val="20"/>
      <w:lang w:val="en-GB" w:eastAsia="en-US"/>
    </w:rPr>
  </w:style>
  <w:style w:type="paragraph" w:styleId="Caption">
    <w:name w:val="caption"/>
    <w:basedOn w:val="Normal"/>
    <w:next w:val="Normal"/>
    <w:semiHidden/>
    <w:unhideWhenUsed/>
    <w:qFormat/>
    <w:locked/>
    <w:rsid w:val="00F5100C"/>
    <w:rPr>
      <w:b/>
      <w:bCs/>
    </w:rPr>
  </w:style>
  <w:style w:type="paragraph" w:styleId="Closing">
    <w:name w:val="Closing"/>
    <w:basedOn w:val="Normal"/>
    <w:link w:val="ClosingChar"/>
    <w:uiPriority w:val="99"/>
    <w:semiHidden/>
    <w:unhideWhenUsed/>
    <w:rsid w:val="00F5100C"/>
    <w:pPr>
      <w:ind w:left="4252"/>
    </w:pPr>
  </w:style>
  <w:style w:type="character" w:customStyle="1" w:styleId="ClosingChar">
    <w:name w:val="Closing Char"/>
    <w:link w:val="Closing"/>
    <w:uiPriority w:val="99"/>
    <w:semiHidden/>
    <w:rsid w:val="00F5100C"/>
    <w:rPr>
      <w:lang w:val="en-GB" w:eastAsia="en-US"/>
    </w:rPr>
  </w:style>
  <w:style w:type="paragraph" w:styleId="Date">
    <w:name w:val="Date"/>
    <w:basedOn w:val="Normal"/>
    <w:next w:val="Normal"/>
    <w:link w:val="DateChar"/>
    <w:uiPriority w:val="99"/>
    <w:semiHidden/>
    <w:unhideWhenUsed/>
    <w:rsid w:val="00F5100C"/>
  </w:style>
  <w:style w:type="character" w:customStyle="1" w:styleId="DateChar">
    <w:name w:val="Date Char"/>
    <w:link w:val="Date"/>
    <w:uiPriority w:val="99"/>
    <w:semiHidden/>
    <w:rsid w:val="00F5100C"/>
    <w:rPr>
      <w:lang w:val="en-GB" w:eastAsia="en-US"/>
    </w:rPr>
  </w:style>
  <w:style w:type="paragraph" w:styleId="DocumentMap">
    <w:name w:val="Document Map"/>
    <w:basedOn w:val="Normal"/>
    <w:link w:val="DocumentMapChar"/>
    <w:uiPriority w:val="99"/>
    <w:semiHidden/>
    <w:unhideWhenUsed/>
    <w:rsid w:val="00F5100C"/>
    <w:rPr>
      <w:rFonts w:ascii="Segoe UI" w:hAnsi="Segoe UI" w:cs="Segoe UI"/>
      <w:sz w:val="16"/>
      <w:szCs w:val="16"/>
    </w:rPr>
  </w:style>
  <w:style w:type="character" w:customStyle="1" w:styleId="DocumentMapChar">
    <w:name w:val="Document Map Char"/>
    <w:link w:val="DocumentMap"/>
    <w:uiPriority w:val="99"/>
    <w:semiHidden/>
    <w:rsid w:val="00F5100C"/>
    <w:rPr>
      <w:rFonts w:ascii="Segoe UI" w:hAnsi="Segoe UI" w:cs="Segoe UI"/>
      <w:sz w:val="16"/>
      <w:szCs w:val="16"/>
      <w:lang w:val="en-GB" w:eastAsia="en-US"/>
    </w:rPr>
  </w:style>
  <w:style w:type="paragraph" w:styleId="E-mailSignature">
    <w:name w:val="E-mail Signature"/>
    <w:basedOn w:val="Normal"/>
    <w:link w:val="E-mailSignatureChar"/>
    <w:uiPriority w:val="99"/>
    <w:semiHidden/>
    <w:unhideWhenUsed/>
    <w:rsid w:val="00F5100C"/>
  </w:style>
  <w:style w:type="character" w:customStyle="1" w:styleId="E-mailSignatureChar">
    <w:name w:val="E-mail Signature Char"/>
    <w:link w:val="E-mailSignature"/>
    <w:uiPriority w:val="99"/>
    <w:semiHidden/>
    <w:rsid w:val="00F5100C"/>
    <w:rPr>
      <w:lang w:val="en-GB" w:eastAsia="en-US"/>
    </w:rPr>
  </w:style>
  <w:style w:type="paragraph" w:styleId="EndnoteText">
    <w:name w:val="endnote text"/>
    <w:basedOn w:val="Normal"/>
    <w:link w:val="EndnoteTextChar"/>
    <w:uiPriority w:val="99"/>
    <w:semiHidden/>
    <w:unhideWhenUsed/>
    <w:rsid w:val="00F5100C"/>
  </w:style>
  <w:style w:type="character" w:customStyle="1" w:styleId="EndnoteTextChar">
    <w:name w:val="Endnote Text Char"/>
    <w:link w:val="EndnoteText"/>
    <w:uiPriority w:val="99"/>
    <w:semiHidden/>
    <w:rsid w:val="00F5100C"/>
    <w:rPr>
      <w:lang w:val="en-GB" w:eastAsia="en-US"/>
    </w:rPr>
  </w:style>
  <w:style w:type="paragraph" w:styleId="EnvelopeAddress">
    <w:name w:val="envelope address"/>
    <w:basedOn w:val="Normal"/>
    <w:uiPriority w:val="99"/>
    <w:semiHidden/>
    <w:unhideWhenUsed/>
    <w:rsid w:val="00F5100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F5100C"/>
    <w:rPr>
      <w:rFonts w:ascii="Calibri Light" w:hAnsi="Calibri Light"/>
    </w:rPr>
  </w:style>
  <w:style w:type="paragraph" w:styleId="FootnoteText">
    <w:name w:val="footnote text"/>
    <w:basedOn w:val="Normal"/>
    <w:link w:val="FootnoteTextChar"/>
    <w:uiPriority w:val="99"/>
    <w:semiHidden/>
    <w:unhideWhenUsed/>
    <w:rsid w:val="00F5100C"/>
  </w:style>
  <w:style w:type="character" w:customStyle="1" w:styleId="FootnoteTextChar">
    <w:name w:val="Footnote Text Char"/>
    <w:link w:val="FootnoteText"/>
    <w:uiPriority w:val="99"/>
    <w:semiHidden/>
    <w:rsid w:val="00F5100C"/>
    <w:rPr>
      <w:lang w:val="en-GB" w:eastAsia="en-US"/>
    </w:rPr>
  </w:style>
  <w:style w:type="character" w:customStyle="1" w:styleId="Heading4Char">
    <w:name w:val="Heading 4 Char"/>
    <w:link w:val="Heading4"/>
    <w:semiHidden/>
    <w:rsid w:val="00F5100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5100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5100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5100C"/>
    <w:rPr>
      <w:rFonts w:ascii="Calibri" w:eastAsia="Times New Roman" w:hAnsi="Calibri" w:cs="Times New Roman"/>
      <w:sz w:val="24"/>
      <w:szCs w:val="24"/>
      <w:lang w:val="en-GB" w:eastAsia="en-US"/>
    </w:rPr>
  </w:style>
  <w:style w:type="character" w:customStyle="1" w:styleId="Heading8Char">
    <w:name w:val="Heading 8 Char"/>
    <w:link w:val="Heading8"/>
    <w:semiHidden/>
    <w:rsid w:val="00F5100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F5100C"/>
    <w:rPr>
      <w:rFonts w:ascii="Calibri Light" w:eastAsia="Times New Roman" w:hAnsi="Calibri Light" w:cs="Times New Roman"/>
      <w:sz w:val="22"/>
      <w:szCs w:val="22"/>
      <w:lang w:val="en-GB" w:eastAsia="en-US"/>
    </w:rPr>
  </w:style>
  <w:style w:type="paragraph" w:styleId="HTMLAddress">
    <w:name w:val="HTML Address"/>
    <w:basedOn w:val="Normal"/>
    <w:link w:val="HTMLAddressChar"/>
    <w:uiPriority w:val="99"/>
    <w:semiHidden/>
    <w:unhideWhenUsed/>
    <w:rsid w:val="00F5100C"/>
    <w:rPr>
      <w:i/>
      <w:iCs/>
    </w:rPr>
  </w:style>
  <w:style w:type="character" w:customStyle="1" w:styleId="HTMLAddressChar">
    <w:name w:val="HTML Address Char"/>
    <w:link w:val="HTMLAddress"/>
    <w:uiPriority w:val="99"/>
    <w:semiHidden/>
    <w:rsid w:val="00F5100C"/>
    <w:rPr>
      <w:i/>
      <w:iCs/>
      <w:lang w:val="en-GB" w:eastAsia="en-US"/>
    </w:rPr>
  </w:style>
  <w:style w:type="paragraph" w:styleId="HTMLPreformatted">
    <w:name w:val="HTML Preformatted"/>
    <w:basedOn w:val="Normal"/>
    <w:link w:val="HTMLPreformattedChar"/>
    <w:uiPriority w:val="99"/>
    <w:semiHidden/>
    <w:unhideWhenUsed/>
    <w:rsid w:val="00F5100C"/>
    <w:rPr>
      <w:rFonts w:ascii="Courier New" w:hAnsi="Courier New" w:cs="Courier New"/>
    </w:rPr>
  </w:style>
  <w:style w:type="character" w:customStyle="1" w:styleId="HTMLPreformattedChar">
    <w:name w:val="HTML Preformatted Char"/>
    <w:link w:val="HTMLPreformatted"/>
    <w:uiPriority w:val="99"/>
    <w:semiHidden/>
    <w:rsid w:val="00F5100C"/>
    <w:rPr>
      <w:rFonts w:ascii="Courier New" w:hAnsi="Courier New" w:cs="Courier New"/>
      <w:lang w:val="en-GB" w:eastAsia="en-US"/>
    </w:rPr>
  </w:style>
  <w:style w:type="paragraph" w:styleId="Index1">
    <w:name w:val="index 1"/>
    <w:basedOn w:val="Normal"/>
    <w:next w:val="Normal"/>
    <w:autoRedefine/>
    <w:uiPriority w:val="99"/>
    <w:semiHidden/>
    <w:unhideWhenUsed/>
    <w:rsid w:val="00F5100C"/>
    <w:pPr>
      <w:ind w:left="200" w:hanging="200"/>
    </w:pPr>
  </w:style>
  <w:style w:type="paragraph" w:styleId="Index2">
    <w:name w:val="index 2"/>
    <w:basedOn w:val="Normal"/>
    <w:next w:val="Normal"/>
    <w:autoRedefine/>
    <w:uiPriority w:val="99"/>
    <w:semiHidden/>
    <w:unhideWhenUsed/>
    <w:rsid w:val="00F5100C"/>
    <w:pPr>
      <w:ind w:left="400" w:hanging="200"/>
    </w:pPr>
  </w:style>
  <w:style w:type="paragraph" w:styleId="Index3">
    <w:name w:val="index 3"/>
    <w:basedOn w:val="Normal"/>
    <w:next w:val="Normal"/>
    <w:autoRedefine/>
    <w:uiPriority w:val="99"/>
    <w:semiHidden/>
    <w:unhideWhenUsed/>
    <w:rsid w:val="00F5100C"/>
    <w:pPr>
      <w:ind w:left="600" w:hanging="200"/>
    </w:pPr>
  </w:style>
  <w:style w:type="paragraph" w:styleId="Index4">
    <w:name w:val="index 4"/>
    <w:basedOn w:val="Normal"/>
    <w:next w:val="Normal"/>
    <w:autoRedefine/>
    <w:uiPriority w:val="99"/>
    <w:semiHidden/>
    <w:unhideWhenUsed/>
    <w:rsid w:val="00F5100C"/>
    <w:pPr>
      <w:ind w:left="800" w:hanging="200"/>
    </w:pPr>
  </w:style>
  <w:style w:type="paragraph" w:styleId="Index5">
    <w:name w:val="index 5"/>
    <w:basedOn w:val="Normal"/>
    <w:next w:val="Normal"/>
    <w:autoRedefine/>
    <w:uiPriority w:val="99"/>
    <w:semiHidden/>
    <w:unhideWhenUsed/>
    <w:rsid w:val="00F5100C"/>
    <w:pPr>
      <w:ind w:left="1000" w:hanging="200"/>
    </w:pPr>
  </w:style>
  <w:style w:type="paragraph" w:styleId="Index6">
    <w:name w:val="index 6"/>
    <w:basedOn w:val="Normal"/>
    <w:next w:val="Normal"/>
    <w:autoRedefine/>
    <w:uiPriority w:val="99"/>
    <w:semiHidden/>
    <w:unhideWhenUsed/>
    <w:rsid w:val="00F5100C"/>
    <w:pPr>
      <w:ind w:left="1200" w:hanging="200"/>
    </w:pPr>
  </w:style>
  <w:style w:type="paragraph" w:styleId="Index7">
    <w:name w:val="index 7"/>
    <w:basedOn w:val="Normal"/>
    <w:next w:val="Normal"/>
    <w:autoRedefine/>
    <w:uiPriority w:val="99"/>
    <w:semiHidden/>
    <w:unhideWhenUsed/>
    <w:rsid w:val="00F5100C"/>
    <w:pPr>
      <w:ind w:left="1400" w:hanging="200"/>
    </w:pPr>
  </w:style>
  <w:style w:type="paragraph" w:styleId="Index8">
    <w:name w:val="index 8"/>
    <w:basedOn w:val="Normal"/>
    <w:next w:val="Normal"/>
    <w:autoRedefine/>
    <w:uiPriority w:val="99"/>
    <w:semiHidden/>
    <w:unhideWhenUsed/>
    <w:rsid w:val="00F5100C"/>
    <w:pPr>
      <w:ind w:left="1600" w:hanging="200"/>
    </w:pPr>
  </w:style>
  <w:style w:type="paragraph" w:styleId="Index9">
    <w:name w:val="index 9"/>
    <w:basedOn w:val="Normal"/>
    <w:next w:val="Normal"/>
    <w:autoRedefine/>
    <w:uiPriority w:val="99"/>
    <w:semiHidden/>
    <w:unhideWhenUsed/>
    <w:rsid w:val="00F5100C"/>
    <w:pPr>
      <w:ind w:left="1800" w:hanging="200"/>
    </w:pPr>
  </w:style>
  <w:style w:type="paragraph" w:styleId="IndexHeading">
    <w:name w:val="index heading"/>
    <w:basedOn w:val="Normal"/>
    <w:next w:val="Index1"/>
    <w:uiPriority w:val="99"/>
    <w:semiHidden/>
    <w:unhideWhenUsed/>
    <w:rsid w:val="00F5100C"/>
    <w:rPr>
      <w:rFonts w:ascii="Calibri Light" w:hAnsi="Calibri Light"/>
      <w:b/>
      <w:bCs/>
    </w:rPr>
  </w:style>
  <w:style w:type="paragraph" w:styleId="IntenseQuote">
    <w:name w:val="Intense Quote"/>
    <w:basedOn w:val="Normal"/>
    <w:next w:val="Normal"/>
    <w:link w:val="IntenseQuoteChar"/>
    <w:uiPriority w:val="30"/>
    <w:qFormat/>
    <w:rsid w:val="00F5100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5100C"/>
    <w:rPr>
      <w:i/>
      <w:iCs/>
      <w:color w:val="4472C4"/>
      <w:lang w:val="en-GB" w:eastAsia="en-US"/>
    </w:rPr>
  </w:style>
  <w:style w:type="paragraph" w:styleId="List">
    <w:name w:val="List"/>
    <w:basedOn w:val="Normal"/>
    <w:uiPriority w:val="99"/>
    <w:semiHidden/>
    <w:unhideWhenUsed/>
    <w:rsid w:val="00F5100C"/>
    <w:pPr>
      <w:ind w:left="283" w:hanging="283"/>
      <w:contextualSpacing/>
    </w:pPr>
  </w:style>
  <w:style w:type="paragraph" w:styleId="List2">
    <w:name w:val="List 2"/>
    <w:basedOn w:val="Normal"/>
    <w:uiPriority w:val="99"/>
    <w:semiHidden/>
    <w:unhideWhenUsed/>
    <w:rsid w:val="00F5100C"/>
    <w:pPr>
      <w:ind w:left="566" w:hanging="283"/>
      <w:contextualSpacing/>
    </w:pPr>
  </w:style>
  <w:style w:type="paragraph" w:styleId="List3">
    <w:name w:val="List 3"/>
    <w:basedOn w:val="Normal"/>
    <w:uiPriority w:val="99"/>
    <w:semiHidden/>
    <w:unhideWhenUsed/>
    <w:rsid w:val="00F5100C"/>
    <w:pPr>
      <w:ind w:left="849" w:hanging="283"/>
      <w:contextualSpacing/>
    </w:pPr>
  </w:style>
  <w:style w:type="paragraph" w:styleId="List4">
    <w:name w:val="List 4"/>
    <w:basedOn w:val="Normal"/>
    <w:uiPriority w:val="99"/>
    <w:semiHidden/>
    <w:unhideWhenUsed/>
    <w:rsid w:val="00F5100C"/>
    <w:pPr>
      <w:ind w:left="1132" w:hanging="283"/>
      <w:contextualSpacing/>
    </w:pPr>
  </w:style>
  <w:style w:type="paragraph" w:styleId="List5">
    <w:name w:val="List 5"/>
    <w:basedOn w:val="Normal"/>
    <w:uiPriority w:val="99"/>
    <w:semiHidden/>
    <w:unhideWhenUsed/>
    <w:rsid w:val="00F5100C"/>
    <w:pPr>
      <w:ind w:left="1415" w:hanging="283"/>
      <w:contextualSpacing/>
    </w:pPr>
  </w:style>
  <w:style w:type="paragraph" w:styleId="ListBullet">
    <w:name w:val="List Bullet"/>
    <w:basedOn w:val="Normal"/>
    <w:uiPriority w:val="99"/>
    <w:semiHidden/>
    <w:unhideWhenUsed/>
    <w:rsid w:val="00F5100C"/>
    <w:pPr>
      <w:numPr>
        <w:numId w:val="1"/>
      </w:numPr>
      <w:contextualSpacing/>
    </w:pPr>
  </w:style>
  <w:style w:type="paragraph" w:styleId="ListBullet2">
    <w:name w:val="List Bullet 2"/>
    <w:basedOn w:val="Normal"/>
    <w:uiPriority w:val="99"/>
    <w:semiHidden/>
    <w:unhideWhenUsed/>
    <w:rsid w:val="00F5100C"/>
    <w:pPr>
      <w:numPr>
        <w:numId w:val="2"/>
      </w:numPr>
      <w:contextualSpacing/>
    </w:pPr>
  </w:style>
  <w:style w:type="paragraph" w:styleId="ListBullet3">
    <w:name w:val="List Bullet 3"/>
    <w:basedOn w:val="Normal"/>
    <w:uiPriority w:val="99"/>
    <w:semiHidden/>
    <w:unhideWhenUsed/>
    <w:rsid w:val="00F5100C"/>
    <w:pPr>
      <w:numPr>
        <w:numId w:val="3"/>
      </w:numPr>
      <w:contextualSpacing/>
    </w:pPr>
  </w:style>
  <w:style w:type="paragraph" w:styleId="ListBullet4">
    <w:name w:val="List Bullet 4"/>
    <w:basedOn w:val="Normal"/>
    <w:uiPriority w:val="99"/>
    <w:semiHidden/>
    <w:unhideWhenUsed/>
    <w:rsid w:val="00F5100C"/>
    <w:pPr>
      <w:numPr>
        <w:numId w:val="4"/>
      </w:numPr>
      <w:contextualSpacing/>
    </w:pPr>
  </w:style>
  <w:style w:type="paragraph" w:styleId="ListBullet5">
    <w:name w:val="List Bullet 5"/>
    <w:basedOn w:val="Normal"/>
    <w:uiPriority w:val="99"/>
    <w:semiHidden/>
    <w:unhideWhenUsed/>
    <w:rsid w:val="00F5100C"/>
    <w:pPr>
      <w:numPr>
        <w:numId w:val="5"/>
      </w:numPr>
      <w:contextualSpacing/>
    </w:pPr>
  </w:style>
  <w:style w:type="paragraph" w:styleId="ListContinue">
    <w:name w:val="List Continue"/>
    <w:basedOn w:val="Normal"/>
    <w:uiPriority w:val="99"/>
    <w:semiHidden/>
    <w:unhideWhenUsed/>
    <w:rsid w:val="00F5100C"/>
    <w:pPr>
      <w:spacing w:after="120"/>
      <w:ind w:left="283"/>
      <w:contextualSpacing/>
    </w:pPr>
  </w:style>
  <w:style w:type="paragraph" w:styleId="ListContinue2">
    <w:name w:val="List Continue 2"/>
    <w:basedOn w:val="Normal"/>
    <w:uiPriority w:val="99"/>
    <w:semiHidden/>
    <w:unhideWhenUsed/>
    <w:rsid w:val="00F5100C"/>
    <w:pPr>
      <w:spacing w:after="120"/>
      <w:ind w:left="566"/>
      <w:contextualSpacing/>
    </w:pPr>
  </w:style>
  <w:style w:type="paragraph" w:styleId="ListContinue3">
    <w:name w:val="List Continue 3"/>
    <w:basedOn w:val="Normal"/>
    <w:uiPriority w:val="99"/>
    <w:semiHidden/>
    <w:unhideWhenUsed/>
    <w:rsid w:val="00F5100C"/>
    <w:pPr>
      <w:spacing w:after="120"/>
      <w:ind w:left="849"/>
      <w:contextualSpacing/>
    </w:pPr>
  </w:style>
  <w:style w:type="paragraph" w:styleId="ListContinue4">
    <w:name w:val="List Continue 4"/>
    <w:basedOn w:val="Normal"/>
    <w:uiPriority w:val="99"/>
    <w:semiHidden/>
    <w:unhideWhenUsed/>
    <w:rsid w:val="00F5100C"/>
    <w:pPr>
      <w:spacing w:after="120"/>
      <w:ind w:left="1132"/>
      <w:contextualSpacing/>
    </w:pPr>
  </w:style>
  <w:style w:type="paragraph" w:styleId="ListContinue5">
    <w:name w:val="List Continue 5"/>
    <w:basedOn w:val="Normal"/>
    <w:uiPriority w:val="99"/>
    <w:semiHidden/>
    <w:unhideWhenUsed/>
    <w:rsid w:val="00F5100C"/>
    <w:pPr>
      <w:spacing w:after="120"/>
      <w:ind w:left="1415"/>
      <w:contextualSpacing/>
    </w:pPr>
  </w:style>
  <w:style w:type="paragraph" w:styleId="ListNumber">
    <w:name w:val="List Number"/>
    <w:basedOn w:val="Normal"/>
    <w:uiPriority w:val="99"/>
    <w:semiHidden/>
    <w:unhideWhenUsed/>
    <w:rsid w:val="00F5100C"/>
    <w:pPr>
      <w:numPr>
        <w:numId w:val="6"/>
      </w:numPr>
      <w:contextualSpacing/>
    </w:pPr>
  </w:style>
  <w:style w:type="paragraph" w:styleId="ListNumber2">
    <w:name w:val="List Number 2"/>
    <w:basedOn w:val="Normal"/>
    <w:uiPriority w:val="99"/>
    <w:semiHidden/>
    <w:unhideWhenUsed/>
    <w:rsid w:val="00F5100C"/>
    <w:pPr>
      <w:numPr>
        <w:numId w:val="7"/>
      </w:numPr>
      <w:contextualSpacing/>
    </w:pPr>
  </w:style>
  <w:style w:type="paragraph" w:styleId="ListNumber3">
    <w:name w:val="List Number 3"/>
    <w:basedOn w:val="Normal"/>
    <w:uiPriority w:val="99"/>
    <w:semiHidden/>
    <w:unhideWhenUsed/>
    <w:rsid w:val="00F5100C"/>
    <w:pPr>
      <w:numPr>
        <w:numId w:val="8"/>
      </w:numPr>
      <w:contextualSpacing/>
    </w:pPr>
  </w:style>
  <w:style w:type="paragraph" w:styleId="ListNumber4">
    <w:name w:val="List Number 4"/>
    <w:basedOn w:val="Normal"/>
    <w:uiPriority w:val="99"/>
    <w:semiHidden/>
    <w:unhideWhenUsed/>
    <w:rsid w:val="00F5100C"/>
    <w:pPr>
      <w:numPr>
        <w:numId w:val="9"/>
      </w:numPr>
      <w:contextualSpacing/>
    </w:pPr>
  </w:style>
  <w:style w:type="paragraph" w:styleId="ListNumber5">
    <w:name w:val="List Number 5"/>
    <w:basedOn w:val="Normal"/>
    <w:uiPriority w:val="99"/>
    <w:semiHidden/>
    <w:unhideWhenUsed/>
    <w:rsid w:val="00F5100C"/>
    <w:pPr>
      <w:numPr>
        <w:numId w:val="10"/>
      </w:numPr>
      <w:contextualSpacing/>
    </w:pPr>
  </w:style>
  <w:style w:type="paragraph" w:styleId="MacroText">
    <w:name w:val="macro"/>
    <w:link w:val="MacroTextChar"/>
    <w:uiPriority w:val="99"/>
    <w:semiHidden/>
    <w:unhideWhenUsed/>
    <w:rsid w:val="00F51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link w:val="MacroText"/>
    <w:uiPriority w:val="99"/>
    <w:semiHidden/>
    <w:rsid w:val="00F5100C"/>
    <w:rPr>
      <w:rFonts w:ascii="Courier New" w:hAnsi="Courier New" w:cs="Courier New"/>
      <w:lang w:val="en-GB" w:eastAsia="en-US"/>
    </w:rPr>
  </w:style>
  <w:style w:type="paragraph" w:styleId="MessageHeader">
    <w:name w:val="Message Header"/>
    <w:basedOn w:val="Normal"/>
    <w:link w:val="MessageHeaderChar"/>
    <w:uiPriority w:val="99"/>
    <w:semiHidden/>
    <w:unhideWhenUsed/>
    <w:rsid w:val="00F5100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F5100C"/>
    <w:rPr>
      <w:rFonts w:ascii="Calibri Light" w:eastAsia="Times New Roman" w:hAnsi="Calibri Light" w:cs="Times New Roman"/>
      <w:sz w:val="24"/>
      <w:szCs w:val="24"/>
      <w:shd w:val="pct20" w:color="auto" w:fill="auto"/>
      <w:lang w:val="en-GB" w:eastAsia="en-US"/>
    </w:rPr>
  </w:style>
  <w:style w:type="paragraph" w:styleId="NormalIndent">
    <w:name w:val="Normal Indent"/>
    <w:basedOn w:val="Normal"/>
    <w:uiPriority w:val="99"/>
    <w:semiHidden/>
    <w:unhideWhenUsed/>
    <w:rsid w:val="00F5100C"/>
    <w:pPr>
      <w:ind w:left="720"/>
    </w:pPr>
  </w:style>
  <w:style w:type="paragraph" w:styleId="NoteHeading">
    <w:name w:val="Note Heading"/>
    <w:basedOn w:val="Normal"/>
    <w:next w:val="Normal"/>
    <w:link w:val="NoteHeadingChar"/>
    <w:uiPriority w:val="99"/>
    <w:semiHidden/>
    <w:unhideWhenUsed/>
    <w:rsid w:val="00F5100C"/>
  </w:style>
  <w:style w:type="character" w:customStyle="1" w:styleId="NoteHeadingChar">
    <w:name w:val="Note Heading Char"/>
    <w:link w:val="NoteHeading"/>
    <w:uiPriority w:val="99"/>
    <w:semiHidden/>
    <w:rsid w:val="00F5100C"/>
    <w:rPr>
      <w:lang w:val="en-GB" w:eastAsia="en-US"/>
    </w:rPr>
  </w:style>
  <w:style w:type="paragraph" w:styleId="PlainText">
    <w:name w:val="Plain Text"/>
    <w:basedOn w:val="Normal"/>
    <w:link w:val="PlainTextChar"/>
    <w:uiPriority w:val="99"/>
    <w:semiHidden/>
    <w:unhideWhenUsed/>
    <w:rsid w:val="00F5100C"/>
    <w:rPr>
      <w:rFonts w:ascii="Courier New" w:hAnsi="Courier New" w:cs="Courier New"/>
    </w:rPr>
  </w:style>
  <w:style w:type="character" w:customStyle="1" w:styleId="PlainTextChar">
    <w:name w:val="Plain Text Char"/>
    <w:link w:val="PlainText"/>
    <w:uiPriority w:val="99"/>
    <w:semiHidden/>
    <w:rsid w:val="00F5100C"/>
    <w:rPr>
      <w:rFonts w:ascii="Courier New" w:hAnsi="Courier New" w:cs="Courier New"/>
      <w:lang w:val="en-GB" w:eastAsia="en-US"/>
    </w:rPr>
  </w:style>
  <w:style w:type="paragraph" w:styleId="Quote">
    <w:name w:val="Quote"/>
    <w:basedOn w:val="Normal"/>
    <w:next w:val="Normal"/>
    <w:link w:val="QuoteChar"/>
    <w:uiPriority w:val="29"/>
    <w:qFormat/>
    <w:rsid w:val="00F5100C"/>
    <w:pPr>
      <w:spacing w:before="200" w:after="160"/>
      <w:ind w:left="864" w:right="864"/>
      <w:jc w:val="center"/>
    </w:pPr>
    <w:rPr>
      <w:i/>
      <w:iCs/>
      <w:color w:val="404040"/>
    </w:rPr>
  </w:style>
  <w:style w:type="character" w:customStyle="1" w:styleId="QuoteChar">
    <w:name w:val="Quote Char"/>
    <w:link w:val="Quote"/>
    <w:uiPriority w:val="29"/>
    <w:rsid w:val="00F5100C"/>
    <w:rPr>
      <w:i/>
      <w:iCs/>
      <w:color w:val="404040"/>
      <w:lang w:val="en-GB" w:eastAsia="en-US"/>
    </w:rPr>
  </w:style>
  <w:style w:type="paragraph" w:styleId="Salutation">
    <w:name w:val="Salutation"/>
    <w:basedOn w:val="Normal"/>
    <w:next w:val="Normal"/>
    <w:link w:val="SalutationChar"/>
    <w:uiPriority w:val="99"/>
    <w:semiHidden/>
    <w:unhideWhenUsed/>
    <w:rsid w:val="00F5100C"/>
  </w:style>
  <w:style w:type="character" w:customStyle="1" w:styleId="SalutationChar">
    <w:name w:val="Salutation Char"/>
    <w:link w:val="Salutation"/>
    <w:uiPriority w:val="99"/>
    <w:semiHidden/>
    <w:rsid w:val="00F5100C"/>
    <w:rPr>
      <w:lang w:val="en-GB" w:eastAsia="en-US"/>
    </w:rPr>
  </w:style>
  <w:style w:type="paragraph" w:styleId="Signature">
    <w:name w:val="Signature"/>
    <w:basedOn w:val="Normal"/>
    <w:link w:val="SignatureChar"/>
    <w:uiPriority w:val="99"/>
    <w:semiHidden/>
    <w:unhideWhenUsed/>
    <w:rsid w:val="00F5100C"/>
    <w:pPr>
      <w:ind w:left="4252"/>
    </w:pPr>
  </w:style>
  <w:style w:type="character" w:customStyle="1" w:styleId="SignatureChar">
    <w:name w:val="Signature Char"/>
    <w:link w:val="Signature"/>
    <w:uiPriority w:val="99"/>
    <w:semiHidden/>
    <w:rsid w:val="00F5100C"/>
    <w:rPr>
      <w:lang w:val="en-GB" w:eastAsia="en-US"/>
    </w:rPr>
  </w:style>
  <w:style w:type="paragraph" w:styleId="Subtitle">
    <w:name w:val="Subtitle"/>
    <w:basedOn w:val="Normal"/>
    <w:next w:val="Normal"/>
    <w:link w:val="SubtitleChar"/>
    <w:qFormat/>
    <w:locked/>
    <w:rsid w:val="00F5100C"/>
    <w:pPr>
      <w:spacing w:after="60"/>
      <w:jc w:val="center"/>
      <w:outlineLvl w:val="1"/>
    </w:pPr>
    <w:rPr>
      <w:rFonts w:ascii="Calibri Light" w:hAnsi="Calibri Light"/>
      <w:sz w:val="24"/>
      <w:szCs w:val="24"/>
    </w:rPr>
  </w:style>
  <w:style w:type="character" w:customStyle="1" w:styleId="SubtitleChar">
    <w:name w:val="Subtitle Char"/>
    <w:link w:val="Subtitle"/>
    <w:rsid w:val="00F5100C"/>
    <w:rPr>
      <w:rFonts w:ascii="Calibri Light" w:eastAsia="Times New Roman" w:hAnsi="Calibri Light" w:cs="Times New Roman"/>
      <w:sz w:val="24"/>
      <w:szCs w:val="24"/>
      <w:lang w:val="en-GB" w:eastAsia="en-US"/>
    </w:rPr>
  </w:style>
  <w:style w:type="paragraph" w:styleId="TableofAuthorities">
    <w:name w:val="table of authorities"/>
    <w:basedOn w:val="Normal"/>
    <w:next w:val="Normal"/>
    <w:uiPriority w:val="99"/>
    <w:semiHidden/>
    <w:unhideWhenUsed/>
    <w:rsid w:val="00F5100C"/>
    <w:pPr>
      <w:ind w:left="200" w:hanging="200"/>
    </w:pPr>
  </w:style>
  <w:style w:type="paragraph" w:styleId="TableofFigures">
    <w:name w:val="table of figures"/>
    <w:basedOn w:val="Normal"/>
    <w:next w:val="Normal"/>
    <w:uiPriority w:val="99"/>
    <w:semiHidden/>
    <w:unhideWhenUsed/>
    <w:rsid w:val="00F5100C"/>
  </w:style>
  <w:style w:type="paragraph" w:styleId="Title">
    <w:name w:val="Title"/>
    <w:basedOn w:val="Normal"/>
    <w:next w:val="Normal"/>
    <w:link w:val="TitleChar"/>
    <w:qFormat/>
    <w:locked/>
    <w:rsid w:val="00F510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5100C"/>
    <w:rPr>
      <w:rFonts w:ascii="Calibri Light" w:eastAsia="Times New Roman" w:hAnsi="Calibri Light" w:cs="Times New Roman"/>
      <w:b/>
      <w:bCs/>
      <w:kern w:val="28"/>
      <w:sz w:val="32"/>
      <w:szCs w:val="32"/>
      <w:lang w:val="en-GB" w:eastAsia="en-US"/>
    </w:rPr>
  </w:style>
  <w:style w:type="paragraph" w:styleId="TOAHeading">
    <w:name w:val="toa heading"/>
    <w:basedOn w:val="Normal"/>
    <w:next w:val="Normal"/>
    <w:uiPriority w:val="99"/>
    <w:semiHidden/>
    <w:unhideWhenUsed/>
    <w:rsid w:val="00F5100C"/>
    <w:pPr>
      <w:spacing w:before="120"/>
    </w:pPr>
    <w:rPr>
      <w:rFonts w:ascii="Calibri Light" w:hAnsi="Calibri Light"/>
      <w:b/>
      <w:bCs/>
      <w:sz w:val="24"/>
      <w:szCs w:val="24"/>
    </w:rPr>
  </w:style>
  <w:style w:type="paragraph" w:styleId="TOC1">
    <w:name w:val="toc 1"/>
    <w:basedOn w:val="Normal"/>
    <w:next w:val="Normal"/>
    <w:autoRedefine/>
    <w:locked/>
    <w:rsid w:val="00F5100C"/>
  </w:style>
  <w:style w:type="paragraph" w:styleId="TOC2">
    <w:name w:val="toc 2"/>
    <w:basedOn w:val="Normal"/>
    <w:next w:val="Normal"/>
    <w:autoRedefine/>
    <w:locked/>
    <w:rsid w:val="00F5100C"/>
    <w:pPr>
      <w:ind w:left="200"/>
    </w:pPr>
  </w:style>
  <w:style w:type="paragraph" w:styleId="TOC3">
    <w:name w:val="toc 3"/>
    <w:basedOn w:val="Normal"/>
    <w:next w:val="Normal"/>
    <w:autoRedefine/>
    <w:locked/>
    <w:rsid w:val="00F5100C"/>
    <w:pPr>
      <w:ind w:left="400"/>
    </w:pPr>
  </w:style>
  <w:style w:type="paragraph" w:styleId="TOC4">
    <w:name w:val="toc 4"/>
    <w:basedOn w:val="Normal"/>
    <w:next w:val="Normal"/>
    <w:autoRedefine/>
    <w:locked/>
    <w:rsid w:val="00F5100C"/>
    <w:pPr>
      <w:ind w:left="600"/>
    </w:pPr>
  </w:style>
  <w:style w:type="paragraph" w:styleId="TOC5">
    <w:name w:val="toc 5"/>
    <w:basedOn w:val="Normal"/>
    <w:next w:val="Normal"/>
    <w:autoRedefine/>
    <w:locked/>
    <w:rsid w:val="00F5100C"/>
    <w:pPr>
      <w:ind w:left="800"/>
    </w:pPr>
  </w:style>
  <w:style w:type="paragraph" w:styleId="TOC6">
    <w:name w:val="toc 6"/>
    <w:basedOn w:val="Normal"/>
    <w:next w:val="Normal"/>
    <w:autoRedefine/>
    <w:locked/>
    <w:rsid w:val="00F5100C"/>
    <w:pPr>
      <w:ind w:left="1000"/>
    </w:pPr>
  </w:style>
  <w:style w:type="paragraph" w:styleId="TOC7">
    <w:name w:val="toc 7"/>
    <w:basedOn w:val="Normal"/>
    <w:next w:val="Normal"/>
    <w:autoRedefine/>
    <w:locked/>
    <w:rsid w:val="00F5100C"/>
    <w:pPr>
      <w:ind w:left="1200"/>
    </w:pPr>
  </w:style>
  <w:style w:type="paragraph" w:styleId="TOC8">
    <w:name w:val="toc 8"/>
    <w:basedOn w:val="Normal"/>
    <w:next w:val="Normal"/>
    <w:autoRedefine/>
    <w:locked/>
    <w:rsid w:val="00F5100C"/>
    <w:pPr>
      <w:ind w:left="1400"/>
    </w:pPr>
  </w:style>
  <w:style w:type="paragraph" w:styleId="TOC9">
    <w:name w:val="toc 9"/>
    <w:basedOn w:val="Normal"/>
    <w:next w:val="Normal"/>
    <w:autoRedefine/>
    <w:locked/>
    <w:rsid w:val="00F5100C"/>
    <w:pPr>
      <w:ind w:left="1600"/>
    </w:pPr>
  </w:style>
  <w:style w:type="paragraph" w:styleId="TOCHeading">
    <w:name w:val="TOC Heading"/>
    <w:basedOn w:val="Heading1"/>
    <w:next w:val="Normal"/>
    <w:uiPriority w:val="39"/>
    <w:semiHidden/>
    <w:unhideWhenUsed/>
    <w:qFormat/>
    <w:rsid w:val="00F5100C"/>
    <w:pPr>
      <w:spacing w:before="240" w:after="60"/>
      <w:jc w:val="left"/>
      <w:outlineLvl w:val="9"/>
    </w:pPr>
    <w:rPr>
      <w:rFonts w:ascii="Calibri Light" w:hAnsi="Calibri Light"/>
      <w:lang w:eastAsia="en-US"/>
    </w:rPr>
  </w:style>
  <w:style w:type="paragraph" w:customStyle="1" w:styleId="TableParagraph">
    <w:name w:val="Table Paragraph"/>
    <w:basedOn w:val="Normal"/>
    <w:uiPriority w:val="1"/>
    <w:qFormat/>
    <w:rsid w:val="00FC74E8"/>
    <w:pPr>
      <w:widowControl w:val="0"/>
    </w:pPr>
    <w:rPr>
      <w:rFonts w:ascii="Calibri" w:eastAsia="Calibri" w:hAnsi="Calibri"/>
      <w:sz w:val="22"/>
      <w:szCs w:val="22"/>
      <w:lang w:val="en-US"/>
    </w:rPr>
  </w:style>
  <w:style w:type="table" w:styleId="TableGrid">
    <w:name w:val="Table Grid"/>
    <w:basedOn w:val="TableNormal"/>
    <w:locked/>
    <w:rsid w:val="0097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66">
      <w:bodyDiv w:val="1"/>
      <w:marLeft w:val="0"/>
      <w:marRight w:val="0"/>
      <w:marTop w:val="0"/>
      <w:marBottom w:val="0"/>
      <w:divBdr>
        <w:top w:val="none" w:sz="0" w:space="0" w:color="auto"/>
        <w:left w:val="none" w:sz="0" w:space="0" w:color="auto"/>
        <w:bottom w:val="none" w:sz="0" w:space="0" w:color="auto"/>
        <w:right w:val="none" w:sz="0" w:space="0" w:color="auto"/>
      </w:divBdr>
    </w:div>
    <w:div w:id="5257065">
      <w:bodyDiv w:val="1"/>
      <w:marLeft w:val="0"/>
      <w:marRight w:val="0"/>
      <w:marTop w:val="0"/>
      <w:marBottom w:val="0"/>
      <w:divBdr>
        <w:top w:val="none" w:sz="0" w:space="0" w:color="auto"/>
        <w:left w:val="none" w:sz="0" w:space="0" w:color="auto"/>
        <w:bottom w:val="none" w:sz="0" w:space="0" w:color="auto"/>
        <w:right w:val="none" w:sz="0" w:space="0" w:color="auto"/>
      </w:divBdr>
    </w:div>
    <w:div w:id="26874470">
      <w:bodyDiv w:val="1"/>
      <w:marLeft w:val="0"/>
      <w:marRight w:val="0"/>
      <w:marTop w:val="0"/>
      <w:marBottom w:val="0"/>
      <w:divBdr>
        <w:top w:val="none" w:sz="0" w:space="0" w:color="auto"/>
        <w:left w:val="none" w:sz="0" w:space="0" w:color="auto"/>
        <w:bottom w:val="none" w:sz="0" w:space="0" w:color="auto"/>
        <w:right w:val="none" w:sz="0" w:space="0" w:color="auto"/>
      </w:divBdr>
    </w:div>
    <w:div w:id="28460397">
      <w:bodyDiv w:val="1"/>
      <w:marLeft w:val="0"/>
      <w:marRight w:val="0"/>
      <w:marTop w:val="0"/>
      <w:marBottom w:val="0"/>
      <w:divBdr>
        <w:top w:val="none" w:sz="0" w:space="0" w:color="auto"/>
        <w:left w:val="none" w:sz="0" w:space="0" w:color="auto"/>
        <w:bottom w:val="none" w:sz="0" w:space="0" w:color="auto"/>
        <w:right w:val="none" w:sz="0" w:space="0" w:color="auto"/>
      </w:divBdr>
    </w:div>
    <w:div w:id="42098254">
      <w:bodyDiv w:val="1"/>
      <w:marLeft w:val="0"/>
      <w:marRight w:val="0"/>
      <w:marTop w:val="0"/>
      <w:marBottom w:val="0"/>
      <w:divBdr>
        <w:top w:val="none" w:sz="0" w:space="0" w:color="auto"/>
        <w:left w:val="none" w:sz="0" w:space="0" w:color="auto"/>
        <w:bottom w:val="none" w:sz="0" w:space="0" w:color="auto"/>
        <w:right w:val="none" w:sz="0" w:space="0" w:color="auto"/>
      </w:divBdr>
    </w:div>
    <w:div w:id="47609169">
      <w:bodyDiv w:val="1"/>
      <w:marLeft w:val="0"/>
      <w:marRight w:val="0"/>
      <w:marTop w:val="0"/>
      <w:marBottom w:val="0"/>
      <w:divBdr>
        <w:top w:val="none" w:sz="0" w:space="0" w:color="auto"/>
        <w:left w:val="none" w:sz="0" w:space="0" w:color="auto"/>
        <w:bottom w:val="none" w:sz="0" w:space="0" w:color="auto"/>
        <w:right w:val="none" w:sz="0" w:space="0" w:color="auto"/>
      </w:divBdr>
    </w:div>
    <w:div w:id="94517875">
      <w:bodyDiv w:val="1"/>
      <w:marLeft w:val="0"/>
      <w:marRight w:val="0"/>
      <w:marTop w:val="0"/>
      <w:marBottom w:val="0"/>
      <w:divBdr>
        <w:top w:val="none" w:sz="0" w:space="0" w:color="auto"/>
        <w:left w:val="none" w:sz="0" w:space="0" w:color="auto"/>
        <w:bottom w:val="none" w:sz="0" w:space="0" w:color="auto"/>
        <w:right w:val="none" w:sz="0" w:space="0" w:color="auto"/>
      </w:divBdr>
    </w:div>
    <w:div w:id="102576608">
      <w:bodyDiv w:val="1"/>
      <w:marLeft w:val="0"/>
      <w:marRight w:val="0"/>
      <w:marTop w:val="0"/>
      <w:marBottom w:val="0"/>
      <w:divBdr>
        <w:top w:val="none" w:sz="0" w:space="0" w:color="auto"/>
        <w:left w:val="none" w:sz="0" w:space="0" w:color="auto"/>
        <w:bottom w:val="none" w:sz="0" w:space="0" w:color="auto"/>
        <w:right w:val="none" w:sz="0" w:space="0" w:color="auto"/>
      </w:divBdr>
    </w:div>
    <w:div w:id="102657690">
      <w:bodyDiv w:val="1"/>
      <w:marLeft w:val="0"/>
      <w:marRight w:val="0"/>
      <w:marTop w:val="0"/>
      <w:marBottom w:val="0"/>
      <w:divBdr>
        <w:top w:val="none" w:sz="0" w:space="0" w:color="auto"/>
        <w:left w:val="none" w:sz="0" w:space="0" w:color="auto"/>
        <w:bottom w:val="none" w:sz="0" w:space="0" w:color="auto"/>
        <w:right w:val="none" w:sz="0" w:space="0" w:color="auto"/>
      </w:divBdr>
    </w:div>
    <w:div w:id="106967921">
      <w:bodyDiv w:val="1"/>
      <w:marLeft w:val="0"/>
      <w:marRight w:val="0"/>
      <w:marTop w:val="0"/>
      <w:marBottom w:val="0"/>
      <w:divBdr>
        <w:top w:val="none" w:sz="0" w:space="0" w:color="auto"/>
        <w:left w:val="none" w:sz="0" w:space="0" w:color="auto"/>
        <w:bottom w:val="none" w:sz="0" w:space="0" w:color="auto"/>
        <w:right w:val="none" w:sz="0" w:space="0" w:color="auto"/>
      </w:divBdr>
    </w:div>
    <w:div w:id="116411217">
      <w:bodyDiv w:val="1"/>
      <w:marLeft w:val="0"/>
      <w:marRight w:val="0"/>
      <w:marTop w:val="0"/>
      <w:marBottom w:val="0"/>
      <w:divBdr>
        <w:top w:val="none" w:sz="0" w:space="0" w:color="auto"/>
        <w:left w:val="none" w:sz="0" w:space="0" w:color="auto"/>
        <w:bottom w:val="none" w:sz="0" w:space="0" w:color="auto"/>
        <w:right w:val="none" w:sz="0" w:space="0" w:color="auto"/>
      </w:divBdr>
    </w:div>
    <w:div w:id="119494737">
      <w:bodyDiv w:val="1"/>
      <w:marLeft w:val="0"/>
      <w:marRight w:val="0"/>
      <w:marTop w:val="0"/>
      <w:marBottom w:val="0"/>
      <w:divBdr>
        <w:top w:val="none" w:sz="0" w:space="0" w:color="auto"/>
        <w:left w:val="none" w:sz="0" w:space="0" w:color="auto"/>
        <w:bottom w:val="none" w:sz="0" w:space="0" w:color="auto"/>
        <w:right w:val="none" w:sz="0" w:space="0" w:color="auto"/>
      </w:divBdr>
    </w:div>
    <w:div w:id="123742641">
      <w:bodyDiv w:val="1"/>
      <w:marLeft w:val="0"/>
      <w:marRight w:val="0"/>
      <w:marTop w:val="0"/>
      <w:marBottom w:val="0"/>
      <w:divBdr>
        <w:top w:val="none" w:sz="0" w:space="0" w:color="auto"/>
        <w:left w:val="none" w:sz="0" w:space="0" w:color="auto"/>
        <w:bottom w:val="none" w:sz="0" w:space="0" w:color="auto"/>
        <w:right w:val="none" w:sz="0" w:space="0" w:color="auto"/>
      </w:divBdr>
    </w:div>
    <w:div w:id="138234920">
      <w:bodyDiv w:val="1"/>
      <w:marLeft w:val="0"/>
      <w:marRight w:val="0"/>
      <w:marTop w:val="0"/>
      <w:marBottom w:val="0"/>
      <w:divBdr>
        <w:top w:val="none" w:sz="0" w:space="0" w:color="auto"/>
        <w:left w:val="none" w:sz="0" w:space="0" w:color="auto"/>
        <w:bottom w:val="none" w:sz="0" w:space="0" w:color="auto"/>
        <w:right w:val="none" w:sz="0" w:space="0" w:color="auto"/>
      </w:divBdr>
    </w:div>
    <w:div w:id="138806614">
      <w:bodyDiv w:val="1"/>
      <w:marLeft w:val="0"/>
      <w:marRight w:val="0"/>
      <w:marTop w:val="0"/>
      <w:marBottom w:val="0"/>
      <w:divBdr>
        <w:top w:val="none" w:sz="0" w:space="0" w:color="auto"/>
        <w:left w:val="none" w:sz="0" w:space="0" w:color="auto"/>
        <w:bottom w:val="none" w:sz="0" w:space="0" w:color="auto"/>
        <w:right w:val="none" w:sz="0" w:space="0" w:color="auto"/>
      </w:divBdr>
    </w:div>
    <w:div w:id="174003826">
      <w:bodyDiv w:val="1"/>
      <w:marLeft w:val="0"/>
      <w:marRight w:val="0"/>
      <w:marTop w:val="0"/>
      <w:marBottom w:val="0"/>
      <w:divBdr>
        <w:top w:val="none" w:sz="0" w:space="0" w:color="auto"/>
        <w:left w:val="none" w:sz="0" w:space="0" w:color="auto"/>
        <w:bottom w:val="none" w:sz="0" w:space="0" w:color="auto"/>
        <w:right w:val="none" w:sz="0" w:space="0" w:color="auto"/>
      </w:divBdr>
    </w:div>
    <w:div w:id="202641271">
      <w:bodyDiv w:val="1"/>
      <w:marLeft w:val="0"/>
      <w:marRight w:val="0"/>
      <w:marTop w:val="0"/>
      <w:marBottom w:val="0"/>
      <w:divBdr>
        <w:top w:val="none" w:sz="0" w:space="0" w:color="auto"/>
        <w:left w:val="none" w:sz="0" w:space="0" w:color="auto"/>
        <w:bottom w:val="none" w:sz="0" w:space="0" w:color="auto"/>
        <w:right w:val="none" w:sz="0" w:space="0" w:color="auto"/>
      </w:divBdr>
    </w:div>
    <w:div w:id="203296561">
      <w:bodyDiv w:val="1"/>
      <w:marLeft w:val="0"/>
      <w:marRight w:val="0"/>
      <w:marTop w:val="0"/>
      <w:marBottom w:val="0"/>
      <w:divBdr>
        <w:top w:val="none" w:sz="0" w:space="0" w:color="auto"/>
        <w:left w:val="none" w:sz="0" w:space="0" w:color="auto"/>
        <w:bottom w:val="none" w:sz="0" w:space="0" w:color="auto"/>
        <w:right w:val="none" w:sz="0" w:space="0" w:color="auto"/>
      </w:divBdr>
    </w:div>
    <w:div w:id="242767091">
      <w:bodyDiv w:val="1"/>
      <w:marLeft w:val="0"/>
      <w:marRight w:val="0"/>
      <w:marTop w:val="0"/>
      <w:marBottom w:val="0"/>
      <w:divBdr>
        <w:top w:val="none" w:sz="0" w:space="0" w:color="auto"/>
        <w:left w:val="none" w:sz="0" w:space="0" w:color="auto"/>
        <w:bottom w:val="none" w:sz="0" w:space="0" w:color="auto"/>
        <w:right w:val="none" w:sz="0" w:space="0" w:color="auto"/>
      </w:divBdr>
    </w:div>
    <w:div w:id="248588679">
      <w:bodyDiv w:val="1"/>
      <w:marLeft w:val="0"/>
      <w:marRight w:val="0"/>
      <w:marTop w:val="0"/>
      <w:marBottom w:val="0"/>
      <w:divBdr>
        <w:top w:val="none" w:sz="0" w:space="0" w:color="auto"/>
        <w:left w:val="none" w:sz="0" w:space="0" w:color="auto"/>
        <w:bottom w:val="none" w:sz="0" w:space="0" w:color="auto"/>
        <w:right w:val="none" w:sz="0" w:space="0" w:color="auto"/>
      </w:divBdr>
    </w:div>
    <w:div w:id="262537489">
      <w:bodyDiv w:val="1"/>
      <w:marLeft w:val="0"/>
      <w:marRight w:val="0"/>
      <w:marTop w:val="0"/>
      <w:marBottom w:val="0"/>
      <w:divBdr>
        <w:top w:val="none" w:sz="0" w:space="0" w:color="auto"/>
        <w:left w:val="none" w:sz="0" w:space="0" w:color="auto"/>
        <w:bottom w:val="none" w:sz="0" w:space="0" w:color="auto"/>
        <w:right w:val="none" w:sz="0" w:space="0" w:color="auto"/>
      </w:divBdr>
    </w:div>
    <w:div w:id="266738797">
      <w:bodyDiv w:val="1"/>
      <w:marLeft w:val="0"/>
      <w:marRight w:val="0"/>
      <w:marTop w:val="0"/>
      <w:marBottom w:val="0"/>
      <w:divBdr>
        <w:top w:val="none" w:sz="0" w:space="0" w:color="auto"/>
        <w:left w:val="none" w:sz="0" w:space="0" w:color="auto"/>
        <w:bottom w:val="none" w:sz="0" w:space="0" w:color="auto"/>
        <w:right w:val="none" w:sz="0" w:space="0" w:color="auto"/>
      </w:divBdr>
    </w:div>
    <w:div w:id="270748370">
      <w:bodyDiv w:val="1"/>
      <w:marLeft w:val="0"/>
      <w:marRight w:val="0"/>
      <w:marTop w:val="0"/>
      <w:marBottom w:val="0"/>
      <w:divBdr>
        <w:top w:val="none" w:sz="0" w:space="0" w:color="auto"/>
        <w:left w:val="none" w:sz="0" w:space="0" w:color="auto"/>
        <w:bottom w:val="none" w:sz="0" w:space="0" w:color="auto"/>
        <w:right w:val="none" w:sz="0" w:space="0" w:color="auto"/>
      </w:divBdr>
    </w:div>
    <w:div w:id="277687676">
      <w:bodyDiv w:val="1"/>
      <w:marLeft w:val="0"/>
      <w:marRight w:val="0"/>
      <w:marTop w:val="0"/>
      <w:marBottom w:val="0"/>
      <w:divBdr>
        <w:top w:val="none" w:sz="0" w:space="0" w:color="auto"/>
        <w:left w:val="none" w:sz="0" w:space="0" w:color="auto"/>
        <w:bottom w:val="none" w:sz="0" w:space="0" w:color="auto"/>
        <w:right w:val="none" w:sz="0" w:space="0" w:color="auto"/>
      </w:divBdr>
    </w:div>
    <w:div w:id="298002231">
      <w:bodyDiv w:val="1"/>
      <w:marLeft w:val="0"/>
      <w:marRight w:val="0"/>
      <w:marTop w:val="0"/>
      <w:marBottom w:val="0"/>
      <w:divBdr>
        <w:top w:val="none" w:sz="0" w:space="0" w:color="auto"/>
        <w:left w:val="none" w:sz="0" w:space="0" w:color="auto"/>
        <w:bottom w:val="none" w:sz="0" w:space="0" w:color="auto"/>
        <w:right w:val="none" w:sz="0" w:space="0" w:color="auto"/>
      </w:divBdr>
    </w:div>
    <w:div w:id="300889730">
      <w:bodyDiv w:val="1"/>
      <w:marLeft w:val="0"/>
      <w:marRight w:val="0"/>
      <w:marTop w:val="0"/>
      <w:marBottom w:val="0"/>
      <w:divBdr>
        <w:top w:val="none" w:sz="0" w:space="0" w:color="auto"/>
        <w:left w:val="none" w:sz="0" w:space="0" w:color="auto"/>
        <w:bottom w:val="none" w:sz="0" w:space="0" w:color="auto"/>
        <w:right w:val="none" w:sz="0" w:space="0" w:color="auto"/>
      </w:divBdr>
    </w:div>
    <w:div w:id="333187870">
      <w:bodyDiv w:val="1"/>
      <w:marLeft w:val="0"/>
      <w:marRight w:val="0"/>
      <w:marTop w:val="0"/>
      <w:marBottom w:val="0"/>
      <w:divBdr>
        <w:top w:val="none" w:sz="0" w:space="0" w:color="auto"/>
        <w:left w:val="none" w:sz="0" w:space="0" w:color="auto"/>
        <w:bottom w:val="none" w:sz="0" w:space="0" w:color="auto"/>
        <w:right w:val="none" w:sz="0" w:space="0" w:color="auto"/>
      </w:divBdr>
    </w:div>
    <w:div w:id="335620839">
      <w:bodyDiv w:val="1"/>
      <w:marLeft w:val="0"/>
      <w:marRight w:val="0"/>
      <w:marTop w:val="0"/>
      <w:marBottom w:val="0"/>
      <w:divBdr>
        <w:top w:val="none" w:sz="0" w:space="0" w:color="auto"/>
        <w:left w:val="none" w:sz="0" w:space="0" w:color="auto"/>
        <w:bottom w:val="none" w:sz="0" w:space="0" w:color="auto"/>
        <w:right w:val="none" w:sz="0" w:space="0" w:color="auto"/>
      </w:divBdr>
    </w:div>
    <w:div w:id="345442785">
      <w:bodyDiv w:val="1"/>
      <w:marLeft w:val="0"/>
      <w:marRight w:val="0"/>
      <w:marTop w:val="0"/>
      <w:marBottom w:val="0"/>
      <w:divBdr>
        <w:top w:val="none" w:sz="0" w:space="0" w:color="auto"/>
        <w:left w:val="none" w:sz="0" w:space="0" w:color="auto"/>
        <w:bottom w:val="none" w:sz="0" w:space="0" w:color="auto"/>
        <w:right w:val="none" w:sz="0" w:space="0" w:color="auto"/>
      </w:divBdr>
    </w:div>
    <w:div w:id="359089636">
      <w:bodyDiv w:val="1"/>
      <w:marLeft w:val="0"/>
      <w:marRight w:val="0"/>
      <w:marTop w:val="0"/>
      <w:marBottom w:val="0"/>
      <w:divBdr>
        <w:top w:val="none" w:sz="0" w:space="0" w:color="auto"/>
        <w:left w:val="none" w:sz="0" w:space="0" w:color="auto"/>
        <w:bottom w:val="none" w:sz="0" w:space="0" w:color="auto"/>
        <w:right w:val="none" w:sz="0" w:space="0" w:color="auto"/>
      </w:divBdr>
    </w:div>
    <w:div w:id="409886384">
      <w:bodyDiv w:val="1"/>
      <w:marLeft w:val="0"/>
      <w:marRight w:val="0"/>
      <w:marTop w:val="0"/>
      <w:marBottom w:val="0"/>
      <w:divBdr>
        <w:top w:val="none" w:sz="0" w:space="0" w:color="auto"/>
        <w:left w:val="none" w:sz="0" w:space="0" w:color="auto"/>
        <w:bottom w:val="none" w:sz="0" w:space="0" w:color="auto"/>
        <w:right w:val="none" w:sz="0" w:space="0" w:color="auto"/>
      </w:divBdr>
    </w:div>
    <w:div w:id="433593552">
      <w:bodyDiv w:val="1"/>
      <w:marLeft w:val="0"/>
      <w:marRight w:val="0"/>
      <w:marTop w:val="0"/>
      <w:marBottom w:val="0"/>
      <w:divBdr>
        <w:top w:val="none" w:sz="0" w:space="0" w:color="auto"/>
        <w:left w:val="none" w:sz="0" w:space="0" w:color="auto"/>
        <w:bottom w:val="none" w:sz="0" w:space="0" w:color="auto"/>
        <w:right w:val="none" w:sz="0" w:space="0" w:color="auto"/>
      </w:divBdr>
    </w:div>
    <w:div w:id="434062565">
      <w:bodyDiv w:val="1"/>
      <w:marLeft w:val="0"/>
      <w:marRight w:val="0"/>
      <w:marTop w:val="0"/>
      <w:marBottom w:val="0"/>
      <w:divBdr>
        <w:top w:val="none" w:sz="0" w:space="0" w:color="auto"/>
        <w:left w:val="none" w:sz="0" w:space="0" w:color="auto"/>
        <w:bottom w:val="none" w:sz="0" w:space="0" w:color="auto"/>
        <w:right w:val="none" w:sz="0" w:space="0" w:color="auto"/>
      </w:divBdr>
    </w:div>
    <w:div w:id="501432028">
      <w:bodyDiv w:val="1"/>
      <w:marLeft w:val="0"/>
      <w:marRight w:val="0"/>
      <w:marTop w:val="0"/>
      <w:marBottom w:val="0"/>
      <w:divBdr>
        <w:top w:val="none" w:sz="0" w:space="0" w:color="auto"/>
        <w:left w:val="none" w:sz="0" w:space="0" w:color="auto"/>
        <w:bottom w:val="none" w:sz="0" w:space="0" w:color="auto"/>
        <w:right w:val="none" w:sz="0" w:space="0" w:color="auto"/>
      </w:divBdr>
    </w:div>
    <w:div w:id="512885390">
      <w:bodyDiv w:val="1"/>
      <w:marLeft w:val="0"/>
      <w:marRight w:val="0"/>
      <w:marTop w:val="0"/>
      <w:marBottom w:val="0"/>
      <w:divBdr>
        <w:top w:val="none" w:sz="0" w:space="0" w:color="auto"/>
        <w:left w:val="none" w:sz="0" w:space="0" w:color="auto"/>
        <w:bottom w:val="none" w:sz="0" w:space="0" w:color="auto"/>
        <w:right w:val="none" w:sz="0" w:space="0" w:color="auto"/>
      </w:divBdr>
    </w:div>
    <w:div w:id="520823814">
      <w:bodyDiv w:val="1"/>
      <w:marLeft w:val="0"/>
      <w:marRight w:val="0"/>
      <w:marTop w:val="0"/>
      <w:marBottom w:val="0"/>
      <w:divBdr>
        <w:top w:val="none" w:sz="0" w:space="0" w:color="auto"/>
        <w:left w:val="none" w:sz="0" w:space="0" w:color="auto"/>
        <w:bottom w:val="none" w:sz="0" w:space="0" w:color="auto"/>
        <w:right w:val="none" w:sz="0" w:space="0" w:color="auto"/>
      </w:divBdr>
    </w:div>
    <w:div w:id="531305092">
      <w:bodyDiv w:val="1"/>
      <w:marLeft w:val="0"/>
      <w:marRight w:val="0"/>
      <w:marTop w:val="0"/>
      <w:marBottom w:val="0"/>
      <w:divBdr>
        <w:top w:val="none" w:sz="0" w:space="0" w:color="auto"/>
        <w:left w:val="none" w:sz="0" w:space="0" w:color="auto"/>
        <w:bottom w:val="none" w:sz="0" w:space="0" w:color="auto"/>
        <w:right w:val="none" w:sz="0" w:space="0" w:color="auto"/>
      </w:divBdr>
    </w:div>
    <w:div w:id="536502747">
      <w:bodyDiv w:val="1"/>
      <w:marLeft w:val="0"/>
      <w:marRight w:val="0"/>
      <w:marTop w:val="0"/>
      <w:marBottom w:val="0"/>
      <w:divBdr>
        <w:top w:val="none" w:sz="0" w:space="0" w:color="auto"/>
        <w:left w:val="none" w:sz="0" w:space="0" w:color="auto"/>
        <w:bottom w:val="none" w:sz="0" w:space="0" w:color="auto"/>
        <w:right w:val="none" w:sz="0" w:space="0" w:color="auto"/>
      </w:divBdr>
    </w:div>
    <w:div w:id="538665467">
      <w:bodyDiv w:val="1"/>
      <w:marLeft w:val="0"/>
      <w:marRight w:val="0"/>
      <w:marTop w:val="0"/>
      <w:marBottom w:val="0"/>
      <w:divBdr>
        <w:top w:val="none" w:sz="0" w:space="0" w:color="auto"/>
        <w:left w:val="none" w:sz="0" w:space="0" w:color="auto"/>
        <w:bottom w:val="none" w:sz="0" w:space="0" w:color="auto"/>
        <w:right w:val="none" w:sz="0" w:space="0" w:color="auto"/>
      </w:divBdr>
    </w:div>
    <w:div w:id="544371622">
      <w:bodyDiv w:val="1"/>
      <w:marLeft w:val="0"/>
      <w:marRight w:val="0"/>
      <w:marTop w:val="0"/>
      <w:marBottom w:val="0"/>
      <w:divBdr>
        <w:top w:val="none" w:sz="0" w:space="0" w:color="auto"/>
        <w:left w:val="none" w:sz="0" w:space="0" w:color="auto"/>
        <w:bottom w:val="none" w:sz="0" w:space="0" w:color="auto"/>
        <w:right w:val="none" w:sz="0" w:space="0" w:color="auto"/>
      </w:divBdr>
    </w:div>
    <w:div w:id="549460737">
      <w:bodyDiv w:val="1"/>
      <w:marLeft w:val="0"/>
      <w:marRight w:val="0"/>
      <w:marTop w:val="0"/>
      <w:marBottom w:val="0"/>
      <w:divBdr>
        <w:top w:val="none" w:sz="0" w:space="0" w:color="auto"/>
        <w:left w:val="none" w:sz="0" w:space="0" w:color="auto"/>
        <w:bottom w:val="none" w:sz="0" w:space="0" w:color="auto"/>
        <w:right w:val="none" w:sz="0" w:space="0" w:color="auto"/>
      </w:divBdr>
    </w:div>
    <w:div w:id="575825530">
      <w:bodyDiv w:val="1"/>
      <w:marLeft w:val="0"/>
      <w:marRight w:val="0"/>
      <w:marTop w:val="0"/>
      <w:marBottom w:val="0"/>
      <w:divBdr>
        <w:top w:val="none" w:sz="0" w:space="0" w:color="auto"/>
        <w:left w:val="none" w:sz="0" w:space="0" w:color="auto"/>
        <w:bottom w:val="none" w:sz="0" w:space="0" w:color="auto"/>
        <w:right w:val="none" w:sz="0" w:space="0" w:color="auto"/>
      </w:divBdr>
    </w:div>
    <w:div w:id="627125632">
      <w:bodyDiv w:val="1"/>
      <w:marLeft w:val="0"/>
      <w:marRight w:val="0"/>
      <w:marTop w:val="0"/>
      <w:marBottom w:val="0"/>
      <w:divBdr>
        <w:top w:val="none" w:sz="0" w:space="0" w:color="auto"/>
        <w:left w:val="none" w:sz="0" w:space="0" w:color="auto"/>
        <w:bottom w:val="none" w:sz="0" w:space="0" w:color="auto"/>
        <w:right w:val="none" w:sz="0" w:space="0" w:color="auto"/>
      </w:divBdr>
    </w:div>
    <w:div w:id="645818307">
      <w:bodyDiv w:val="1"/>
      <w:marLeft w:val="0"/>
      <w:marRight w:val="0"/>
      <w:marTop w:val="0"/>
      <w:marBottom w:val="0"/>
      <w:divBdr>
        <w:top w:val="none" w:sz="0" w:space="0" w:color="auto"/>
        <w:left w:val="none" w:sz="0" w:space="0" w:color="auto"/>
        <w:bottom w:val="none" w:sz="0" w:space="0" w:color="auto"/>
        <w:right w:val="none" w:sz="0" w:space="0" w:color="auto"/>
      </w:divBdr>
    </w:div>
    <w:div w:id="652224257">
      <w:bodyDiv w:val="1"/>
      <w:marLeft w:val="0"/>
      <w:marRight w:val="0"/>
      <w:marTop w:val="0"/>
      <w:marBottom w:val="0"/>
      <w:divBdr>
        <w:top w:val="none" w:sz="0" w:space="0" w:color="auto"/>
        <w:left w:val="none" w:sz="0" w:space="0" w:color="auto"/>
        <w:bottom w:val="none" w:sz="0" w:space="0" w:color="auto"/>
        <w:right w:val="none" w:sz="0" w:space="0" w:color="auto"/>
      </w:divBdr>
    </w:div>
    <w:div w:id="668603598">
      <w:bodyDiv w:val="1"/>
      <w:marLeft w:val="0"/>
      <w:marRight w:val="0"/>
      <w:marTop w:val="0"/>
      <w:marBottom w:val="0"/>
      <w:divBdr>
        <w:top w:val="none" w:sz="0" w:space="0" w:color="auto"/>
        <w:left w:val="none" w:sz="0" w:space="0" w:color="auto"/>
        <w:bottom w:val="none" w:sz="0" w:space="0" w:color="auto"/>
        <w:right w:val="none" w:sz="0" w:space="0" w:color="auto"/>
      </w:divBdr>
    </w:div>
    <w:div w:id="671833147">
      <w:bodyDiv w:val="1"/>
      <w:marLeft w:val="0"/>
      <w:marRight w:val="0"/>
      <w:marTop w:val="0"/>
      <w:marBottom w:val="0"/>
      <w:divBdr>
        <w:top w:val="none" w:sz="0" w:space="0" w:color="auto"/>
        <w:left w:val="none" w:sz="0" w:space="0" w:color="auto"/>
        <w:bottom w:val="none" w:sz="0" w:space="0" w:color="auto"/>
        <w:right w:val="none" w:sz="0" w:space="0" w:color="auto"/>
      </w:divBdr>
    </w:div>
    <w:div w:id="672224773">
      <w:bodyDiv w:val="1"/>
      <w:marLeft w:val="0"/>
      <w:marRight w:val="0"/>
      <w:marTop w:val="0"/>
      <w:marBottom w:val="0"/>
      <w:divBdr>
        <w:top w:val="none" w:sz="0" w:space="0" w:color="auto"/>
        <w:left w:val="none" w:sz="0" w:space="0" w:color="auto"/>
        <w:bottom w:val="none" w:sz="0" w:space="0" w:color="auto"/>
        <w:right w:val="none" w:sz="0" w:space="0" w:color="auto"/>
      </w:divBdr>
    </w:div>
    <w:div w:id="673413726">
      <w:bodyDiv w:val="1"/>
      <w:marLeft w:val="0"/>
      <w:marRight w:val="0"/>
      <w:marTop w:val="0"/>
      <w:marBottom w:val="0"/>
      <w:divBdr>
        <w:top w:val="none" w:sz="0" w:space="0" w:color="auto"/>
        <w:left w:val="none" w:sz="0" w:space="0" w:color="auto"/>
        <w:bottom w:val="none" w:sz="0" w:space="0" w:color="auto"/>
        <w:right w:val="none" w:sz="0" w:space="0" w:color="auto"/>
      </w:divBdr>
    </w:div>
    <w:div w:id="690649150">
      <w:bodyDiv w:val="1"/>
      <w:marLeft w:val="0"/>
      <w:marRight w:val="0"/>
      <w:marTop w:val="0"/>
      <w:marBottom w:val="0"/>
      <w:divBdr>
        <w:top w:val="none" w:sz="0" w:space="0" w:color="auto"/>
        <w:left w:val="none" w:sz="0" w:space="0" w:color="auto"/>
        <w:bottom w:val="none" w:sz="0" w:space="0" w:color="auto"/>
        <w:right w:val="none" w:sz="0" w:space="0" w:color="auto"/>
      </w:divBdr>
    </w:div>
    <w:div w:id="692418969">
      <w:bodyDiv w:val="1"/>
      <w:marLeft w:val="0"/>
      <w:marRight w:val="0"/>
      <w:marTop w:val="0"/>
      <w:marBottom w:val="0"/>
      <w:divBdr>
        <w:top w:val="none" w:sz="0" w:space="0" w:color="auto"/>
        <w:left w:val="none" w:sz="0" w:space="0" w:color="auto"/>
        <w:bottom w:val="none" w:sz="0" w:space="0" w:color="auto"/>
        <w:right w:val="none" w:sz="0" w:space="0" w:color="auto"/>
      </w:divBdr>
    </w:div>
    <w:div w:id="756483123">
      <w:bodyDiv w:val="1"/>
      <w:marLeft w:val="0"/>
      <w:marRight w:val="0"/>
      <w:marTop w:val="0"/>
      <w:marBottom w:val="0"/>
      <w:divBdr>
        <w:top w:val="none" w:sz="0" w:space="0" w:color="auto"/>
        <w:left w:val="none" w:sz="0" w:space="0" w:color="auto"/>
        <w:bottom w:val="none" w:sz="0" w:space="0" w:color="auto"/>
        <w:right w:val="none" w:sz="0" w:space="0" w:color="auto"/>
      </w:divBdr>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781725407">
      <w:bodyDiv w:val="1"/>
      <w:marLeft w:val="0"/>
      <w:marRight w:val="0"/>
      <w:marTop w:val="0"/>
      <w:marBottom w:val="0"/>
      <w:divBdr>
        <w:top w:val="none" w:sz="0" w:space="0" w:color="auto"/>
        <w:left w:val="none" w:sz="0" w:space="0" w:color="auto"/>
        <w:bottom w:val="none" w:sz="0" w:space="0" w:color="auto"/>
        <w:right w:val="none" w:sz="0" w:space="0" w:color="auto"/>
      </w:divBdr>
    </w:div>
    <w:div w:id="782768311">
      <w:bodyDiv w:val="1"/>
      <w:marLeft w:val="0"/>
      <w:marRight w:val="0"/>
      <w:marTop w:val="0"/>
      <w:marBottom w:val="0"/>
      <w:divBdr>
        <w:top w:val="none" w:sz="0" w:space="0" w:color="auto"/>
        <w:left w:val="none" w:sz="0" w:space="0" w:color="auto"/>
        <w:bottom w:val="none" w:sz="0" w:space="0" w:color="auto"/>
        <w:right w:val="none" w:sz="0" w:space="0" w:color="auto"/>
      </w:divBdr>
    </w:div>
    <w:div w:id="782772667">
      <w:bodyDiv w:val="1"/>
      <w:marLeft w:val="0"/>
      <w:marRight w:val="0"/>
      <w:marTop w:val="0"/>
      <w:marBottom w:val="0"/>
      <w:divBdr>
        <w:top w:val="none" w:sz="0" w:space="0" w:color="auto"/>
        <w:left w:val="none" w:sz="0" w:space="0" w:color="auto"/>
        <w:bottom w:val="none" w:sz="0" w:space="0" w:color="auto"/>
        <w:right w:val="none" w:sz="0" w:space="0" w:color="auto"/>
      </w:divBdr>
    </w:div>
    <w:div w:id="813568486">
      <w:bodyDiv w:val="1"/>
      <w:marLeft w:val="0"/>
      <w:marRight w:val="0"/>
      <w:marTop w:val="0"/>
      <w:marBottom w:val="0"/>
      <w:divBdr>
        <w:top w:val="none" w:sz="0" w:space="0" w:color="auto"/>
        <w:left w:val="none" w:sz="0" w:space="0" w:color="auto"/>
        <w:bottom w:val="none" w:sz="0" w:space="0" w:color="auto"/>
        <w:right w:val="none" w:sz="0" w:space="0" w:color="auto"/>
      </w:divBdr>
    </w:div>
    <w:div w:id="827210265">
      <w:bodyDiv w:val="1"/>
      <w:marLeft w:val="0"/>
      <w:marRight w:val="0"/>
      <w:marTop w:val="0"/>
      <w:marBottom w:val="0"/>
      <w:divBdr>
        <w:top w:val="none" w:sz="0" w:space="0" w:color="auto"/>
        <w:left w:val="none" w:sz="0" w:space="0" w:color="auto"/>
        <w:bottom w:val="none" w:sz="0" w:space="0" w:color="auto"/>
        <w:right w:val="none" w:sz="0" w:space="0" w:color="auto"/>
      </w:divBdr>
    </w:div>
    <w:div w:id="831264712">
      <w:bodyDiv w:val="1"/>
      <w:marLeft w:val="0"/>
      <w:marRight w:val="0"/>
      <w:marTop w:val="0"/>
      <w:marBottom w:val="0"/>
      <w:divBdr>
        <w:top w:val="none" w:sz="0" w:space="0" w:color="auto"/>
        <w:left w:val="none" w:sz="0" w:space="0" w:color="auto"/>
        <w:bottom w:val="none" w:sz="0" w:space="0" w:color="auto"/>
        <w:right w:val="none" w:sz="0" w:space="0" w:color="auto"/>
      </w:divBdr>
    </w:div>
    <w:div w:id="880557172">
      <w:bodyDiv w:val="1"/>
      <w:marLeft w:val="0"/>
      <w:marRight w:val="0"/>
      <w:marTop w:val="0"/>
      <w:marBottom w:val="0"/>
      <w:divBdr>
        <w:top w:val="none" w:sz="0" w:space="0" w:color="auto"/>
        <w:left w:val="none" w:sz="0" w:space="0" w:color="auto"/>
        <w:bottom w:val="none" w:sz="0" w:space="0" w:color="auto"/>
        <w:right w:val="none" w:sz="0" w:space="0" w:color="auto"/>
      </w:divBdr>
    </w:div>
    <w:div w:id="886263873">
      <w:bodyDiv w:val="1"/>
      <w:marLeft w:val="0"/>
      <w:marRight w:val="0"/>
      <w:marTop w:val="0"/>
      <w:marBottom w:val="0"/>
      <w:divBdr>
        <w:top w:val="none" w:sz="0" w:space="0" w:color="auto"/>
        <w:left w:val="none" w:sz="0" w:space="0" w:color="auto"/>
        <w:bottom w:val="none" w:sz="0" w:space="0" w:color="auto"/>
        <w:right w:val="none" w:sz="0" w:space="0" w:color="auto"/>
      </w:divBdr>
    </w:div>
    <w:div w:id="890192529">
      <w:bodyDiv w:val="1"/>
      <w:marLeft w:val="0"/>
      <w:marRight w:val="0"/>
      <w:marTop w:val="0"/>
      <w:marBottom w:val="0"/>
      <w:divBdr>
        <w:top w:val="none" w:sz="0" w:space="0" w:color="auto"/>
        <w:left w:val="none" w:sz="0" w:space="0" w:color="auto"/>
        <w:bottom w:val="none" w:sz="0" w:space="0" w:color="auto"/>
        <w:right w:val="none" w:sz="0" w:space="0" w:color="auto"/>
      </w:divBdr>
    </w:div>
    <w:div w:id="911352808">
      <w:bodyDiv w:val="1"/>
      <w:marLeft w:val="0"/>
      <w:marRight w:val="0"/>
      <w:marTop w:val="0"/>
      <w:marBottom w:val="0"/>
      <w:divBdr>
        <w:top w:val="none" w:sz="0" w:space="0" w:color="auto"/>
        <w:left w:val="none" w:sz="0" w:space="0" w:color="auto"/>
        <w:bottom w:val="none" w:sz="0" w:space="0" w:color="auto"/>
        <w:right w:val="none" w:sz="0" w:space="0" w:color="auto"/>
      </w:divBdr>
    </w:div>
    <w:div w:id="918249900">
      <w:bodyDiv w:val="1"/>
      <w:marLeft w:val="0"/>
      <w:marRight w:val="0"/>
      <w:marTop w:val="0"/>
      <w:marBottom w:val="0"/>
      <w:divBdr>
        <w:top w:val="none" w:sz="0" w:space="0" w:color="auto"/>
        <w:left w:val="none" w:sz="0" w:space="0" w:color="auto"/>
        <w:bottom w:val="none" w:sz="0" w:space="0" w:color="auto"/>
        <w:right w:val="none" w:sz="0" w:space="0" w:color="auto"/>
      </w:divBdr>
    </w:div>
    <w:div w:id="936182430">
      <w:bodyDiv w:val="1"/>
      <w:marLeft w:val="0"/>
      <w:marRight w:val="0"/>
      <w:marTop w:val="0"/>
      <w:marBottom w:val="0"/>
      <w:divBdr>
        <w:top w:val="none" w:sz="0" w:space="0" w:color="auto"/>
        <w:left w:val="none" w:sz="0" w:space="0" w:color="auto"/>
        <w:bottom w:val="none" w:sz="0" w:space="0" w:color="auto"/>
        <w:right w:val="none" w:sz="0" w:space="0" w:color="auto"/>
      </w:divBdr>
    </w:div>
    <w:div w:id="939215593">
      <w:bodyDiv w:val="1"/>
      <w:marLeft w:val="0"/>
      <w:marRight w:val="0"/>
      <w:marTop w:val="0"/>
      <w:marBottom w:val="0"/>
      <w:divBdr>
        <w:top w:val="none" w:sz="0" w:space="0" w:color="auto"/>
        <w:left w:val="none" w:sz="0" w:space="0" w:color="auto"/>
        <w:bottom w:val="none" w:sz="0" w:space="0" w:color="auto"/>
        <w:right w:val="none" w:sz="0" w:space="0" w:color="auto"/>
      </w:divBdr>
    </w:div>
    <w:div w:id="941959416">
      <w:bodyDiv w:val="1"/>
      <w:marLeft w:val="0"/>
      <w:marRight w:val="0"/>
      <w:marTop w:val="0"/>
      <w:marBottom w:val="0"/>
      <w:divBdr>
        <w:top w:val="none" w:sz="0" w:space="0" w:color="auto"/>
        <w:left w:val="none" w:sz="0" w:space="0" w:color="auto"/>
        <w:bottom w:val="none" w:sz="0" w:space="0" w:color="auto"/>
        <w:right w:val="none" w:sz="0" w:space="0" w:color="auto"/>
      </w:divBdr>
    </w:div>
    <w:div w:id="943415537">
      <w:bodyDiv w:val="1"/>
      <w:marLeft w:val="0"/>
      <w:marRight w:val="0"/>
      <w:marTop w:val="0"/>
      <w:marBottom w:val="0"/>
      <w:divBdr>
        <w:top w:val="none" w:sz="0" w:space="0" w:color="auto"/>
        <w:left w:val="none" w:sz="0" w:space="0" w:color="auto"/>
        <w:bottom w:val="none" w:sz="0" w:space="0" w:color="auto"/>
        <w:right w:val="none" w:sz="0" w:space="0" w:color="auto"/>
      </w:divBdr>
    </w:div>
    <w:div w:id="949972977">
      <w:bodyDiv w:val="1"/>
      <w:marLeft w:val="0"/>
      <w:marRight w:val="0"/>
      <w:marTop w:val="0"/>
      <w:marBottom w:val="0"/>
      <w:divBdr>
        <w:top w:val="none" w:sz="0" w:space="0" w:color="auto"/>
        <w:left w:val="none" w:sz="0" w:space="0" w:color="auto"/>
        <w:bottom w:val="none" w:sz="0" w:space="0" w:color="auto"/>
        <w:right w:val="none" w:sz="0" w:space="0" w:color="auto"/>
      </w:divBdr>
    </w:div>
    <w:div w:id="956257615">
      <w:bodyDiv w:val="1"/>
      <w:marLeft w:val="0"/>
      <w:marRight w:val="0"/>
      <w:marTop w:val="0"/>
      <w:marBottom w:val="0"/>
      <w:divBdr>
        <w:top w:val="none" w:sz="0" w:space="0" w:color="auto"/>
        <w:left w:val="none" w:sz="0" w:space="0" w:color="auto"/>
        <w:bottom w:val="none" w:sz="0" w:space="0" w:color="auto"/>
        <w:right w:val="none" w:sz="0" w:space="0" w:color="auto"/>
      </w:divBdr>
    </w:div>
    <w:div w:id="963853263">
      <w:bodyDiv w:val="1"/>
      <w:marLeft w:val="0"/>
      <w:marRight w:val="0"/>
      <w:marTop w:val="0"/>
      <w:marBottom w:val="0"/>
      <w:divBdr>
        <w:top w:val="none" w:sz="0" w:space="0" w:color="auto"/>
        <w:left w:val="none" w:sz="0" w:space="0" w:color="auto"/>
        <w:bottom w:val="none" w:sz="0" w:space="0" w:color="auto"/>
        <w:right w:val="none" w:sz="0" w:space="0" w:color="auto"/>
      </w:divBdr>
    </w:div>
    <w:div w:id="974065840">
      <w:bodyDiv w:val="1"/>
      <w:marLeft w:val="0"/>
      <w:marRight w:val="0"/>
      <w:marTop w:val="0"/>
      <w:marBottom w:val="0"/>
      <w:divBdr>
        <w:top w:val="none" w:sz="0" w:space="0" w:color="auto"/>
        <w:left w:val="none" w:sz="0" w:space="0" w:color="auto"/>
        <w:bottom w:val="none" w:sz="0" w:space="0" w:color="auto"/>
        <w:right w:val="none" w:sz="0" w:space="0" w:color="auto"/>
      </w:divBdr>
    </w:div>
    <w:div w:id="1037269828">
      <w:bodyDiv w:val="1"/>
      <w:marLeft w:val="0"/>
      <w:marRight w:val="0"/>
      <w:marTop w:val="0"/>
      <w:marBottom w:val="0"/>
      <w:divBdr>
        <w:top w:val="none" w:sz="0" w:space="0" w:color="auto"/>
        <w:left w:val="none" w:sz="0" w:space="0" w:color="auto"/>
        <w:bottom w:val="none" w:sz="0" w:space="0" w:color="auto"/>
        <w:right w:val="none" w:sz="0" w:space="0" w:color="auto"/>
      </w:divBdr>
    </w:div>
    <w:div w:id="1054043570">
      <w:bodyDiv w:val="1"/>
      <w:marLeft w:val="0"/>
      <w:marRight w:val="0"/>
      <w:marTop w:val="0"/>
      <w:marBottom w:val="0"/>
      <w:divBdr>
        <w:top w:val="none" w:sz="0" w:space="0" w:color="auto"/>
        <w:left w:val="none" w:sz="0" w:space="0" w:color="auto"/>
        <w:bottom w:val="none" w:sz="0" w:space="0" w:color="auto"/>
        <w:right w:val="none" w:sz="0" w:space="0" w:color="auto"/>
      </w:divBdr>
    </w:div>
    <w:div w:id="1078139618">
      <w:bodyDiv w:val="1"/>
      <w:marLeft w:val="0"/>
      <w:marRight w:val="0"/>
      <w:marTop w:val="0"/>
      <w:marBottom w:val="0"/>
      <w:divBdr>
        <w:top w:val="none" w:sz="0" w:space="0" w:color="auto"/>
        <w:left w:val="none" w:sz="0" w:space="0" w:color="auto"/>
        <w:bottom w:val="none" w:sz="0" w:space="0" w:color="auto"/>
        <w:right w:val="none" w:sz="0" w:space="0" w:color="auto"/>
      </w:divBdr>
    </w:div>
    <w:div w:id="1102648007">
      <w:bodyDiv w:val="1"/>
      <w:marLeft w:val="0"/>
      <w:marRight w:val="0"/>
      <w:marTop w:val="0"/>
      <w:marBottom w:val="0"/>
      <w:divBdr>
        <w:top w:val="none" w:sz="0" w:space="0" w:color="auto"/>
        <w:left w:val="none" w:sz="0" w:space="0" w:color="auto"/>
        <w:bottom w:val="none" w:sz="0" w:space="0" w:color="auto"/>
        <w:right w:val="none" w:sz="0" w:space="0" w:color="auto"/>
      </w:divBdr>
    </w:div>
    <w:div w:id="1113863219">
      <w:bodyDiv w:val="1"/>
      <w:marLeft w:val="0"/>
      <w:marRight w:val="0"/>
      <w:marTop w:val="0"/>
      <w:marBottom w:val="0"/>
      <w:divBdr>
        <w:top w:val="none" w:sz="0" w:space="0" w:color="auto"/>
        <w:left w:val="none" w:sz="0" w:space="0" w:color="auto"/>
        <w:bottom w:val="none" w:sz="0" w:space="0" w:color="auto"/>
        <w:right w:val="none" w:sz="0" w:space="0" w:color="auto"/>
      </w:divBdr>
    </w:div>
    <w:div w:id="1124688740">
      <w:bodyDiv w:val="1"/>
      <w:marLeft w:val="0"/>
      <w:marRight w:val="0"/>
      <w:marTop w:val="0"/>
      <w:marBottom w:val="0"/>
      <w:divBdr>
        <w:top w:val="none" w:sz="0" w:space="0" w:color="auto"/>
        <w:left w:val="none" w:sz="0" w:space="0" w:color="auto"/>
        <w:bottom w:val="none" w:sz="0" w:space="0" w:color="auto"/>
        <w:right w:val="none" w:sz="0" w:space="0" w:color="auto"/>
      </w:divBdr>
    </w:div>
    <w:div w:id="1125150894">
      <w:bodyDiv w:val="1"/>
      <w:marLeft w:val="0"/>
      <w:marRight w:val="0"/>
      <w:marTop w:val="0"/>
      <w:marBottom w:val="0"/>
      <w:divBdr>
        <w:top w:val="none" w:sz="0" w:space="0" w:color="auto"/>
        <w:left w:val="none" w:sz="0" w:space="0" w:color="auto"/>
        <w:bottom w:val="none" w:sz="0" w:space="0" w:color="auto"/>
        <w:right w:val="none" w:sz="0" w:space="0" w:color="auto"/>
      </w:divBdr>
    </w:div>
    <w:div w:id="1132482049">
      <w:bodyDiv w:val="1"/>
      <w:marLeft w:val="0"/>
      <w:marRight w:val="0"/>
      <w:marTop w:val="0"/>
      <w:marBottom w:val="0"/>
      <w:divBdr>
        <w:top w:val="none" w:sz="0" w:space="0" w:color="auto"/>
        <w:left w:val="none" w:sz="0" w:space="0" w:color="auto"/>
        <w:bottom w:val="none" w:sz="0" w:space="0" w:color="auto"/>
        <w:right w:val="none" w:sz="0" w:space="0" w:color="auto"/>
      </w:divBdr>
    </w:div>
    <w:div w:id="1137840123">
      <w:bodyDiv w:val="1"/>
      <w:marLeft w:val="0"/>
      <w:marRight w:val="0"/>
      <w:marTop w:val="0"/>
      <w:marBottom w:val="0"/>
      <w:divBdr>
        <w:top w:val="none" w:sz="0" w:space="0" w:color="auto"/>
        <w:left w:val="none" w:sz="0" w:space="0" w:color="auto"/>
        <w:bottom w:val="none" w:sz="0" w:space="0" w:color="auto"/>
        <w:right w:val="none" w:sz="0" w:space="0" w:color="auto"/>
      </w:divBdr>
    </w:div>
    <w:div w:id="1151600787">
      <w:bodyDiv w:val="1"/>
      <w:marLeft w:val="0"/>
      <w:marRight w:val="0"/>
      <w:marTop w:val="0"/>
      <w:marBottom w:val="0"/>
      <w:divBdr>
        <w:top w:val="none" w:sz="0" w:space="0" w:color="auto"/>
        <w:left w:val="none" w:sz="0" w:space="0" w:color="auto"/>
        <w:bottom w:val="none" w:sz="0" w:space="0" w:color="auto"/>
        <w:right w:val="none" w:sz="0" w:space="0" w:color="auto"/>
      </w:divBdr>
    </w:div>
    <w:div w:id="1168979405">
      <w:bodyDiv w:val="1"/>
      <w:marLeft w:val="0"/>
      <w:marRight w:val="0"/>
      <w:marTop w:val="0"/>
      <w:marBottom w:val="0"/>
      <w:divBdr>
        <w:top w:val="none" w:sz="0" w:space="0" w:color="auto"/>
        <w:left w:val="none" w:sz="0" w:space="0" w:color="auto"/>
        <w:bottom w:val="none" w:sz="0" w:space="0" w:color="auto"/>
        <w:right w:val="none" w:sz="0" w:space="0" w:color="auto"/>
      </w:divBdr>
    </w:div>
    <w:div w:id="1183786087">
      <w:bodyDiv w:val="1"/>
      <w:marLeft w:val="0"/>
      <w:marRight w:val="0"/>
      <w:marTop w:val="0"/>
      <w:marBottom w:val="0"/>
      <w:divBdr>
        <w:top w:val="none" w:sz="0" w:space="0" w:color="auto"/>
        <w:left w:val="none" w:sz="0" w:space="0" w:color="auto"/>
        <w:bottom w:val="none" w:sz="0" w:space="0" w:color="auto"/>
        <w:right w:val="none" w:sz="0" w:space="0" w:color="auto"/>
      </w:divBdr>
    </w:div>
    <w:div w:id="1192839423">
      <w:bodyDiv w:val="1"/>
      <w:marLeft w:val="0"/>
      <w:marRight w:val="0"/>
      <w:marTop w:val="0"/>
      <w:marBottom w:val="0"/>
      <w:divBdr>
        <w:top w:val="none" w:sz="0" w:space="0" w:color="auto"/>
        <w:left w:val="none" w:sz="0" w:space="0" w:color="auto"/>
        <w:bottom w:val="none" w:sz="0" w:space="0" w:color="auto"/>
        <w:right w:val="none" w:sz="0" w:space="0" w:color="auto"/>
      </w:divBdr>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
    <w:div w:id="1196456705">
      <w:bodyDiv w:val="1"/>
      <w:marLeft w:val="0"/>
      <w:marRight w:val="0"/>
      <w:marTop w:val="0"/>
      <w:marBottom w:val="0"/>
      <w:divBdr>
        <w:top w:val="none" w:sz="0" w:space="0" w:color="auto"/>
        <w:left w:val="none" w:sz="0" w:space="0" w:color="auto"/>
        <w:bottom w:val="none" w:sz="0" w:space="0" w:color="auto"/>
        <w:right w:val="none" w:sz="0" w:space="0" w:color="auto"/>
      </w:divBdr>
    </w:div>
    <w:div w:id="1200630421">
      <w:bodyDiv w:val="1"/>
      <w:marLeft w:val="0"/>
      <w:marRight w:val="0"/>
      <w:marTop w:val="0"/>
      <w:marBottom w:val="0"/>
      <w:divBdr>
        <w:top w:val="none" w:sz="0" w:space="0" w:color="auto"/>
        <w:left w:val="none" w:sz="0" w:space="0" w:color="auto"/>
        <w:bottom w:val="none" w:sz="0" w:space="0" w:color="auto"/>
        <w:right w:val="none" w:sz="0" w:space="0" w:color="auto"/>
      </w:divBdr>
    </w:div>
    <w:div w:id="1223370977">
      <w:bodyDiv w:val="1"/>
      <w:marLeft w:val="0"/>
      <w:marRight w:val="0"/>
      <w:marTop w:val="0"/>
      <w:marBottom w:val="0"/>
      <w:divBdr>
        <w:top w:val="none" w:sz="0" w:space="0" w:color="auto"/>
        <w:left w:val="none" w:sz="0" w:space="0" w:color="auto"/>
        <w:bottom w:val="none" w:sz="0" w:space="0" w:color="auto"/>
        <w:right w:val="none" w:sz="0" w:space="0" w:color="auto"/>
      </w:divBdr>
    </w:div>
    <w:div w:id="1274899845">
      <w:bodyDiv w:val="1"/>
      <w:marLeft w:val="0"/>
      <w:marRight w:val="0"/>
      <w:marTop w:val="0"/>
      <w:marBottom w:val="0"/>
      <w:divBdr>
        <w:top w:val="none" w:sz="0" w:space="0" w:color="auto"/>
        <w:left w:val="none" w:sz="0" w:space="0" w:color="auto"/>
        <w:bottom w:val="none" w:sz="0" w:space="0" w:color="auto"/>
        <w:right w:val="none" w:sz="0" w:space="0" w:color="auto"/>
      </w:divBdr>
    </w:div>
    <w:div w:id="1323044213">
      <w:bodyDiv w:val="1"/>
      <w:marLeft w:val="0"/>
      <w:marRight w:val="0"/>
      <w:marTop w:val="0"/>
      <w:marBottom w:val="0"/>
      <w:divBdr>
        <w:top w:val="none" w:sz="0" w:space="0" w:color="auto"/>
        <w:left w:val="none" w:sz="0" w:space="0" w:color="auto"/>
        <w:bottom w:val="none" w:sz="0" w:space="0" w:color="auto"/>
        <w:right w:val="none" w:sz="0" w:space="0" w:color="auto"/>
      </w:divBdr>
    </w:div>
    <w:div w:id="1348171269">
      <w:bodyDiv w:val="1"/>
      <w:marLeft w:val="0"/>
      <w:marRight w:val="0"/>
      <w:marTop w:val="0"/>
      <w:marBottom w:val="0"/>
      <w:divBdr>
        <w:top w:val="none" w:sz="0" w:space="0" w:color="auto"/>
        <w:left w:val="none" w:sz="0" w:space="0" w:color="auto"/>
        <w:bottom w:val="none" w:sz="0" w:space="0" w:color="auto"/>
        <w:right w:val="none" w:sz="0" w:space="0" w:color="auto"/>
      </w:divBdr>
    </w:div>
    <w:div w:id="1371295160">
      <w:bodyDiv w:val="1"/>
      <w:marLeft w:val="0"/>
      <w:marRight w:val="0"/>
      <w:marTop w:val="0"/>
      <w:marBottom w:val="0"/>
      <w:divBdr>
        <w:top w:val="none" w:sz="0" w:space="0" w:color="auto"/>
        <w:left w:val="none" w:sz="0" w:space="0" w:color="auto"/>
        <w:bottom w:val="none" w:sz="0" w:space="0" w:color="auto"/>
        <w:right w:val="none" w:sz="0" w:space="0" w:color="auto"/>
      </w:divBdr>
    </w:div>
    <w:div w:id="1402021079">
      <w:bodyDiv w:val="1"/>
      <w:marLeft w:val="0"/>
      <w:marRight w:val="0"/>
      <w:marTop w:val="0"/>
      <w:marBottom w:val="0"/>
      <w:divBdr>
        <w:top w:val="none" w:sz="0" w:space="0" w:color="auto"/>
        <w:left w:val="none" w:sz="0" w:space="0" w:color="auto"/>
        <w:bottom w:val="none" w:sz="0" w:space="0" w:color="auto"/>
        <w:right w:val="none" w:sz="0" w:space="0" w:color="auto"/>
      </w:divBdr>
    </w:div>
    <w:div w:id="1406606797">
      <w:bodyDiv w:val="1"/>
      <w:marLeft w:val="0"/>
      <w:marRight w:val="0"/>
      <w:marTop w:val="0"/>
      <w:marBottom w:val="0"/>
      <w:divBdr>
        <w:top w:val="none" w:sz="0" w:space="0" w:color="auto"/>
        <w:left w:val="none" w:sz="0" w:space="0" w:color="auto"/>
        <w:bottom w:val="none" w:sz="0" w:space="0" w:color="auto"/>
        <w:right w:val="none" w:sz="0" w:space="0" w:color="auto"/>
      </w:divBdr>
    </w:div>
    <w:div w:id="1423598809">
      <w:bodyDiv w:val="1"/>
      <w:marLeft w:val="0"/>
      <w:marRight w:val="0"/>
      <w:marTop w:val="0"/>
      <w:marBottom w:val="0"/>
      <w:divBdr>
        <w:top w:val="none" w:sz="0" w:space="0" w:color="auto"/>
        <w:left w:val="none" w:sz="0" w:space="0" w:color="auto"/>
        <w:bottom w:val="none" w:sz="0" w:space="0" w:color="auto"/>
        <w:right w:val="none" w:sz="0" w:space="0" w:color="auto"/>
      </w:divBdr>
    </w:div>
    <w:div w:id="1449591572">
      <w:bodyDiv w:val="1"/>
      <w:marLeft w:val="0"/>
      <w:marRight w:val="0"/>
      <w:marTop w:val="0"/>
      <w:marBottom w:val="0"/>
      <w:divBdr>
        <w:top w:val="none" w:sz="0" w:space="0" w:color="auto"/>
        <w:left w:val="none" w:sz="0" w:space="0" w:color="auto"/>
        <w:bottom w:val="none" w:sz="0" w:space="0" w:color="auto"/>
        <w:right w:val="none" w:sz="0" w:space="0" w:color="auto"/>
      </w:divBdr>
    </w:div>
    <w:div w:id="1455439651">
      <w:bodyDiv w:val="1"/>
      <w:marLeft w:val="0"/>
      <w:marRight w:val="0"/>
      <w:marTop w:val="0"/>
      <w:marBottom w:val="0"/>
      <w:divBdr>
        <w:top w:val="none" w:sz="0" w:space="0" w:color="auto"/>
        <w:left w:val="none" w:sz="0" w:space="0" w:color="auto"/>
        <w:bottom w:val="none" w:sz="0" w:space="0" w:color="auto"/>
        <w:right w:val="none" w:sz="0" w:space="0" w:color="auto"/>
      </w:divBdr>
    </w:div>
    <w:div w:id="1461610419">
      <w:bodyDiv w:val="1"/>
      <w:marLeft w:val="0"/>
      <w:marRight w:val="0"/>
      <w:marTop w:val="0"/>
      <w:marBottom w:val="0"/>
      <w:divBdr>
        <w:top w:val="none" w:sz="0" w:space="0" w:color="auto"/>
        <w:left w:val="none" w:sz="0" w:space="0" w:color="auto"/>
        <w:bottom w:val="none" w:sz="0" w:space="0" w:color="auto"/>
        <w:right w:val="none" w:sz="0" w:space="0" w:color="auto"/>
      </w:divBdr>
    </w:div>
    <w:div w:id="1491867875">
      <w:bodyDiv w:val="1"/>
      <w:marLeft w:val="0"/>
      <w:marRight w:val="0"/>
      <w:marTop w:val="0"/>
      <w:marBottom w:val="0"/>
      <w:divBdr>
        <w:top w:val="none" w:sz="0" w:space="0" w:color="auto"/>
        <w:left w:val="none" w:sz="0" w:space="0" w:color="auto"/>
        <w:bottom w:val="none" w:sz="0" w:space="0" w:color="auto"/>
        <w:right w:val="none" w:sz="0" w:space="0" w:color="auto"/>
      </w:divBdr>
    </w:div>
    <w:div w:id="1492212878">
      <w:bodyDiv w:val="1"/>
      <w:marLeft w:val="0"/>
      <w:marRight w:val="0"/>
      <w:marTop w:val="0"/>
      <w:marBottom w:val="0"/>
      <w:divBdr>
        <w:top w:val="none" w:sz="0" w:space="0" w:color="auto"/>
        <w:left w:val="none" w:sz="0" w:space="0" w:color="auto"/>
        <w:bottom w:val="none" w:sz="0" w:space="0" w:color="auto"/>
        <w:right w:val="none" w:sz="0" w:space="0" w:color="auto"/>
      </w:divBdr>
    </w:div>
    <w:div w:id="1528522970">
      <w:bodyDiv w:val="1"/>
      <w:marLeft w:val="0"/>
      <w:marRight w:val="0"/>
      <w:marTop w:val="0"/>
      <w:marBottom w:val="0"/>
      <w:divBdr>
        <w:top w:val="none" w:sz="0" w:space="0" w:color="auto"/>
        <w:left w:val="none" w:sz="0" w:space="0" w:color="auto"/>
        <w:bottom w:val="none" w:sz="0" w:space="0" w:color="auto"/>
        <w:right w:val="none" w:sz="0" w:space="0" w:color="auto"/>
      </w:divBdr>
    </w:div>
    <w:div w:id="1540124658">
      <w:bodyDiv w:val="1"/>
      <w:marLeft w:val="0"/>
      <w:marRight w:val="0"/>
      <w:marTop w:val="0"/>
      <w:marBottom w:val="0"/>
      <w:divBdr>
        <w:top w:val="none" w:sz="0" w:space="0" w:color="auto"/>
        <w:left w:val="none" w:sz="0" w:space="0" w:color="auto"/>
        <w:bottom w:val="none" w:sz="0" w:space="0" w:color="auto"/>
        <w:right w:val="none" w:sz="0" w:space="0" w:color="auto"/>
      </w:divBdr>
    </w:div>
    <w:div w:id="1575234565">
      <w:bodyDiv w:val="1"/>
      <w:marLeft w:val="0"/>
      <w:marRight w:val="0"/>
      <w:marTop w:val="0"/>
      <w:marBottom w:val="0"/>
      <w:divBdr>
        <w:top w:val="none" w:sz="0" w:space="0" w:color="auto"/>
        <w:left w:val="none" w:sz="0" w:space="0" w:color="auto"/>
        <w:bottom w:val="none" w:sz="0" w:space="0" w:color="auto"/>
        <w:right w:val="none" w:sz="0" w:space="0" w:color="auto"/>
      </w:divBdr>
    </w:div>
    <w:div w:id="1587302700">
      <w:bodyDiv w:val="1"/>
      <w:marLeft w:val="0"/>
      <w:marRight w:val="0"/>
      <w:marTop w:val="0"/>
      <w:marBottom w:val="0"/>
      <w:divBdr>
        <w:top w:val="none" w:sz="0" w:space="0" w:color="auto"/>
        <w:left w:val="none" w:sz="0" w:space="0" w:color="auto"/>
        <w:bottom w:val="none" w:sz="0" w:space="0" w:color="auto"/>
        <w:right w:val="none" w:sz="0" w:space="0" w:color="auto"/>
      </w:divBdr>
    </w:div>
    <w:div w:id="1596088732">
      <w:bodyDiv w:val="1"/>
      <w:marLeft w:val="0"/>
      <w:marRight w:val="0"/>
      <w:marTop w:val="0"/>
      <w:marBottom w:val="0"/>
      <w:divBdr>
        <w:top w:val="none" w:sz="0" w:space="0" w:color="auto"/>
        <w:left w:val="none" w:sz="0" w:space="0" w:color="auto"/>
        <w:bottom w:val="none" w:sz="0" w:space="0" w:color="auto"/>
        <w:right w:val="none" w:sz="0" w:space="0" w:color="auto"/>
      </w:divBdr>
    </w:div>
    <w:div w:id="1597253960">
      <w:bodyDiv w:val="1"/>
      <w:marLeft w:val="0"/>
      <w:marRight w:val="0"/>
      <w:marTop w:val="0"/>
      <w:marBottom w:val="0"/>
      <w:divBdr>
        <w:top w:val="none" w:sz="0" w:space="0" w:color="auto"/>
        <w:left w:val="none" w:sz="0" w:space="0" w:color="auto"/>
        <w:bottom w:val="none" w:sz="0" w:space="0" w:color="auto"/>
        <w:right w:val="none" w:sz="0" w:space="0" w:color="auto"/>
      </w:divBdr>
    </w:div>
    <w:div w:id="1598559565">
      <w:bodyDiv w:val="1"/>
      <w:marLeft w:val="0"/>
      <w:marRight w:val="0"/>
      <w:marTop w:val="0"/>
      <w:marBottom w:val="0"/>
      <w:divBdr>
        <w:top w:val="none" w:sz="0" w:space="0" w:color="auto"/>
        <w:left w:val="none" w:sz="0" w:space="0" w:color="auto"/>
        <w:bottom w:val="none" w:sz="0" w:space="0" w:color="auto"/>
        <w:right w:val="none" w:sz="0" w:space="0" w:color="auto"/>
      </w:divBdr>
    </w:div>
    <w:div w:id="1603807159">
      <w:bodyDiv w:val="1"/>
      <w:marLeft w:val="0"/>
      <w:marRight w:val="0"/>
      <w:marTop w:val="0"/>
      <w:marBottom w:val="0"/>
      <w:divBdr>
        <w:top w:val="none" w:sz="0" w:space="0" w:color="auto"/>
        <w:left w:val="none" w:sz="0" w:space="0" w:color="auto"/>
        <w:bottom w:val="none" w:sz="0" w:space="0" w:color="auto"/>
        <w:right w:val="none" w:sz="0" w:space="0" w:color="auto"/>
      </w:divBdr>
    </w:div>
    <w:div w:id="1630935268">
      <w:bodyDiv w:val="1"/>
      <w:marLeft w:val="0"/>
      <w:marRight w:val="0"/>
      <w:marTop w:val="0"/>
      <w:marBottom w:val="0"/>
      <w:divBdr>
        <w:top w:val="none" w:sz="0" w:space="0" w:color="auto"/>
        <w:left w:val="none" w:sz="0" w:space="0" w:color="auto"/>
        <w:bottom w:val="none" w:sz="0" w:space="0" w:color="auto"/>
        <w:right w:val="none" w:sz="0" w:space="0" w:color="auto"/>
      </w:divBdr>
    </w:div>
    <w:div w:id="1640380078">
      <w:bodyDiv w:val="1"/>
      <w:marLeft w:val="0"/>
      <w:marRight w:val="0"/>
      <w:marTop w:val="0"/>
      <w:marBottom w:val="0"/>
      <w:divBdr>
        <w:top w:val="none" w:sz="0" w:space="0" w:color="auto"/>
        <w:left w:val="none" w:sz="0" w:space="0" w:color="auto"/>
        <w:bottom w:val="none" w:sz="0" w:space="0" w:color="auto"/>
        <w:right w:val="none" w:sz="0" w:space="0" w:color="auto"/>
      </w:divBdr>
    </w:div>
    <w:div w:id="1658268283">
      <w:bodyDiv w:val="1"/>
      <w:marLeft w:val="0"/>
      <w:marRight w:val="0"/>
      <w:marTop w:val="0"/>
      <w:marBottom w:val="0"/>
      <w:divBdr>
        <w:top w:val="none" w:sz="0" w:space="0" w:color="auto"/>
        <w:left w:val="none" w:sz="0" w:space="0" w:color="auto"/>
        <w:bottom w:val="none" w:sz="0" w:space="0" w:color="auto"/>
        <w:right w:val="none" w:sz="0" w:space="0" w:color="auto"/>
      </w:divBdr>
    </w:div>
    <w:div w:id="1668173131">
      <w:bodyDiv w:val="1"/>
      <w:marLeft w:val="0"/>
      <w:marRight w:val="0"/>
      <w:marTop w:val="0"/>
      <w:marBottom w:val="0"/>
      <w:divBdr>
        <w:top w:val="none" w:sz="0" w:space="0" w:color="auto"/>
        <w:left w:val="none" w:sz="0" w:space="0" w:color="auto"/>
        <w:bottom w:val="none" w:sz="0" w:space="0" w:color="auto"/>
        <w:right w:val="none" w:sz="0" w:space="0" w:color="auto"/>
      </w:divBdr>
    </w:div>
    <w:div w:id="1746758702">
      <w:bodyDiv w:val="1"/>
      <w:marLeft w:val="0"/>
      <w:marRight w:val="0"/>
      <w:marTop w:val="0"/>
      <w:marBottom w:val="0"/>
      <w:divBdr>
        <w:top w:val="none" w:sz="0" w:space="0" w:color="auto"/>
        <w:left w:val="none" w:sz="0" w:space="0" w:color="auto"/>
        <w:bottom w:val="none" w:sz="0" w:space="0" w:color="auto"/>
        <w:right w:val="none" w:sz="0" w:space="0" w:color="auto"/>
      </w:divBdr>
    </w:div>
    <w:div w:id="1750883087">
      <w:bodyDiv w:val="1"/>
      <w:marLeft w:val="0"/>
      <w:marRight w:val="0"/>
      <w:marTop w:val="0"/>
      <w:marBottom w:val="0"/>
      <w:divBdr>
        <w:top w:val="none" w:sz="0" w:space="0" w:color="auto"/>
        <w:left w:val="none" w:sz="0" w:space="0" w:color="auto"/>
        <w:bottom w:val="none" w:sz="0" w:space="0" w:color="auto"/>
        <w:right w:val="none" w:sz="0" w:space="0" w:color="auto"/>
      </w:divBdr>
    </w:div>
    <w:div w:id="1768424877">
      <w:bodyDiv w:val="1"/>
      <w:marLeft w:val="0"/>
      <w:marRight w:val="0"/>
      <w:marTop w:val="0"/>
      <w:marBottom w:val="0"/>
      <w:divBdr>
        <w:top w:val="none" w:sz="0" w:space="0" w:color="auto"/>
        <w:left w:val="none" w:sz="0" w:space="0" w:color="auto"/>
        <w:bottom w:val="none" w:sz="0" w:space="0" w:color="auto"/>
        <w:right w:val="none" w:sz="0" w:space="0" w:color="auto"/>
      </w:divBdr>
    </w:div>
    <w:div w:id="1811558366">
      <w:bodyDiv w:val="1"/>
      <w:marLeft w:val="0"/>
      <w:marRight w:val="0"/>
      <w:marTop w:val="0"/>
      <w:marBottom w:val="0"/>
      <w:divBdr>
        <w:top w:val="none" w:sz="0" w:space="0" w:color="auto"/>
        <w:left w:val="none" w:sz="0" w:space="0" w:color="auto"/>
        <w:bottom w:val="none" w:sz="0" w:space="0" w:color="auto"/>
        <w:right w:val="none" w:sz="0" w:space="0" w:color="auto"/>
      </w:divBdr>
    </w:div>
    <w:div w:id="1812482892">
      <w:bodyDiv w:val="1"/>
      <w:marLeft w:val="0"/>
      <w:marRight w:val="0"/>
      <w:marTop w:val="0"/>
      <w:marBottom w:val="0"/>
      <w:divBdr>
        <w:top w:val="none" w:sz="0" w:space="0" w:color="auto"/>
        <w:left w:val="none" w:sz="0" w:space="0" w:color="auto"/>
        <w:bottom w:val="none" w:sz="0" w:space="0" w:color="auto"/>
        <w:right w:val="none" w:sz="0" w:space="0" w:color="auto"/>
      </w:divBdr>
    </w:div>
    <w:div w:id="1822694066">
      <w:bodyDiv w:val="1"/>
      <w:marLeft w:val="0"/>
      <w:marRight w:val="0"/>
      <w:marTop w:val="0"/>
      <w:marBottom w:val="0"/>
      <w:divBdr>
        <w:top w:val="none" w:sz="0" w:space="0" w:color="auto"/>
        <w:left w:val="none" w:sz="0" w:space="0" w:color="auto"/>
        <w:bottom w:val="none" w:sz="0" w:space="0" w:color="auto"/>
        <w:right w:val="none" w:sz="0" w:space="0" w:color="auto"/>
      </w:divBdr>
    </w:div>
    <w:div w:id="1837695627">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 w:id="1900707817">
      <w:bodyDiv w:val="1"/>
      <w:marLeft w:val="0"/>
      <w:marRight w:val="0"/>
      <w:marTop w:val="0"/>
      <w:marBottom w:val="0"/>
      <w:divBdr>
        <w:top w:val="none" w:sz="0" w:space="0" w:color="auto"/>
        <w:left w:val="none" w:sz="0" w:space="0" w:color="auto"/>
        <w:bottom w:val="none" w:sz="0" w:space="0" w:color="auto"/>
        <w:right w:val="none" w:sz="0" w:space="0" w:color="auto"/>
      </w:divBdr>
    </w:div>
    <w:div w:id="1900825824">
      <w:bodyDiv w:val="1"/>
      <w:marLeft w:val="0"/>
      <w:marRight w:val="0"/>
      <w:marTop w:val="0"/>
      <w:marBottom w:val="0"/>
      <w:divBdr>
        <w:top w:val="none" w:sz="0" w:space="0" w:color="auto"/>
        <w:left w:val="none" w:sz="0" w:space="0" w:color="auto"/>
        <w:bottom w:val="none" w:sz="0" w:space="0" w:color="auto"/>
        <w:right w:val="none" w:sz="0" w:space="0" w:color="auto"/>
      </w:divBdr>
    </w:div>
    <w:div w:id="1924290006">
      <w:bodyDiv w:val="1"/>
      <w:marLeft w:val="0"/>
      <w:marRight w:val="0"/>
      <w:marTop w:val="0"/>
      <w:marBottom w:val="0"/>
      <w:divBdr>
        <w:top w:val="none" w:sz="0" w:space="0" w:color="auto"/>
        <w:left w:val="none" w:sz="0" w:space="0" w:color="auto"/>
        <w:bottom w:val="none" w:sz="0" w:space="0" w:color="auto"/>
        <w:right w:val="none" w:sz="0" w:space="0" w:color="auto"/>
      </w:divBdr>
    </w:div>
    <w:div w:id="1927112259">
      <w:bodyDiv w:val="1"/>
      <w:marLeft w:val="0"/>
      <w:marRight w:val="0"/>
      <w:marTop w:val="0"/>
      <w:marBottom w:val="0"/>
      <w:divBdr>
        <w:top w:val="none" w:sz="0" w:space="0" w:color="auto"/>
        <w:left w:val="none" w:sz="0" w:space="0" w:color="auto"/>
        <w:bottom w:val="none" w:sz="0" w:space="0" w:color="auto"/>
        <w:right w:val="none" w:sz="0" w:space="0" w:color="auto"/>
      </w:divBdr>
    </w:div>
    <w:div w:id="1976139029">
      <w:bodyDiv w:val="1"/>
      <w:marLeft w:val="0"/>
      <w:marRight w:val="0"/>
      <w:marTop w:val="0"/>
      <w:marBottom w:val="0"/>
      <w:divBdr>
        <w:top w:val="none" w:sz="0" w:space="0" w:color="auto"/>
        <w:left w:val="none" w:sz="0" w:space="0" w:color="auto"/>
        <w:bottom w:val="none" w:sz="0" w:space="0" w:color="auto"/>
        <w:right w:val="none" w:sz="0" w:space="0" w:color="auto"/>
      </w:divBdr>
    </w:div>
    <w:div w:id="1988976221">
      <w:bodyDiv w:val="1"/>
      <w:marLeft w:val="0"/>
      <w:marRight w:val="0"/>
      <w:marTop w:val="0"/>
      <w:marBottom w:val="0"/>
      <w:divBdr>
        <w:top w:val="none" w:sz="0" w:space="0" w:color="auto"/>
        <w:left w:val="none" w:sz="0" w:space="0" w:color="auto"/>
        <w:bottom w:val="none" w:sz="0" w:space="0" w:color="auto"/>
        <w:right w:val="none" w:sz="0" w:space="0" w:color="auto"/>
      </w:divBdr>
    </w:div>
    <w:div w:id="1992295562">
      <w:bodyDiv w:val="1"/>
      <w:marLeft w:val="0"/>
      <w:marRight w:val="0"/>
      <w:marTop w:val="0"/>
      <w:marBottom w:val="0"/>
      <w:divBdr>
        <w:top w:val="none" w:sz="0" w:space="0" w:color="auto"/>
        <w:left w:val="none" w:sz="0" w:space="0" w:color="auto"/>
        <w:bottom w:val="none" w:sz="0" w:space="0" w:color="auto"/>
        <w:right w:val="none" w:sz="0" w:space="0" w:color="auto"/>
      </w:divBdr>
    </w:div>
    <w:div w:id="1994410354">
      <w:bodyDiv w:val="1"/>
      <w:marLeft w:val="0"/>
      <w:marRight w:val="0"/>
      <w:marTop w:val="0"/>
      <w:marBottom w:val="0"/>
      <w:divBdr>
        <w:top w:val="none" w:sz="0" w:space="0" w:color="auto"/>
        <w:left w:val="none" w:sz="0" w:space="0" w:color="auto"/>
        <w:bottom w:val="none" w:sz="0" w:space="0" w:color="auto"/>
        <w:right w:val="none" w:sz="0" w:space="0" w:color="auto"/>
      </w:divBdr>
    </w:div>
    <w:div w:id="2048991765">
      <w:bodyDiv w:val="1"/>
      <w:marLeft w:val="0"/>
      <w:marRight w:val="0"/>
      <w:marTop w:val="0"/>
      <w:marBottom w:val="0"/>
      <w:divBdr>
        <w:top w:val="none" w:sz="0" w:space="0" w:color="auto"/>
        <w:left w:val="none" w:sz="0" w:space="0" w:color="auto"/>
        <w:bottom w:val="none" w:sz="0" w:space="0" w:color="auto"/>
        <w:right w:val="none" w:sz="0" w:space="0" w:color="auto"/>
      </w:divBdr>
    </w:div>
    <w:div w:id="2052611893">
      <w:bodyDiv w:val="1"/>
      <w:marLeft w:val="0"/>
      <w:marRight w:val="0"/>
      <w:marTop w:val="0"/>
      <w:marBottom w:val="0"/>
      <w:divBdr>
        <w:top w:val="none" w:sz="0" w:space="0" w:color="auto"/>
        <w:left w:val="none" w:sz="0" w:space="0" w:color="auto"/>
        <w:bottom w:val="none" w:sz="0" w:space="0" w:color="auto"/>
        <w:right w:val="none" w:sz="0" w:space="0" w:color="auto"/>
      </w:divBdr>
    </w:div>
    <w:div w:id="2053722575">
      <w:bodyDiv w:val="1"/>
      <w:marLeft w:val="0"/>
      <w:marRight w:val="0"/>
      <w:marTop w:val="0"/>
      <w:marBottom w:val="0"/>
      <w:divBdr>
        <w:top w:val="none" w:sz="0" w:space="0" w:color="auto"/>
        <w:left w:val="none" w:sz="0" w:space="0" w:color="auto"/>
        <w:bottom w:val="none" w:sz="0" w:space="0" w:color="auto"/>
        <w:right w:val="none" w:sz="0" w:space="0" w:color="auto"/>
      </w:divBdr>
    </w:div>
    <w:div w:id="2094081547">
      <w:bodyDiv w:val="1"/>
      <w:marLeft w:val="0"/>
      <w:marRight w:val="0"/>
      <w:marTop w:val="0"/>
      <w:marBottom w:val="0"/>
      <w:divBdr>
        <w:top w:val="none" w:sz="0" w:space="0" w:color="auto"/>
        <w:left w:val="none" w:sz="0" w:space="0" w:color="auto"/>
        <w:bottom w:val="none" w:sz="0" w:space="0" w:color="auto"/>
        <w:right w:val="none" w:sz="0" w:space="0" w:color="auto"/>
      </w:divBdr>
    </w:div>
    <w:div w:id="2107725640">
      <w:bodyDiv w:val="1"/>
      <w:marLeft w:val="0"/>
      <w:marRight w:val="0"/>
      <w:marTop w:val="0"/>
      <w:marBottom w:val="0"/>
      <w:divBdr>
        <w:top w:val="none" w:sz="0" w:space="0" w:color="auto"/>
        <w:left w:val="none" w:sz="0" w:space="0" w:color="auto"/>
        <w:bottom w:val="none" w:sz="0" w:space="0" w:color="auto"/>
        <w:right w:val="none" w:sz="0" w:space="0" w:color="auto"/>
      </w:divBdr>
    </w:div>
    <w:div w:id="21124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asoobhug@govmu.org"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mailto:asoobhug@govmu.or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Sawleha\PPI-M\New%20Basket\Q1%202023\PPI-M%20Q1%202023%20chart.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lgn="ctr">
              <a:defRPr sz="1000" b="1" i="0" u="none" strike="noStrike" baseline="0">
                <a:solidFill>
                  <a:srgbClr val="000000"/>
                </a:solidFill>
                <a:latin typeface="Times New Roman"/>
                <a:ea typeface="Times New Roman"/>
                <a:cs typeface="Times New Roman"/>
              </a:defRPr>
            </a:pPr>
            <a:r>
              <a:rPr lang="en-US">
                <a:latin typeface="Times" pitchFamily="18" charset="0"/>
              </a:rPr>
              <a:t>Fig 1: Overall monthly indices: April 2022 - March</a:t>
            </a:r>
            <a:r>
              <a:rPr lang="en-US" baseline="0">
                <a:latin typeface="Times" pitchFamily="18" charset="0"/>
              </a:rPr>
              <a:t> </a:t>
            </a:r>
            <a:r>
              <a:rPr lang="en-US">
                <a:latin typeface="Times" pitchFamily="18" charset="0"/>
              </a:rPr>
              <a:t>2023              Manufacturing Sector</a:t>
            </a:r>
          </a:p>
        </c:rich>
      </c:tx>
      <c:layout>
        <c:manualLayout>
          <c:xMode val="edge"/>
          <c:yMode val="edge"/>
          <c:x val="0.12773966935406803"/>
          <c:y val="3.2065991440458401E-2"/>
        </c:manualLayout>
      </c:layout>
      <c:overlay val="0"/>
      <c:spPr>
        <a:noFill/>
        <a:ln w="25400">
          <a:noFill/>
        </a:ln>
      </c:spPr>
    </c:title>
    <c:autoTitleDeleted val="0"/>
    <c:plotArea>
      <c:layout>
        <c:manualLayout>
          <c:layoutTarget val="inner"/>
          <c:xMode val="edge"/>
          <c:yMode val="edge"/>
          <c:x val="0.13245949877421442"/>
          <c:y val="0.16644110827851741"/>
          <c:w val="0.7869214524852236"/>
          <c:h val="0.55094446532413099"/>
        </c:manualLayout>
      </c:layout>
      <c:lineChart>
        <c:grouping val="standard"/>
        <c:varyColors val="0"/>
        <c:ser>
          <c:idx val="0"/>
          <c:order val="0"/>
          <c:tx>
            <c:strRef>
              <c:f>'Q12023'!$B$4</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'Q12023'!$A$20:$A$31</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'Q12023'!$B$20:$B$31</c:f>
              <c:numCache>
                <c:formatCode>0.0</c:formatCode>
                <c:ptCount val="12"/>
                <c:pt idx="0">
                  <c:v>137</c:v>
                </c:pt>
                <c:pt idx="1">
                  <c:v>137.19999999999999</c:v>
                </c:pt>
                <c:pt idx="2">
                  <c:v>139.80000000000001</c:v>
                </c:pt>
                <c:pt idx="3">
                  <c:v>143.80000000000001</c:v>
                </c:pt>
                <c:pt idx="4">
                  <c:v>148.30000000000001</c:v>
                </c:pt>
                <c:pt idx="5">
                  <c:v>148.1</c:v>
                </c:pt>
                <c:pt idx="6" formatCode="General">
                  <c:v>147.9</c:v>
                </c:pt>
                <c:pt idx="7" formatCode="General">
                  <c:v>147.69999999999999</c:v>
                </c:pt>
                <c:pt idx="8" formatCode="General">
                  <c:v>147.9</c:v>
                </c:pt>
                <c:pt idx="9" formatCode="General">
                  <c:v>148.6</c:v>
                </c:pt>
                <c:pt idx="10" formatCode="General">
                  <c:v>149.5</c:v>
                </c:pt>
                <c:pt idx="11" formatCode="General">
                  <c:v>150.19999999999999</c:v>
                </c:pt>
              </c:numCache>
            </c:numRef>
          </c:val>
          <c:smooth val="0"/>
          <c:extLst>
            <c:ext xmlns:c16="http://schemas.microsoft.com/office/drawing/2014/chart" uri="{C3380CC4-5D6E-409C-BE32-E72D297353CC}">
              <c16:uniqueId val="{00000000-0A02-47B8-8ACC-69F129046493}"/>
            </c:ext>
          </c:extLst>
        </c:ser>
        <c:dLbls>
          <c:showLegendKey val="0"/>
          <c:showVal val="0"/>
          <c:showCatName val="0"/>
          <c:showSerName val="0"/>
          <c:showPercent val="0"/>
          <c:showBubbleSize val="0"/>
        </c:dLbls>
        <c:marker val="1"/>
        <c:smooth val="0"/>
        <c:axId val="105054592"/>
        <c:axId val="105056896"/>
      </c:lineChart>
      <c:dateAx>
        <c:axId val="10505459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003813118308762"/>
              <c:y val="0.92658486762220638"/>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056896"/>
        <c:crosses val="autoZero"/>
        <c:auto val="1"/>
        <c:lblOffset val="100"/>
        <c:baseTimeUnit val="months"/>
        <c:majorUnit val="1"/>
        <c:minorUnit val="1"/>
      </c:dateAx>
      <c:valAx>
        <c:axId val="105056896"/>
        <c:scaling>
          <c:orientation val="minMax"/>
          <c:min val="13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1.6494927094682907E-2"/>
              <c:y val="0.40824482080723423"/>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120000" vert="horz"/>
          <a:lstStyle/>
          <a:p>
            <a:pPr>
              <a:defRPr sz="1000" b="0" i="0" u="none" strike="noStrike" baseline="0">
                <a:solidFill>
                  <a:srgbClr val="000000"/>
                </a:solidFill>
                <a:latin typeface="Times New Roman"/>
                <a:ea typeface="Times New Roman"/>
                <a:cs typeface="Times New Roman"/>
              </a:defRPr>
            </a:pPr>
            <a:endParaRPr lang="en-MU"/>
          </a:p>
        </c:txPr>
        <c:crossAx val="105054592"/>
        <c:crosses val="autoZero"/>
        <c:crossBetween val="between"/>
        <c:majorUnit val="3"/>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8177973332302"/>
          <c:y val="0.20148423765332538"/>
          <c:w val="0.74842920521571465"/>
          <c:h val="0.54502412417165835"/>
        </c:manualLayout>
      </c:layout>
      <c:lineChart>
        <c:grouping val="standard"/>
        <c:varyColors val="0"/>
        <c:ser>
          <c:idx val="0"/>
          <c:order val="0"/>
          <c:tx>
            <c:strRef>
              <c:f>'Q12023'!$B$36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'Q12023'!$A$52:$A$63</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'Q12023'!$B$52:$B$63</c:f>
              <c:numCache>
                <c:formatCode>General</c:formatCode>
                <c:ptCount val="12"/>
                <c:pt idx="0">
                  <c:v>129.6</c:v>
                </c:pt>
                <c:pt idx="1">
                  <c:v>129.9</c:v>
                </c:pt>
                <c:pt idx="2">
                  <c:v>132.30000000000001</c:v>
                </c:pt>
                <c:pt idx="3">
                  <c:v>136.80000000000001</c:v>
                </c:pt>
                <c:pt idx="4">
                  <c:v>143.5</c:v>
                </c:pt>
                <c:pt idx="5">
                  <c:v>145.5</c:v>
                </c:pt>
                <c:pt idx="6">
                  <c:v>144.4</c:v>
                </c:pt>
                <c:pt idx="7">
                  <c:v>144</c:v>
                </c:pt>
                <c:pt idx="8">
                  <c:v>144</c:v>
                </c:pt>
                <c:pt idx="9">
                  <c:v>144.6</c:v>
                </c:pt>
                <c:pt idx="10">
                  <c:v>145.4</c:v>
                </c:pt>
                <c:pt idx="11">
                  <c:v>146.9</c:v>
                </c:pt>
              </c:numCache>
            </c:numRef>
          </c:val>
          <c:smooth val="0"/>
          <c:extLst>
            <c:ext xmlns:c16="http://schemas.microsoft.com/office/drawing/2014/chart" uri="{C3380CC4-5D6E-409C-BE32-E72D297353CC}">
              <c16:uniqueId val="{00000000-41E9-4F77-92D5-E0D4704C991B}"/>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671953219650836"/>
              <c:y val="0.91983749941008985"/>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ax val="150"/>
          <c:min val="127"/>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9350161017106888E-2"/>
              <c:y val="0.40449594368885733"/>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3"/>
        <c:minorUnit val="0.2"/>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50709335473462"/>
          <c:y val="0.18811180000086897"/>
          <c:w val="0.76436357309457525"/>
          <c:h val="0.54718410295954079"/>
        </c:manualLayout>
      </c:layout>
      <c:lineChart>
        <c:grouping val="standard"/>
        <c:varyColors val="0"/>
        <c:ser>
          <c:idx val="0"/>
          <c:order val="0"/>
          <c:tx>
            <c:strRef>
              <c:f>'Q12023'!$B$36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'Q12023'!$A$74:$A$85</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'Q12023'!$B$74:$B$85</c:f>
              <c:numCache>
                <c:formatCode>General</c:formatCode>
                <c:ptCount val="12"/>
                <c:pt idx="0">
                  <c:v>140.1</c:v>
                </c:pt>
                <c:pt idx="1">
                  <c:v>140.4</c:v>
                </c:pt>
                <c:pt idx="2">
                  <c:v>147.19999999999999</c:v>
                </c:pt>
                <c:pt idx="3">
                  <c:v>151.6</c:v>
                </c:pt>
                <c:pt idx="4" formatCode="0.0">
                  <c:v>157.6</c:v>
                </c:pt>
                <c:pt idx="5" formatCode="0.0">
                  <c:v>156.69999999999999</c:v>
                </c:pt>
                <c:pt idx="6">
                  <c:v>157.30000000000001</c:v>
                </c:pt>
                <c:pt idx="7">
                  <c:v>157.4</c:v>
                </c:pt>
                <c:pt idx="8">
                  <c:v>157.9</c:v>
                </c:pt>
                <c:pt idx="9">
                  <c:v>156.5</c:v>
                </c:pt>
                <c:pt idx="10">
                  <c:v>154.5</c:v>
                </c:pt>
                <c:pt idx="11">
                  <c:v>154.5</c:v>
                </c:pt>
              </c:numCache>
            </c:numRef>
          </c:val>
          <c:smooth val="0"/>
          <c:extLst>
            <c:ext xmlns:c16="http://schemas.microsoft.com/office/drawing/2014/chart" uri="{C3380CC4-5D6E-409C-BE32-E72D297353CC}">
              <c16:uniqueId val="{00000000-D2DC-4CB0-ABDE-E932B393534F}"/>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340053238026096"/>
              <c:y val="0.88487532808398961"/>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ax val="160"/>
          <c:min val="13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5"/>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80687994217352"/>
          <c:y val="0.1881119400875782"/>
          <c:w val="0.80900214061116582"/>
          <c:h val="0.54718410295954079"/>
        </c:manualLayout>
      </c:layout>
      <c:lineChart>
        <c:grouping val="standard"/>
        <c:varyColors val="0"/>
        <c:ser>
          <c:idx val="0"/>
          <c:order val="0"/>
          <c:tx>
            <c:strRef>
              <c:f>'Q12023'!$B$36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'Q12023'!$A$92:$A$103</c:f>
              <c:numCache>
                <c:formatCode>mmm\-yy</c:formatCode>
                <c:ptCount val="12"/>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numCache>
            </c:numRef>
          </c:cat>
          <c:val>
            <c:numRef>
              <c:f>'Q12023'!$B$92:$B$103</c:f>
              <c:numCache>
                <c:formatCode>General</c:formatCode>
                <c:ptCount val="12"/>
                <c:pt idx="0">
                  <c:v>128.6</c:v>
                </c:pt>
                <c:pt idx="1">
                  <c:v>128.6</c:v>
                </c:pt>
                <c:pt idx="2">
                  <c:v>129.4</c:v>
                </c:pt>
                <c:pt idx="3">
                  <c:v>146.9</c:v>
                </c:pt>
                <c:pt idx="4">
                  <c:v>148.30000000000001</c:v>
                </c:pt>
                <c:pt idx="5">
                  <c:v>148.30000000000001</c:v>
                </c:pt>
                <c:pt idx="6">
                  <c:v>153.69999999999999</c:v>
                </c:pt>
                <c:pt idx="7">
                  <c:v>153.69999999999999</c:v>
                </c:pt>
                <c:pt idx="8">
                  <c:v>153.69999999999999</c:v>
                </c:pt>
                <c:pt idx="9">
                  <c:v>153.69999999999999</c:v>
                </c:pt>
                <c:pt idx="10">
                  <c:v>156.69999999999999</c:v>
                </c:pt>
                <c:pt idx="11">
                  <c:v>151.19999999999999</c:v>
                </c:pt>
              </c:numCache>
            </c:numRef>
          </c:val>
          <c:smooth val="0"/>
          <c:extLst>
            <c:ext xmlns:c16="http://schemas.microsoft.com/office/drawing/2014/chart" uri="{C3380CC4-5D6E-409C-BE32-E72D297353CC}">
              <c16:uniqueId val="{00000000-39EB-453E-B7EC-AD6BC86B1C5F}"/>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52340053238026096"/>
              <c:y val="0.88487532808398961"/>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ax val="160"/>
          <c:min val="12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5"/>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5: Overall quarterly indices: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2</a:t>
            </a:r>
            <a:r>
              <a:rPr lang="en-US" sz="1000" b="1" i="0" u="none" strike="noStrike" baseline="30000">
                <a:solidFill>
                  <a:srgbClr val="000000"/>
                </a:solidFill>
                <a:latin typeface="Times" pitchFamily="18" charset="0"/>
                <a:cs typeface="Times New Roman" pitchFamily="18" charset="0"/>
              </a:rPr>
              <a:t>nd</a:t>
            </a:r>
            <a:r>
              <a:rPr lang="en-US" sz="1000" b="1" i="0" u="none" strike="noStrike" baseline="30000">
                <a:latin typeface="Times" pitchFamily="18" charset="0"/>
                <a:cs typeface="Times New Roman" pitchFamily="18" charset="0"/>
              </a:rPr>
              <a:t> </a:t>
            </a:r>
            <a:r>
              <a:rPr lang="en-US" sz="1000" b="1" i="0" strike="noStrike">
                <a:solidFill>
                  <a:srgbClr val="000000"/>
                </a:solidFill>
                <a:latin typeface="Times" pitchFamily="18" charset="0"/>
                <a:cs typeface="Times New Roman"/>
              </a:rPr>
              <a:t>Quarter 2021 to 1</a:t>
            </a:r>
            <a:r>
              <a:rPr lang="en-US" sz="1000" b="1" i="0" u="none" strike="noStrike" baseline="30000">
                <a:solidFill>
                  <a:srgbClr val="000000"/>
                </a:solidFill>
                <a:latin typeface="Times" pitchFamily="18" charset="0"/>
                <a:cs typeface="Times New Roman" pitchFamily="18" charset="0"/>
              </a:rPr>
              <a:t>s</a:t>
            </a:r>
            <a:r>
              <a:rPr lang="en-US" sz="1000" b="1" i="0" u="none" strike="noStrike" baseline="30000">
                <a:latin typeface="Times" pitchFamily="18" charset="0"/>
                <a:cs typeface="Times New Roman" pitchFamily="18" charset="0"/>
              </a:rPr>
              <a:t>t</a:t>
            </a:r>
            <a:r>
              <a:rPr lang="en-US" sz="1000" b="1" i="0" strike="noStrike" baseline="30000">
                <a:solidFill>
                  <a:srgbClr val="000000"/>
                </a:solidFill>
                <a:latin typeface="Times" pitchFamily="18" charset="0"/>
                <a:cs typeface="Times New Roman"/>
              </a:rPr>
              <a:t> </a:t>
            </a:r>
            <a:r>
              <a:rPr lang="en-US" sz="1000" b="1" i="0" strike="noStrike">
                <a:solidFill>
                  <a:srgbClr val="000000"/>
                </a:solidFill>
                <a:latin typeface="Times" pitchFamily="18" charset="0"/>
                <a:cs typeface="Times New Roman"/>
              </a:rPr>
              <a:t>Quarter 2023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Manufacturing Sector</a:t>
            </a:r>
          </a:p>
        </c:rich>
      </c:tx>
      <c:layout>
        <c:manualLayout>
          <c:xMode val="edge"/>
          <c:yMode val="edge"/>
          <c:x val="0.31460180916896208"/>
          <c:y val="2.1201138174100659E-2"/>
        </c:manualLayout>
      </c:layout>
      <c:overlay val="0"/>
      <c:spPr>
        <a:noFill/>
        <a:ln w="25400">
          <a:noFill/>
        </a:ln>
      </c:spPr>
    </c:title>
    <c:autoTitleDeleted val="0"/>
    <c:plotArea>
      <c:layout>
        <c:manualLayout>
          <c:layoutTarget val="inner"/>
          <c:xMode val="edge"/>
          <c:yMode val="edge"/>
          <c:x val="0.15912152324857426"/>
          <c:y val="0.22007333637189003"/>
          <c:w val="0.78212691792972522"/>
          <c:h val="0.47689767786660314"/>
        </c:manualLayout>
      </c:layout>
      <c:lineChart>
        <c:grouping val="standard"/>
        <c:varyColors val="0"/>
        <c:ser>
          <c:idx val="0"/>
          <c:order val="0"/>
          <c:tx>
            <c:strRef>
              <c:f>'Q12023'!$B$116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Pt>
            <c:idx val="6"/>
            <c:bubble3D val="0"/>
            <c:spPr>
              <a:ln w="12700">
                <a:solidFill>
                  <a:srgbClr val="000080">
                    <a:alpha val="96000"/>
                  </a:srgbClr>
                </a:solidFill>
                <a:prstDash val="solid"/>
              </a:ln>
            </c:spPr>
            <c:extLst>
              <c:ext xmlns:c16="http://schemas.microsoft.com/office/drawing/2014/chart" uri="{C3380CC4-5D6E-409C-BE32-E72D297353CC}">
                <c16:uniqueId val="{00000001-5E60-404E-A98C-6FB6A168F538}"/>
              </c:ext>
            </c:extLst>
          </c:dPt>
          <c:cat>
            <c:strRef>
              <c:f>'Q12023'!$A$122:$A$129</c:f>
              <c:strCache>
                <c:ptCount val="8"/>
                <c:pt idx="0">
                  <c:v>Q2 2021</c:v>
                </c:pt>
                <c:pt idx="1">
                  <c:v>Q3 2021</c:v>
                </c:pt>
                <c:pt idx="2">
                  <c:v>Q4 2021</c:v>
                </c:pt>
                <c:pt idx="3">
                  <c:v>Q1 2022</c:v>
                </c:pt>
                <c:pt idx="4">
                  <c:v>Q2 2022</c:v>
                </c:pt>
                <c:pt idx="5">
                  <c:v>Q3 2022</c:v>
                </c:pt>
                <c:pt idx="6">
                  <c:v>Q4 2022</c:v>
                </c:pt>
                <c:pt idx="7">
                  <c:v>Q1 2023</c:v>
                </c:pt>
              </c:strCache>
            </c:strRef>
          </c:cat>
          <c:val>
            <c:numRef>
              <c:f>'Q12023'!$B$122:$B$129</c:f>
              <c:numCache>
                <c:formatCode>General</c:formatCode>
                <c:ptCount val="8"/>
                <c:pt idx="0">
                  <c:v>116.9</c:v>
                </c:pt>
                <c:pt idx="1">
                  <c:v>122.5</c:v>
                </c:pt>
                <c:pt idx="2">
                  <c:v>126.7</c:v>
                </c:pt>
                <c:pt idx="3">
                  <c:v>133.30000000000001</c:v>
                </c:pt>
                <c:pt idx="4" formatCode="0.0">
                  <c:v>138</c:v>
                </c:pt>
                <c:pt idx="5" formatCode="0.0">
                  <c:v>146.69999999999999</c:v>
                </c:pt>
                <c:pt idx="6">
                  <c:v>147.80000000000001</c:v>
                </c:pt>
                <c:pt idx="7">
                  <c:v>149.4</c:v>
                </c:pt>
              </c:numCache>
            </c:numRef>
          </c:val>
          <c:smooth val="0"/>
          <c:extLst>
            <c:ext xmlns:c16="http://schemas.microsoft.com/office/drawing/2014/chart" uri="{C3380CC4-5D6E-409C-BE32-E72D297353CC}">
              <c16:uniqueId val="{00000002-5E60-404E-A98C-6FB6A168F538}"/>
            </c:ext>
          </c:extLst>
        </c:ser>
        <c:dLbls>
          <c:showLegendKey val="0"/>
          <c:showVal val="0"/>
          <c:showCatName val="0"/>
          <c:showSerName val="0"/>
          <c:showPercent val="0"/>
          <c:showBubbleSize val="0"/>
        </c:dLbls>
        <c:marker val="1"/>
        <c:smooth val="0"/>
        <c:axId val="105119744"/>
        <c:axId val="105154048"/>
      </c:lineChart>
      <c:catAx>
        <c:axId val="1051197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8421114052938302"/>
              <c:y val="0.84654462325598268"/>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54048"/>
        <c:crosses val="autoZero"/>
        <c:auto val="1"/>
        <c:lblAlgn val="ctr"/>
        <c:lblOffset val="100"/>
        <c:tickLblSkip val="1"/>
        <c:tickMarkSkip val="1"/>
        <c:noMultiLvlLbl val="0"/>
      </c:catAx>
      <c:valAx>
        <c:axId val="105154048"/>
        <c:scaling>
          <c:orientation val="minMax"/>
          <c:max val="155"/>
          <c:min val="1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7368358616189949E-2"/>
              <c:y val="0.45229771057378854"/>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19744"/>
        <c:crosses val="autoZero"/>
        <c:crossBetween val="between"/>
        <c:majorUnit val="6"/>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6: Quarterly indices:</a:t>
            </a:r>
          </a:p>
          <a:p>
            <a:pPr>
              <a:defRPr sz="1200" b="0" i="0" u="none" strike="noStrike" baseline="0">
                <a:solidFill>
                  <a:srgbClr val="000000"/>
                </a:solidFill>
                <a:latin typeface="Arial"/>
                <a:ea typeface="Arial"/>
                <a:cs typeface="Arial"/>
              </a:defRPr>
            </a:pPr>
            <a:r>
              <a:rPr lang="en-US" sz="1000" b="1" i="0">
                <a:solidFill>
                  <a:srgbClr val="000000"/>
                </a:solidFill>
                <a:effectLst/>
                <a:latin typeface="Times" panose="02020603050405020304" pitchFamily="18" charset="0"/>
                <a:cs typeface="Times New Roman" panose="02020603050405020304" pitchFamily="18" charset="0"/>
              </a:rPr>
              <a:t>2</a:t>
            </a:r>
            <a:r>
              <a:rPr lang="en-US" sz="1000" b="1" i="0"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1</a:t>
            </a:r>
            <a:r>
              <a:rPr lang="en-US" sz="1000" b="1" i="0" baseline="30000">
                <a:solidFill>
                  <a:srgbClr val="000000"/>
                </a:solidFill>
                <a:effectLst/>
                <a:latin typeface="Times" panose="02020603050405020304" pitchFamily="18" charset="0"/>
                <a:cs typeface="Times New Roman" panose="02020603050405020304" pitchFamily="18" charset="0"/>
              </a:rPr>
              <a:t>s</a:t>
            </a:r>
            <a:r>
              <a:rPr lang="en-US" sz="1000" b="1" i="0" baseline="30000">
                <a:effectLst/>
                <a:latin typeface="Times" panose="02020603050405020304" pitchFamily="18" charset="0"/>
                <a:cs typeface="Times New Roman" panose="02020603050405020304" pitchFamily="18" charset="0"/>
              </a:rPr>
              <a:t>t</a:t>
            </a:r>
            <a:r>
              <a:rPr lang="en-US" sz="1000" b="1" i="0" baseline="30000">
                <a:solidFill>
                  <a:srgbClr val="000000"/>
                </a:solidFill>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2023 </a:t>
            </a:r>
            <a:r>
              <a:rPr lang="en-US" sz="1000" b="1" i="0" strike="noStrike">
                <a:solidFill>
                  <a:srgbClr val="000000"/>
                </a:solidFill>
                <a:latin typeface="Times" pitchFamily="18" charset="0"/>
                <a:cs typeface="Times New Roman"/>
              </a:rPr>
              <a:t> </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Food Products and Beverages</a:t>
            </a: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'Q12023'!$B$136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'Q12023'!$A$142:$A$149</c:f>
              <c:strCache>
                <c:ptCount val="8"/>
                <c:pt idx="0">
                  <c:v>Q2 2021</c:v>
                </c:pt>
                <c:pt idx="1">
                  <c:v>Q3 2021</c:v>
                </c:pt>
                <c:pt idx="2">
                  <c:v>Q4 2021</c:v>
                </c:pt>
                <c:pt idx="3">
                  <c:v>Q1 2022</c:v>
                </c:pt>
                <c:pt idx="4">
                  <c:v>Q2 2022</c:v>
                </c:pt>
                <c:pt idx="5">
                  <c:v>Q3 2022</c:v>
                </c:pt>
                <c:pt idx="6">
                  <c:v>Q4 2022</c:v>
                </c:pt>
                <c:pt idx="7">
                  <c:v>Q1 2023</c:v>
                </c:pt>
              </c:strCache>
            </c:strRef>
          </c:cat>
          <c:val>
            <c:numRef>
              <c:f>'Q12023'!$B$142:$B$149</c:f>
              <c:numCache>
                <c:formatCode>General</c:formatCode>
                <c:ptCount val="8"/>
                <c:pt idx="0">
                  <c:v>112.6</c:v>
                </c:pt>
                <c:pt idx="1">
                  <c:v>116.8</c:v>
                </c:pt>
                <c:pt idx="2">
                  <c:v>121.5</c:v>
                </c:pt>
                <c:pt idx="3">
                  <c:v>126.1</c:v>
                </c:pt>
                <c:pt idx="4">
                  <c:v>130.6</c:v>
                </c:pt>
                <c:pt idx="5">
                  <c:v>141.9</c:v>
                </c:pt>
                <c:pt idx="6">
                  <c:v>144.1</c:v>
                </c:pt>
                <c:pt idx="7">
                  <c:v>145.6</c:v>
                </c:pt>
              </c:numCache>
            </c:numRef>
          </c:val>
          <c:smooth val="0"/>
          <c:extLst>
            <c:ext xmlns:c16="http://schemas.microsoft.com/office/drawing/2014/chart" uri="{C3380CC4-5D6E-409C-BE32-E72D297353CC}">
              <c16:uniqueId val="{00000000-303B-47A2-8633-04399F914C83}"/>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50"/>
          <c:min val="1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5"/>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7: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a:t>
            </a:r>
            <a:r>
              <a:rPr lang="en-US" sz="1000" b="1" i="0">
                <a:solidFill>
                  <a:srgbClr val="000000"/>
                </a:solidFill>
                <a:effectLst/>
                <a:latin typeface="Times" panose="02020603050405020304" pitchFamily="18" charset="0"/>
                <a:cs typeface="Times New Roman" panose="02020603050405020304" pitchFamily="18" charset="0"/>
              </a:rPr>
              <a:t>2</a:t>
            </a:r>
            <a:r>
              <a:rPr lang="en-US" sz="1000" b="1" i="0"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1</a:t>
            </a:r>
            <a:r>
              <a:rPr lang="en-US" sz="1000" b="1" i="0" baseline="30000">
                <a:solidFill>
                  <a:srgbClr val="000000"/>
                </a:solidFill>
                <a:effectLst/>
                <a:latin typeface="Times" panose="02020603050405020304" pitchFamily="18" charset="0"/>
                <a:cs typeface="Times New Roman" panose="02020603050405020304" pitchFamily="18" charset="0"/>
              </a:rPr>
              <a:t>s</a:t>
            </a:r>
            <a:r>
              <a:rPr lang="en-US" sz="1000" b="1" i="0" baseline="30000">
                <a:effectLst/>
                <a:latin typeface="Times" panose="02020603050405020304" pitchFamily="18" charset="0"/>
                <a:cs typeface="Times New Roman" panose="02020603050405020304" pitchFamily="18" charset="0"/>
              </a:rPr>
              <a:t>t</a:t>
            </a:r>
            <a:r>
              <a:rPr lang="en-US" sz="1000" b="1" i="0" baseline="30000">
                <a:solidFill>
                  <a:srgbClr val="000000"/>
                </a:solidFill>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2023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Chemical</a:t>
            </a:r>
            <a:r>
              <a:rPr lang="en-US" sz="1000" b="1" i="0" strike="noStrike" baseline="0">
                <a:solidFill>
                  <a:srgbClr val="000000"/>
                </a:solidFill>
                <a:latin typeface="Times" pitchFamily="18" charset="0"/>
                <a:cs typeface="Times New Roman"/>
              </a:rPr>
              <a:t> and Chemical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'Q12023'!$B$136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'Q12023'!$A$160:$A$167</c:f>
              <c:strCache>
                <c:ptCount val="8"/>
                <c:pt idx="0">
                  <c:v>Q2 2021</c:v>
                </c:pt>
                <c:pt idx="1">
                  <c:v>Q3 2021</c:v>
                </c:pt>
                <c:pt idx="2">
                  <c:v>Q4 2021</c:v>
                </c:pt>
                <c:pt idx="3">
                  <c:v>Q1 2022</c:v>
                </c:pt>
                <c:pt idx="4">
                  <c:v>Q2 2022</c:v>
                </c:pt>
                <c:pt idx="5">
                  <c:v>Q3 2022</c:v>
                </c:pt>
                <c:pt idx="6">
                  <c:v>Q4 2022</c:v>
                </c:pt>
                <c:pt idx="7">
                  <c:v>Q1 2023</c:v>
                </c:pt>
              </c:strCache>
            </c:strRef>
          </c:cat>
          <c:val>
            <c:numRef>
              <c:f>'Q12023'!$B$160:$B$167</c:f>
              <c:numCache>
                <c:formatCode>General</c:formatCode>
                <c:ptCount val="8"/>
                <c:pt idx="0">
                  <c:v>108.5</c:v>
                </c:pt>
                <c:pt idx="1">
                  <c:v>117.8</c:v>
                </c:pt>
                <c:pt idx="2">
                  <c:v>124.3</c:v>
                </c:pt>
                <c:pt idx="3">
                  <c:v>131.80000000000001</c:v>
                </c:pt>
                <c:pt idx="4">
                  <c:v>142.6</c:v>
                </c:pt>
                <c:pt idx="5">
                  <c:v>155.30000000000001</c:v>
                </c:pt>
                <c:pt idx="6">
                  <c:v>157.5</c:v>
                </c:pt>
                <c:pt idx="7">
                  <c:v>155.19999999999999</c:v>
                </c:pt>
              </c:numCache>
            </c:numRef>
          </c:val>
          <c:smooth val="0"/>
          <c:extLst>
            <c:ext xmlns:c16="http://schemas.microsoft.com/office/drawing/2014/chart" uri="{C3380CC4-5D6E-409C-BE32-E72D297353CC}">
              <c16:uniqueId val="{00000000-2008-4641-9C42-D265F9DEF728}"/>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0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8: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a:t>
            </a:r>
            <a:r>
              <a:rPr lang="en-US" sz="1000" b="1" i="0">
                <a:solidFill>
                  <a:srgbClr val="000000"/>
                </a:solidFill>
                <a:effectLst/>
                <a:latin typeface="Times" panose="02020603050405020304" pitchFamily="18" charset="0"/>
                <a:cs typeface="Times New Roman" panose="02020603050405020304" pitchFamily="18" charset="0"/>
              </a:rPr>
              <a:t>2</a:t>
            </a:r>
            <a:r>
              <a:rPr lang="en-US" sz="1000" b="1" i="0" baseline="30000">
                <a:solidFill>
                  <a:srgbClr val="000000"/>
                </a:solidFill>
                <a:effectLst/>
                <a:latin typeface="Times" panose="02020603050405020304" pitchFamily="18" charset="0"/>
                <a:cs typeface="Times New Roman" panose="02020603050405020304" pitchFamily="18" charset="0"/>
              </a:rPr>
              <a:t>nd</a:t>
            </a:r>
            <a:r>
              <a:rPr lang="en-US" sz="1000" b="1" i="0" baseline="30000">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2021 to 1</a:t>
            </a:r>
            <a:r>
              <a:rPr lang="en-US" sz="1000" b="1" i="0" baseline="30000">
                <a:solidFill>
                  <a:srgbClr val="000000"/>
                </a:solidFill>
                <a:effectLst/>
                <a:latin typeface="Times" panose="02020603050405020304" pitchFamily="18" charset="0"/>
                <a:cs typeface="Times New Roman" panose="02020603050405020304" pitchFamily="18" charset="0"/>
              </a:rPr>
              <a:t>s</a:t>
            </a:r>
            <a:r>
              <a:rPr lang="en-US" sz="1000" b="1" i="0" baseline="30000">
                <a:effectLst/>
                <a:latin typeface="Times" panose="02020603050405020304" pitchFamily="18" charset="0"/>
                <a:cs typeface="Times New Roman" panose="02020603050405020304" pitchFamily="18" charset="0"/>
              </a:rPr>
              <a:t>t</a:t>
            </a:r>
            <a:r>
              <a:rPr lang="en-US" sz="1000" b="1" i="0" baseline="30000">
                <a:solidFill>
                  <a:srgbClr val="000000"/>
                </a:solidFill>
                <a:effectLst/>
                <a:latin typeface="Times" panose="02020603050405020304" pitchFamily="18" charset="0"/>
                <a:cs typeface="Times New Roman" panose="02020603050405020304" pitchFamily="18" charset="0"/>
              </a:rPr>
              <a:t> </a:t>
            </a:r>
            <a:r>
              <a:rPr lang="en-US" sz="1000" b="1" i="0">
                <a:solidFill>
                  <a:srgbClr val="000000"/>
                </a:solidFill>
                <a:effectLst/>
                <a:latin typeface="Times" panose="02020603050405020304" pitchFamily="18" charset="0"/>
                <a:cs typeface="Times New Roman" panose="02020603050405020304" pitchFamily="18" charset="0"/>
              </a:rPr>
              <a:t>Quarter 2023 </a:t>
            </a:r>
            <a:endParaRPr lang="en-US" sz="1000" b="1" i="0" strike="noStrike">
              <a:solidFill>
                <a:srgbClr val="000000"/>
              </a:solidFill>
              <a:latin typeface="Times" pitchFamily="18" charset="0"/>
              <a:cs typeface="Times New Roman"/>
            </a:endParaRP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Rubber</a:t>
            </a:r>
            <a:r>
              <a:rPr lang="en-US" sz="1000" b="1" i="0" strike="noStrike" baseline="0">
                <a:solidFill>
                  <a:srgbClr val="000000"/>
                </a:solidFill>
                <a:latin typeface="Times" pitchFamily="18" charset="0"/>
                <a:cs typeface="Times New Roman"/>
              </a:rPr>
              <a:t> and plastic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'Q12023'!$B$136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'Q12023'!$A$174:$A$181</c:f>
              <c:strCache>
                <c:ptCount val="8"/>
                <c:pt idx="0">
                  <c:v>Q2 2021</c:v>
                </c:pt>
                <c:pt idx="1">
                  <c:v>Q3 2021</c:v>
                </c:pt>
                <c:pt idx="2">
                  <c:v>Q4 2021</c:v>
                </c:pt>
                <c:pt idx="3">
                  <c:v>Q1 2022</c:v>
                </c:pt>
                <c:pt idx="4">
                  <c:v>Q2 2022</c:v>
                </c:pt>
                <c:pt idx="5">
                  <c:v>Q3 2022</c:v>
                </c:pt>
                <c:pt idx="6">
                  <c:v>Q4 2022</c:v>
                </c:pt>
                <c:pt idx="7">
                  <c:v>Q1 2023</c:v>
                </c:pt>
              </c:strCache>
            </c:strRef>
          </c:cat>
          <c:val>
            <c:numRef>
              <c:f>'Q12023'!$B$174:$B$181</c:f>
              <c:numCache>
                <c:formatCode>General</c:formatCode>
                <c:ptCount val="8"/>
                <c:pt idx="0">
                  <c:v>113</c:v>
                </c:pt>
                <c:pt idx="1">
                  <c:v>117.2</c:v>
                </c:pt>
                <c:pt idx="2">
                  <c:v>118.9</c:v>
                </c:pt>
                <c:pt idx="3">
                  <c:v>122.3</c:v>
                </c:pt>
                <c:pt idx="4">
                  <c:v>128.9</c:v>
                </c:pt>
                <c:pt idx="5">
                  <c:v>147.80000000000001</c:v>
                </c:pt>
                <c:pt idx="6">
                  <c:v>153.69999999999999</c:v>
                </c:pt>
                <c:pt idx="7">
                  <c:v>153.9</c:v>
                </c:pt>
              </c:numCache>
            </c:numRef>
          </c:val>
          <c:smooth val="0"/>
          <c:extLst>
            <c:ext xmlns:c16="http://schemas.microsoft.com/office/drawing/2014/chart" uri="{C3380CC4-5D6E-409C-BE32-E72D297353CC}">
              <c16:uniqueId val="{00000000-A9C1-4C2D-9413-7F8E50F582E1}"/>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0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Fig 9: Yearly indices: 2019</a:t>
            </a:r>
            <a:r>
              <a:rPr lang="en-US" baseline="0"/>
              <a:t> </a:t>
            </a:r>
            <a:r>
              <a:rPr lang="en-US"/>
              <a:t>- </a:t>
            </a:r>
            <a:r>
              <a:rPr lang="en-US">
                <a:latin typeface="Times" pitchFamily="18" charset="0"/>
              </a:rPr>
              <a:t>2022</a:t>
            </a:r>
          </a:p>
        </c:rich>
      </c:tx>
      <c:layout>
        <c:manualLayout>
          <c:xMode val="edge"/>
          <c:yMode val="edge"/>
          <c:x val="0.34068182377765627"/>
          <c:y val="4.566526722883886E-2"/>
        </c:manualLayout>
      </c:layout>
      <c:overlay val="0"/>
      <c:spPr>
        <a:noFill/>
        <a:ln w="25400">
          <a:noFill/>
        </a:ln>
      </c:spPr>
    </c:title>
    <c:autoTitleDeleted val="0"/>
    <c:plotArea>
      <c:layout>
        <c:manualLayout>
          <c:layoutTarget val="inner"/>
          <c:xMode val="edge"/>
          <c:yMode val="edge"/>
          <c:x val="0.13337710615279014"/>
          <c:y val="0.13444185613710205"/>
          <c:w val="0.80391024194324823"/>
          <c:h val="0.55637746981200842"/>
        </c:manualLayout>
      </c:layout>
      <c:lineChart>
        <c:grouping val="standard"/>
        <c:varyColors val="0"/>
        <c:ser>
          <c:idx val="0"/>
          <c:order val="0"/>
          <c:tx>
            <c:strRef>
              <c:f>'Q42022'!$B$181</c:f>
              <c:strCache>
                <c:ptCount val="1"/>
                <c:pt idx="0">
                  <c:v>Overall PPI-M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'Q42022'!$A$191:$A$194</c:f>
              <c:numCache>
                <c:formatCode>General</c:formatCode>
                <c:ptCount val="4"/>
                <c:pt idx="0">
                  <c:v>2019</c:v>
                </c:pt>
                <c:pt idx="1">
                  <c:v>2020</c:v>
                </c:pt>
                <c:pt idx="2">
                  <c:v>2021</c:v>
                </c:pt>
                <c:pt idx="3">
                  <c:v>2022</c:v>
                </c:pt>
              </c:numCache>
            </c:numRef>
          </c:cat>
          <c:val>
            <c:numRef>
              <c:f>'Q42022'!$B$191:$B$194</c:f>
              <c:numCache>
                <c:formatCode>0.0</c:formatCode>
                <c:ptCount val="4"/>
                <c:pt idx="0">
                  <c:v>101.77499999999999</c:v>
                </c:pt>
                <c:pt idx="1">
                  <c:v>107.55000000000001</c:v>
                </c:pt>
                <c:pt idx="2">
                  <c:v>119.8</c:v>
                </c:pt>
                <c:pt idx="3">
                  <c:v>141.5</c:v>
                </c:pt>
              </c:numCache>
            </c:numRef>
          </c:val>
          <c:smooth val="0"/>
          <c:extLst>
            <c:ext xmlns:c16="http://schemas.microsoft.com/office/drawing/2014/chart" uri="{C3380CC4-5D6E-409C-BE32-E72D297353CC}">
              <c16:uniqueId val="{00000000-2BF8-40B8-B092-C768E1C5C7D9}"/>
            </c:ext>
          </c:extLst>
        </c:ser>
        <c:ser>
          <c:idx val="1"/>
          <c:order val="1"/>
          <c:tx>
            <c:strRef>
              <c:f>'Q42022'!$C$181</c:f>
              <c:strCache>
                <c:ptCount val="1"/>
                <c:pt idx="0">
                  <c:v>PPI-M (Food Products &amp; Beverages)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'Q42022'!$A$191:$A$194</c:f>
              <c:numCache>
                <c:formatCode>General</c:formatCode>
                <c:ptCount val="4"/>
                <c:pt idx="0">
                  <c:v>2019</c:v>
                </c:pt>
                <c:pt idx="1">
                  <c:v>2020</c:v>
                </c:pt>
                <c:pt idx="2">
                  <c:v>2021</c:v>
                </c:pt>
                <c:pt idx="3">
                  <c:v>2022</c:v>
                </c:pt>
              </c:numCache>
            </c:numRef>
          </c:cat>
          <c:val>
            <c:numRef>
              <c:f>'Q42022'!$C$191:$C$194</c:f>
              <c:numCache>
                <c:formatCode>0.0</c:formatCode>
                <c:ptCount val="4"/>
                <c:pt idx="0">
                  <c:v>102</c:v>
                </c:pt>
                <c:pt idx="1">
                  <c:v>106.3</c:v>
                </c:pt>
                <c:pt idx="2">
                  <c:v>115.4</c:v>
                </c:pt>
                <c:pt idx="3">
                  <c:v>135.69999999999999</c:v>
                </c:pt>
              </c:numCache>
            </c:numRef>
          </c:val>
          <c:smooth val="0"/>
          <c:extLst>
            <c:ext xmlns:c16="http://schemas.microsoft.com/office/drawing/2014/chart" uri="{C3380CC4-5D6E-409C-BE32-E72D297353CC}">
              <c16:uniqueId val="{00000001-2BF8-40B8-B092-C768E1C5C7D9}"/>
            </c:ext>
          </c:extLst>
        </c:ser>
        <c:ser>
          <c:idx val="2"/>
          <c:order val="2"/>
          <c:tx>
            <c:strRef>
              <c:f>'Q42022'!$D$181</c:f>
              <c:strCache>
                <c:ptCount val="1"/>
                <c:pt idx="0">
                  <c:v>PPI-M(Chemicals and chemical products)</c:v>
                </c:pt>
              </c:strCache>
            </c:strRef>
          </c:tx>
          <c:cat>
            <c:numRef>
              <c:f>'Q42022'!$A$191:$A$194</c:f>
              <c:numCache>
                <c:formatCode>General</c:formatCode>
                <c:ptCount val="4"/>
                <c:pt idx="0">
                  <c:v>2019</c:v>
                </c:pt>
                <c:pt idx="1">
                  <c:v>2020</c:v>
                </c:pt>
                <c:pt idx="2">
                  <c:v>2021</c:v>
                </c:pt>
                <c:pt idx="3">
                  <c:v>2022</c:v>
                </c:pt>
              </c:numCache>
            </c:numRef>
          </c:cat>
          <c:val>
            <c:numRef>
              <c:f>'Q42022'!$D$191:$D$194</c:f>
              <c:numCache>
                <c:formatCode>General</c:formatCode>
                <c:ptCount val="4"/>
                <c:pt idx="0">
                  <c:v>100.8</c:v>
                </c:pt>
                <c:pt idx="1">
                  <c:v>102</c:v>
                </c:pt>
                <c:pt idx="2">
                  <c:v>113.8</c:v>
                </c:pt>
                <c:pt idx="3">
                  <c:v>146.80000000000001</c:v>
                </c:pt>
              </c:numCache>
            </c:numRef>
          </c:val>
          <c:smooth val="0"/>
          <c:extLst>
            <c:ext xmlns:c16="http://schemas.microsoft.com/office/drawing/2014/chart" uri="{C3380CC4-5D6E-409C-BE32-E72D297353CC}">
              <c16:uniqueId val="{00000002-2BF8-40B8-B092-C768E1C5C7D9}"/>
            </c:ext>
          </c:extLst>
        </c:ser>
        <c:ser>
          <c:idx val="3"/>
          <c:order val="3"/>
          <c:tx>
            <c:strRef>
              <c:f>'Q42022'!$E$181</c:f>
              <c:strCache>
                <c:ptCount val="1"/>
                <c:pt idx="0">
                  <c:v>Rubber and Plastic products</c:v>
                </c:pt>
              </c:strCache>
            </c:strRef>
          </c:tx>
          <c:cat>
            <c:numRef>
              <c:f>'Q42022'!$A$191:$A$194</c:f>
              <c:numCache>
                <c:formatCode>General</c:formatCode>
                <c:ptCount val="4"/>
                <c:pt idx="0">
                  <c:v>2019</c:v>
                </c:pt>
                <c:pt idx="1">
                  <c:v>2020</c:v>
                </c:pt>
                <c:pt idx="2">
                  <c:v>2021</c:v>
                </c:pt>
                <c:pt idx="3">
                  <c:v>2022</c:v>
                </c:pt>
              </c:numCache>
            </c:numRef>
          </c:cat>
          <c:val>
            <c:numRef>
              <c:f>'Q42022'!$E$191:$E$194</c:f>
              <c:numCache>
                <c:formatCode>General</c:formatCode>
                <c:ptCount val="4"/>
                <c:pt idx="0">
                  <c:v>100.4</c:v>
                </c:pt>
                <c:pt idx="1">
                  <c:v>101.3</c:v>
                </c:pt>
                <c:pt idx="2">
                  <c:v>113.8</c:v>
                </c:pt>
                <c:pt idx="3">
                  <c:v>138.19999999999999</c:v>
                </c:pt>
              </c:numCache>
            </c:numRef>
          </c:val>
          <c:smooth val="0"/>
          <c:extLst>
            <c:ext xmlns:c16="http://schemas.microsoft.com/office/drawing/2014/chart" uri="{C3380CC4-5D6E-409C-BE32-E72D297353CC}">
              <c16:uniqueId val="{00000003-2BF8-40B8-B092-C768E1C5C7D9}"/>
            </c:ext>
          </c:extLst>
        </c:ser>
        <c:dLbls>
          <c:showLegendKey val="0"/>
          <c:showVal val="0"/>
          <c:showCatName val="0"/>
          <c:showSerName val="0"/>
          <c:showPercent val="0"/>
          <c:showBubbleSize val="0"/>
        </c:dLbls>
        <c:marker val="1"/>
        <c:smooth val="0"/>
        <c:axId val="105208832"/>
        <c:axId val="105227776"/>
      </c:lineChart>
      <c:catAx>
        <c:axId val="10520883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52421100949825217"/>
              <c:y val="0.7832817918485575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27776"/>
        <c:crosses val="autoZero"/>
        <c:auto val="1"/>
        <c:lblAlgn val="ctr"/>
        <c:lblOffset val="100"/>
        <c:tickLblSkip val="1"/>
        <c:tickMarkSkip val="1"/>
        <c:noMultiLvlLbl val="0"/>
      </c:catAx>
      <c:valAx>
        <c:axId val="105227776"/>
        <c:scaling>
          <c:orientation val="minMax"/>
          <c:max val="150"/>
          <c:min val="9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3684309640667119E-2"/>
              <c:y val="0.3560371533869147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08832"/>
        <c:crosses val="autoZero"/>
        <c:crossBetween val="between"/>
        <c:majorUnit val="5"/>
      </c:valAx>
      <c:spPr>
        <a:noFill/>
        <a:ln w="25400">
          <a:noFill/>
        </a:ln>
      </c:spPr>
    </c:plotArea>
    <c:legend>
      <c:legendPos val="b"/>
      <c:layout>
        <c:manualLayout>
          <c:xMode val="edge"/>
          <c:yMode val="edge"/>
          <c:x val="0.11087744076833446"/>
          <c:y val="0.85655311220812502"/>
          <c:w val="0.80603654773898081"/>
          <c:h val="0.10007111818948741"/>
        </c:manualLayout>
      </c:layout>
      <c:overlay val="0"/>
      <c:spPr>
        <a:solidFill>
          <a:srgbClr val="FFFFFF"/>
        </a:solidFill>
        <a:ln w="3175">
          <a:noFill/>
          <a:prstDash val="solid"/>
        </a:ln>
      </c:spPr>
      <c:txPr>
        <a:bodyPr/>
        <a:lstStyle/>
        <a:p>
          <a:pPr>
            <a:defRPr sz="775" b="0" i="0" u="none" strike="noStrike" baseline="0">
              <a:solidFill>
                <a:srgbClr val="000000"/>
              </a:solidFill>
              <a:latin typeface="Times New Roman"/>
              <a:ea typeface="Times New Roman"/>
              <a:cs typeface="Times New Roman"/>
            </a:defRPr>
          </a:pPr>
          <a:endParaRPr lang="en-M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2: Monthly indices: April 2022 - March</a:t>
          </a:r>
          <a:r>
            <a:rPr lang="en-US" sz="1000" b="1" baseline="0">
              <a:latin typeface="Times" pitchFamily="18" charset="0"/>
              <a:cs typeface="Times New Roman" pitchFamily="18" charset="0"/>
            </a:rPr>
            <a:t> </a:t>
          </a:r>
          <a:r>
            <a:rPr lang="en-US" sz="1000" b="1">
              <a:latin typeface="Times" pitchFamily="18" charset="0"/>
              <a:cs typeface="Times New Roman" pitchFamily="18" charset="0"/>
            </a:rPr>
            <a:t>2023</a:t>
          </a:r>
        </a:p>
        <a:p xmlns:a="http://schemas.openxmlformats.org/drawingml/2006/main">
          <a:pPr algn="ctr"/>
          <a:r>
            <a:rPr lang="en-US" sz="1000" b="1">
              <a:latin typeface="Times" pitchFamily="18" charset="0"/>
              <a:cs typeface="Times New Roman" pitchFamily="18" charset="0"/>
            </a:rPr>
            <a:t> Food Products and Beverages</a:t>
          </a:r>
        </a:p>
      </cdr:txBody>
    </cdr:sp>
  </cdr:relSizeAnchor>
</c:userShapes>
</file>

<file path=word/drawings/drawing2.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3: Monthly indices: April 2022 - March 2023</a:t>
          </a:r>
        </a:p>
        <a:p xmlns:a="http://schemas.openxmlformats.org/drawingml/2006/main">
          <a:pPr algn="ctr"/>
          <a:r>
            <a:rPr lang="en-US" sz="1000" b="1">
              <a:latin typeface="Times" pitchFamily="18" charset="0"/>
              <a:cs typeface="Times New Roman" pitchFamily="18" charset="0"/>
            </a:rPr>
            <a:t> Chemical and Chemical products</a:t>
          </a:r>
        </a:p>
      </cdr:txBody>
    </cdr:sp>
  </cdr:relSizeAnchor>
</c:userShapes>
</file>

<file path=word/drawings/drawing3.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4: Monthly indices: April 2022 - March 2023</a:t>
          </a:r>
        </a:p>
        <a:p xmlns:a="http://schemas.openxmlformats.org/drawingml/2006/main">
          <a:pPr algn="ctr"/>
          <a:r>
            <a:rPr lang="en-US" sz="1000" b="1">
              <a:latin typeface="Times" pitchFamily="18" charset="0"/>
              <a:cs typeface="Times New Roman" pitchFamily="18" charset="0"/>
            </a:rPr>
            <a:t> Rubber and plastic products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FD0A-A6F3-4417-B34F-F50F082D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00FBF-48A2-4AC6-9E8A-0B51B730C4B2}">
  <ds:schemaRefs>
    <ds:schemaRef ds:uri="http://schemas.microsoft.com/sharepoint/v3/contenttype/forms"/>
  </ds:schemaRefs>
</ds:datastoreItem>
</file>

<file path=customXml/itemProps3.xml><?xml version="1.0" encoding="utf-8"?>
<ds:datastoreItem xmlns:ds="http://schemas.openxmlformats.org/officeDocument/2006/customXml" ds:itemID="{13EEA083-75D2-4BA0-BE36-F343F39A23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0F2778-F466-454C-8762-7CE22F37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PRODUCER PRICE INDEX - MANUFACTURING (PPI-M)</vt:lpstr>
    </vt:vector>
  </TitlesOfParts>
  <Company>Hewlett-Packard Company</Company>
  <LinksUpToDate>false</LinksUpToDate>
  <CharactersWithSpaces>16185</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6619218</vt:i4>
      </vt:variant>
      <vt:variant>
        <vt:i4>0</vt:i4>
      </vt:variant>
      <vt:variant>
        <vt:i4>0</vt:i4>
      </vt:variant>
      <vt:variant>
        <vt:i4>5</vt:i4>
      </vt:variant>
      <vt:variant>
        <vt:lpwstr>mailto:asoobhug@govmu.org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MANUFACTURING (PPI-M)</dc:title>
  <dc:subject/>
  <dc:creator>CENTRAL INFORMATICS BUREAU</dc:creator>
  <cp:keywords/>
  <cp:lastModifiedBy>Jameel Sowdagur</cp:lastModifiedBy>
  <cp:revision>23</cp:revision>
  <cp:lastPrinted>2023-05-12T06:24:00Z</cp:lastPrinted>
  <dcterms:created xsi:type="dcterms:W3CDTF">2023-05-09T07:16:00Z</dcterms:created>
  <dcterms:modified xsi:type="dcterms:W3CDTF">2023-06-14T11:21:00Z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y fmtid="{D5CDD505-2E9C-101B-9397-08002B2CF9AE}" pid="3" name="GrammarlyDocumentId">
    <vt:lpwstr>6c5eb1559334fceb5e0af0615bf12c2b329b034513109acdc0d06d68cd1c03ab</vt:lpwstr>
  </property>
</Properties>
</file>