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166F" w14:textId="77777777" w:rsidR="001E0A4D" w:rsidRDefault="001E0A4D" w:rsidP="001E0A4D">
      <w:pPr>
        <w:jc w:val="center"/>
        <w:rPr>
          <w:rFonts w:ascii="Times New Roman" w:hAnsi="Times New Roman"/>
          <w:b/>
          <w:sz w:val="24"/>
          <w:szCs w:val="24"/>
        </w:rPr>
      </w:pPr>
      <w:r w:rsidRPr="001F4F13">
        <w:rPr>
          <w:rFonts w:ascii="Times New Roman" w:hAnsi="Times New Roman"/>
          <w:b/>
          <w:sz w:val="24"/>
          <w:szCs w:val="24"/>
        </w:rPr>
        <w:t>The Tourism Satellite Account (TSA)</w:t>
      </w:r>
    </w:p>
    <w:p w14:paraId="430B9E5B" w14:textId="77777777" w:rsidR="008A15B5" w:rsidRPr="001F4F13" w:rsidRDefault="008A15B5" w:rsidP="001E0A4D">
      <w:pPr>
        <w:jc w:val="center"/>
        <w:rPr>
          <w:rFonts w:ascii="Times New Roman" w:hAnsi="Times New Roman"/>
          <w:b/>
          <w:sz w:val="24"/>
          <w:szCs w:val="24"/>
        </w:rPr>
      </w:pPr>
      <w:r>
        <w:rPr>
          <w:rFonts w:ascii="Times New Roman" w:hAnsi="Times New Roman"/>
          <w:b/>
          <w:sz w:val="24"/>
          <w:szCs w:val="24"/>
        </w:rPr>
        <w:t>Year 2018</w:t>
      </w:r>
    </w:p>
    <w:p w14:paraId="2FC6D077" w14:textId="77777777" w:rsidR="001E0A4D" w:rsidRPr="001F4F13" w:rsidRDefault="001E0A4D" w:rsidP="001E0A4D">
      <w:pPr>
        <w:jc w:val="both"/>
        <w:rPr>
          <w:rFonts w:ascii="Times New Roman" w:hAnsi="Times New Roman"/>
          <w:b/>
          <w:sz w:val="24"/>
          <w:szCs w:val="24"/>
        </w:rPr>
      </w:pPr>
      <w:r w:rsidRPr="001F4F13">
        <w:rPr>
          <w:rFonts w:ascii="Times New Roman" w:hAnsi="Times New Roman"/>
          <w:b/>
          <w:sz w:val="24"/>
          <w:szCs w:val="24"/>
        </w:rPr>
        <w:t xml:space="preserve"> Introduction</w:t>
      </w:r>
    </w:p>
    <w:p w14:paraId="7938430A" w14:textId="4692FFA7" w:rsidR="001E0A4D" w:rsidRPr="00535EB9" w:rsidRDefault="00C53C1B" w:rsidP="001E0A4D">
      <w:pPr>
        <w:pStyle w:val="ListParagraph"/>
        <w:numPr>
          <w:ilvl w:val="0"/>
          <w:numId w:val="5"/>
        </w:numPr>
        <w:jc w:val="both"/>
        <w:rPr>
          <w:rFonts w:ascii="Times New Roman" w:hAnsi="Times New Roman"/>
          <w:sz w:val="24"/>
          <w:szCs w:val="24"/>
        </w:rPr>
      </w:pPr>
      <w:r w:rsidRPr="00535EB9">
        <w:rPr>
          <w:rFonts w:ascii="Times New Roman" w:hAnsi="Times New Roman"/>
          <w:sz w:val="24"/>
          <w:szCs w:val="24"/>
        </w:rPr>
        <w:t>A</w:t>
      </w:r>
      <w:r w:rsidR="001E0A4D" w:rsidRPr="00535EB9">
        <w:rPr>
          <w:rFonts w:ascii="Times New Roman" w:hAnsi="Times New Roman"/>
          <w:sz w:val="24"/>
          <w:szCs w:val="24"/>
        </w:rPr>
        <w:t xml:space="preserve"> Tourism Satellite Account (TSA) integrates data about the supply and use of tourism-related goods and services into a single format. It measures expenditure by both resident and non-resident tourists and gives a picture of the overall size of the tourism industry, including its contribution to </w:t>
      </w:r>
      <w:r w:rsidR="00536C4D" w:rsidRPr="00535EB9">
        <w:rPr>
          <w:rFonts w:ascii="Times New Roman" w:hAnsi="Times New Roman"/>
          <w:sz w:val="24"/>
          <w:szCs w:val="24"/>
        </w:rPr>
        <w:t>G</w:t>
      </w:r>
      <w:r w:rsidR="001E0A4D" w:rsidRPr="00535EB9">
        <w:rPr>
          <w:rFonts w:ascii="Times New Roman" w:hAnsi="Times New Roman"/>
          <w:sz w:val="24"/>
          <w:szCs w:val="24"/>
        </w:rPr>
        <w:t xml:space="preserve">ross </w:t>
      </w:r>
      <w:r w:rsidR="00536C4D" w:rsidRPr="00535EB9">
        <w:rPr>
          <w:rFonts w:ascii="Times New Roman" w:hAnsi="Times New Roman"/>
          <w:sz w:val="24"/>
          <w:szCs w:val="24"/>
        </w:rPr>
        <w:t>D</w:t>
      </w:r>
      <w:r w:rsidR="001E0A4D" w:rsidRPr="00535EB9">
        <w:rPr>
          <w:rFonts w:ascii="Times New Roman" w:hAnsi="Times New Roman"/>
          <w:sz w:val="24"/>
          <w:szCs w:val="24"/>
        </w:rPr>
        <w:t xml:space="preserve">omestic </w:t>
      </w:r>
      <w:r w:rsidR="00536C4D" w:rsidRPr="00535EB9">
        <w:rPr>
          <w:rFonts w:ascii="Times New Roman" w:hAnsi="Times New Roman"/>
          <w:sz w:val="24"/>
          <w:szCs w:val="24"/>
        </w:rPr>
        <w:t>P</w:t>
      </w:r>
      <w:r w:rsidR="001E0A4D" w:rsidRPr="00535EB9">
        <w:rPr>
          <w:rFonts w:ascii="Times New Roman" w:hAnsi="Times New Roman"/>
          <w:sz w:val="24"/>
          <w:szCs w:val="24"/>
        </w:rPr>
        <w:t>roduct (GDP) and employment.</w:t>
      </w:r>
    </w:p>
    <w:p w14:paraId="7E70C05A" w14:textId="77777777" w:rsidR="001E0A4D" w:rsidRPr="00535EB9" w:rsidRDefault="001E0A4D" w:rsidP="001E0A4D">
      <w:pPr>
        <w:pStyle w:val="ListParagraph"/>
        <w:rPr>
          <w:rFonts w:ascii="Times New Roman" w:hAnsi="Times New Roman"/>
          <w:sz w:val="24"/>
          <w:szCs w:val="24"/>
        </w:rPr>
      </w:pPr>
    </w:p>
    <w:p w14:paraId="46904849" w14:textId="37129018" w:rsidR="001E0A4D" w:rsidRPr="00535EB9" w:rsidRDefault="00701982" w:rsidP="001E0A4D">
      <w:pPr>
        <w:pStyle w:val="ListParagraph"/>
        <w:numPr>
          <w:ilvl w:val="0"/>
          <w:numId w:val="5"/>
        </w:numPr>
        <w:jc w:val="both"/>
        <w:rPr>
          <w:rFonts w:ascii="Times New Roman" w:hAnsi="Times New Roman"/>
          <w:sz w:val="24"/>
          <w:szCs w:val="24"/>
        </w:rPr>
      </w:pPr>
      <w:r>
        <w:rPr>
          <w:rFonts w:ascii="Times New Roman" w:hAnsi="Times New Roman"/>
          <w:sz w:val="24"/>
          <w:szCs w:val="24"/>
        </w:rPr>
        <w:t xml:space="preserve">The </w:t>
      </w:r>
      <w:r w:rsidR="001E0A4D" w:rsidRPr="00535EB9">
        <w:rPr>
          <w:rFonts w:ascii="Times New Roman" w:hAnsi="Times New Roman"/>
          <w:sz w:val="24"/>
          <w:szCs w:val="24"/>
        </w:rPr>
        <w:t>Tourism Satellite Account 201</w:t>
      </w:r>
      <w:r w:rsidR="00B60856">
        <w:rPr>
          <w:rFonts w:ascii="Times New Roman" w:hAnsi="Times New Roman"/>
          <w:sz w:val="24"/>
          <w:szCs w:val="24"/>
        </w:rPr>
        <w:t>8</w:t>
      </w:r>
      <w:r w:rsidR="001E0A4D" w:rsidRPr="00535EB9">
        <w:rPr>
          <w:rFonts w:ascii="Times New Roman" w:hAnsi="Times New Roman"/>
          <w:sz w:val="24"/>
          <w:szCs w:val="24"/>
        </w:rPr>
        <w:t xml:space="preserve"> </w:t>
      </w:r>
      <w:r w:rsidR="000975B5">
        <w:rPr>
          <w:rFonts w:ascii="Times New Roman" w:hAnsi="Times New Roman"/>
          <w:sz w:val="24"/>
          <w:szCs w:val="24"/>
        </w:rPr>
        <w:t>has been compile</w:t>
      </w:r>
      <w:r w:rsidR="009227AE">
        <w:rPr>
          <w:rFonts w:ascii="Times New Roman" w:hAnsi="Times New Roman"/>
          <w:sz w:val="24"/>
          <w:szCs w:val="24"/>
        </w:rPr>
        <w:t>d</w:t>
      </w:r>
      <w:r w:rsidR="000975B5">
        <w:rPr>
          <w:rFonts w:ascii="Times New Roman" w:hAnsi="Times New Roman"/>
          <w:sz w:val="24"/>
          <w:szCs w:val="24"/>
        </w:rPr>
        <w:t xml:space="preserve"> under the United </w:t>
      </w:r>
      <w:r w:rsidR="002F4E6F">
        <w:rPr>
          <w:rFonts w:ascii="Times New Roman" w:hAnsi="Times New Roman"/>
          <w:sz w:val="24"/>
          <w:szCs w:val="24"/>
        </w:rPr>
        <w:t>Nations</w:t>
      </w:r>
      <w:r w:rsidR="000975B5">
        <w:rPr>
          <w:rFonts w:ascii="Times New Roman" w:hAnsi="Times New Roman"/>
          <w:sz w:val="24"/>
          <w:szCs w:val="24"/>
        </w:rPr>
        <w:t xml:space="preserve"> World Tourism </w:t>
      </w:r>
      <w:r w:rsidR="00D23BC9">
        <w:rPr>
          <w:rFonts w:ascii="Times New Roman" w:hAnsi="Times New Roman"/>
          <w:sz w:val="24"/>
          <w:szCs w:val="24"/>
        </w:rPr>
        <w:t>O</w:t>
      </w:r>
      <w:r w:rsidR="000975B5">
        <w:rPr>
          <w:rFonts w:ascii="Times New Roman" w:hAnsi="Times New Roman"/>
          <w:sz w:val="24"/>
          <w:szCs w:val="24"/>
        </w:rPr>
        <w:t>rganisation framework</w:t>
      </w:r>
      <w:r w:rsidR="009D5177">
        <w:rPr>
          <w:rFonts w:ascii="Times New Roman" w:hAnsi="Times New Roman"/>
          <w:sz w:val="24"/>
          <w:szCs w:val="24"/>
        </w:rPr>
        <w:t xml:space="preserve">. </w:t>
      </w:r>
      <w:r w:rsidR="001E0A4D" w:rsidRPr="00535EB9">
        <w:rPr>
          <w:rFonts w:ascii="Times New Roman" w:hAnsi="Times New Roman"/>
          <w:sz w:val="24"/>
          <w:szCs w:val="24"/>
        </w:rPr>
        <w:t>A brief methodology including the concepts, definitions and classifications used, and data sources is given at Annex.</w:t>
      </w:r>
    </w:p>
    <w:p w14:paraId="283201A5" w14:textId="77777777" w:rsidR="001E0A4D" w:rsidRPr="00535EB9" w:rsidRDefault="001E0A4D" w:rsidP="001E0A4D">
      <w:pPr>
        <w:pStyle w:val="ListParagraph"/>
        <w:ind w:left="420"/>
        <w:jc w:val="both"/>
        <w:rPr>
          <w:rFonts w:ascii="Times New Roman" w:hAnsi="Times New Roman"/>
          <w:sz w:val="24"/>
          <w:szCs w:val="24"/>
        </w:rPr>
      </w:pPr>
    </w:p>
    <w:p w14:paraId="2175EAB7" w14:textId="77777777" w:rsidR="001E0A4D" w:rsidRDefault="001E0A4D" w:rsidP="001E0A4D">
      <w:pPr>
        <w:pStyle w:val="ListParagraph"/>
        <w:pBdr>
          <w:top w:val="single" w:sz="4" w:space="1" w:color="auto"/>
          <w:left w:val="single" w:sz="4" w:space="4" w:color="auto"/>
          <w:bottom w:val="single" w:sz="4" w:space="1" w:color="auto"/>
          <w:right w:val="single" w:sz="4" w:space="4" w:color="auto"/>
        </w:pBdr>
        <w:ind w:left="420"/>
        <w:jc w:val="both"/>
        <w:rPr>
          <w:rFonts w:ascii="Times New Roman" w:hAnsi="Times New Roman"/>
          <w:b/>
          <w:sz w:val="24"/>
          <w:szCs w:val="24"/>
        </w:rPr>
      </w:pPr>
      <w:r w:rsidRPr="00535EB9">
        <w:rPr>
          <w:rFonts w:ascii="Times New Roman" w:hAnsi="Times New Roman"/>
          <w:b/>
          <w:sz w:val="24"/>
          <w:szCs w:val="24"/>
        </w:rPr>
        <w:t>Note to users</w:t>
      </w:r>
    </w:p>
    <w:p w14:paraId="43BA24CE" w14:textId="6DF32B4E" w:rsidR="001E0A4D" w:rsidRPr="00535EB9" w:rsidRDefault="001E0A4D" w:rsidP="001E0A4D">
      <w:pPr>
        <w:pStyle w:val="ListParagraph"/>
        <w:pBdr>
          <w:top w:val="single" w:sz="4" w:space="1" w:color="auto"/>
          <w:left w:val="single" w:sz="4" w:space="4" w:color="auto"/>
          <w:bottom w:val="single" w:sz="4" w:space="1" w:color="auto"/>
          <w:right w:val="single" w:sz="4" w:space="4" w:color="auto"/>
        </w:pBdr>
        <w:ind w:left="420"/>
        <w:jc w:val="both"/>
        <w:rPr>
          <w:rFonts w:ascii="Times New Roman" w:hAnsi="Times New Roman"/>
          <w:sz w:val="24"/>
          <w:szCs w:val="24"/>
        </w:rPr>
      </w:pPr>
      <w:r w:rsidRPr="00535EB9">
        <w:rPr>
          <w:rFonts w:ascii="Times New Roman" w:hAnsi="Times New Roman"/>
          <w:sz w:val="24"/>
          <w:szCs w:val="24"/>
        </w:rPr>
        <w:t xml:space="preserve">The TSA presented in this report is based on </w:t>
      </w:r>
      <w:r w:rsidR="00CF4A50">
        <w:rPr>
          <w:rFonts w:ascii="Times New Roman" w:hAnsi="Times New Roman"/>
          <w:sz w:val="24"/>
          <w:szCs w:val="24"/>
        </w:rPr>
        <w:t>revised</w:t>
      </w:r>
      <w:r w:rsidR="00022656">
        <w:rPr>
          <w:rFonts w:ascii="Times New Roman" w:hAnsi="Times New Roman"/>
          <w:sz w:val="24"/>
          <w:szCs w:val="24"/>
        </w:rPr>
        <w:t xml:space="preserve"> </w:t>
      </w:r>
      <w:r w:rsidRPr="00535EB9">
        <w:rPr>
          <w:rFonts w:ascii="Times New Roman" w:hAnsi="Times New Roman"/>
          <w:sz w:val="24"/>
          <w:szCs w:val="24"/>
        </w:rPr>
        <w:t>data available for 201</w:t>
      </w:r>
      <w:r w:rsidR="00B60856">
        <w:rPr>
          <w:rFonts w:ascii="Times New Roman" w:hAnsi="Times New Roman"/>
          <w:sz w:val="24"/>
          <w:szCs w:val="24"/>
        </w:rPr>
        <w:t>8</w:t>
      </w:r>
      <w:r w:rsidRPr="00535EB9">
        <w:rPr>
          <w:rFonts w:ascii="Times New Roman" w:hAnsi="Times New Roman"/>
          <w:sz w:val="24"/>
          <w:szCs w:val="24"/>
        </w:rPr>
        <w:t xml:space="preserve">. </w:t>
      </w:r>
      <w:r w:rsidR="001532CC">
        <w:rPr>
          <w:rFonts w:ascii="Times New Roman" w:hAnsi="Times New Roman"/>
          <w:sz w:val="24"/>
          <w:szCs w:val="24"/>
        </w:rPr>
        <w:t xml:space="preserve">The methodology used </w:t>
      </w:r>
      <w:r w:rsidR="00DD651C" w:rsidRPr="00535EB9">
        <w:rPr>
          <w:rFonts w:ascii="Times New Roman" w:hAnsi="Times New Roman"/>
          <w:sz w:val="24"/>
          <w:szCs w:val="24"/>
        </w:rPr>
        <w:t xml:space="preserve">is comparable </w:t>
      </w:r>
      <w:r w:rsidR="001532CC">
        <w:rPr>
          <w:rFonts w:ascii="Times New Roman" w:hAnsi="Times New Roman"/>
          <w:sz w:val="24"/>
          <w:szCs w:val="24"/>
        </w:rPr>
        <w:t>to that of the</w:t>
      </w:r>
      <w:r w:rsidR="00DD651C" w:rsidRPr="00535EB9">
        <w:rPr>
          <w:rFonts w:ascii="Times New Roman" w:hAnsi="Times New Roman"/>
          <w:sz w:val="24"/>
          <w:szCs w:val="24"/>
        </w:rPr>
        <w:t xml:space="preserve"> TSA 2010</w:t>
      </w:r>
      <w:r w:rsidR="00292CED">
        <w:rPr>
          <w:rFonts w:ascii="Times New Roman" w:hAnsi="Times New Roman"/>
          <w:sz w:val="24"/>
          <w:szCs w:val="24"/>
        </w:rPr>
        <w:t xml:space="preserve"> </w:t>
      </w:r>
      <w:r w:rsidR="00B60856">
        <w:rPr>
          <w:rFonts w:ascii="Times New Roman" w:hAnsi="Times New Roman"/>
          <w:sz w:val="24"/>
          <w:szCs w:val="24"/>
        </w:rPr>
        <w:t xml:space="preserve">and TSA 2017 </w:t>
      </w:r>
      <w:r w:rsidR="00292CED">
        <w:rPr>
          <w:rFonts w:ascii="Times New Roman" w:hAnsi="Times New Roman"/>
          <w:sz w:val="24"/>
          <w:szCs w:val="24"/>
        </w:rPr>
        <w:t xml:space="preserve">posted on </w:t>
      </w:r>
      <w:r w:rsidR="002F4E6F">
        <w:rPr>
          <w:rFonts w:ascii="Times New Roman" w:hAnsi="Times New Roman"/>
          <w:sz w:val="24"/>
          <w:szCs w:val="24"/>
        </w:rPr>
        <w:t xml:space="preserve">the </w:t>
      </w:r>
      <w:r w:rsidR="00292CED">
        <w:rPr>
          <w:rFonts w:ascii="Times New Roman" w:hAnsi="Times New Roman"/>
          <w:sz w:val="24"/>
          <w:szCs w:val="24"/>
        </w:rPr>
        <w:t>Statistics Mauritius website</w:t>
      </w:r>
      <w:r w:rsidR="00DD651C" w:rsidRPr="00535EB9">
        <w:rPr>
          <w:rFonts w:ascii="Times New Roman" w:hAnsi="Times New Roman"/>
          <w:sz w:val="24"/>
          <w:szCs w:val="24"/>
        </w:rPr>
        <w:t xml:space="preserve">. </w:t>
      </w:r>
      <w:r w:rsidR="00A36529" w:rsidRPr="00535EB9">
        <w:rPr>
          <w:rFonts w:ascii="Times New Roman" w:hAnsi="Times New Roman"/>
          <w:sz w:val="24"/>
          <w:szCs w:val="24"/>
        </w:rPr>
        <w:t xml:space="preserve"> </w:t>
      </w:r>
    </w:p>
    <w:p w14:paraId="4BABD474" w14:textId="77777777" w:rsidR="00A40F19" w:rsidRDefault="00A40F19" w:rsidP="00D2707B">
      <w:pPr>
        <w:jc w:val="both"/>
        <w:rPr>
          <w:rFonts w:ascii="Times New Roman" w:hAnsi="Times New Roman"/>
          <w:b/>
          <w:sz w:val="24"/>
          <w:szCs w:val="24"/>
        </w:rPr>
      </w:pPr>
    </w:p>
    <w:p w14:paraId="5722C0C3" w14:textId="5EDC7CC7" w:rsidR="00DD6CEB" w:rsidRDefault="00D2707B" w:rsidP="00D2707B">
      <w:pPr>
        <w:jc w:val="both"/>
        <w:rPr>
          <w:rFonts w:ascii="Times New Roman" w:hAnsi="Times New Roman"/>
          <w:b/>
          <w:sz w:val="24"/>
          <w:szCs w:val="24"/>
        </w:rPr>
      </w:pPr>
      <w:r>
        <w:rPr>
          <w:rFonts w:ascii="Times New Roman" w:hAnsi="Times New Roman"/>
          <w:b/>
          <w:sz w:val="24"/>
          <w:szCs w:val="24"/>
        </w:rPr>
        <w:t>K</w:t>
      </w:r>
      <w:r w:rsidR="00292CED">
        <w:rPr>
          <w:rFonts w:ascii="Times New Roman" w:hAnsi="Times New Roman"/>
          <w:b/>
          <w:sz w:val="24"/>
          <w:szCs w:val="24"/>
        </w:rPr>
        <w:t>ey results for 201</w:t>
      </w:r>
      <w:r w:rsidR="00B60856">
        <w:rPr>
          <w:rFonts w:ascii="Times New Roman" w:hAnsi="Times New Roman"/>
          <w:b/>
          <w:sz w:val="24"/>
          <w:szCs w:val="24"/>
        </w:rPr>
        <w:t>8</w:t>
      </w:r>
    </w:p>
    <w:p w14:paraId="6B49CF14" w14:textId="3930C3C6" w:rsidR="00D2707B" w:rsidRPr="00601E9C" w:rsidRDefault="00D2707B" w:rsidP="00D2707B">
      <w:pPr>
        <w:pStyle w:val="ListParagraph"/>
        <w:numPr>
          <w:ilvl w:val="0"/>
          <w:numId w:val="5"/>
        </w:numPr>
        <w:jc w:val="both"/>
        <w:rPr>
          <w:rFonts w:ascii="Times New Roman" w:hAnsi="Times New Roman"/>
          <w:sz w:val="24"/>
          <w:szCs w:val="24"/>
        </w:rPr>
      </w:pPr>
      <w:r>
        <w:rPr>
          <w:rFonts w:ascii="Times New Roman" w:hAnsi="Times New Roman"/>
          <w:sz w:val="24"/>
          <w:szCs w:val="24"/>
        </w:rPr>
        <w:t>T</w:t>
      </w:r>
      <w:r w:rsidRPr="00601E9C">
        <w:rPr>
          <w:rFonts w:ascii="Times New Roman" w:hAnsi="Times New Roman"/>
          <w:sz w:val="24"/>
          <w:szCs w:val="24"/>
        </w:rPr>
        <w:t>otal tourism expendit</w:t>
      </w:r>
      <w:r>
        <w:rPr>
          <w:rFonts w:ascii="Times New Roman" w:hAnsi="Times New Roman"/>
          <w:sz w:val="24"/>
          <w:szCs w:val="24"/>
        </w:rPr>
        <w:t xml:space="preserve">ure at market prices was Rs </w:t>
      </w:r>
      <w:r w:rsidR="00D23BC9">
        <w:rPr>
          <w:rFonts w:ascii="Times New Roman" w:hAnsi="Times New Roman"/>
          <w:sz w:val="24"/>
          <w:szCs w:val="24"/>
        </w:rPr>
        <w:t>103.1</w:t>
      </w:r>
      <w:r w:rsidR="00966D34">
        <w:rPr>
          <w:rFonts w:ascii="Times New Roman" w:hAnsi="Times New Roman"/>
          <w:sz w:val="24"/>
          <w:szCs w:val="24"/>
        </w:rPr>
        <w:t xml:space="preserve"> </w:t>
      </w:r>
      <w:r w:rsidRPr="00601E9C">
        <w:rPr>
          <w:rFonts w:ascii="Times New Roman" w:hAnsi="Times New Roman"/>
          <w:sz w:val="24"/>
          <w:szCs w:val="24"/>
        </w:rPr>
        <w:t xml:space="preserve">billion </w:t>
      </w:r>
      <w:r w:rsidR="009B7849">
        <w:rPr>
          <w:rFonts w:ascii="Times New Roman" w:hAnsi="Times New Roman"/>
          <w:sz w:val="24"/>
          <w:szCs w:val="24"/>
        </w:rPr>
        <w:t xml:space="preserve">and is </w:t>
      </w:r>
      <w:r w:rsidRPr="00601E9C">
        <w:rPr>
          <w:rFonts w:ascii="Times New Roman" w:hAnsi="Times New Roman"/>
          <w:sz w:val="24"/>
          <w:szCs w:val="24"/>
        </w:rPr>
        <w:t xml:space="preserve">made up of </w:t>
      </w:r>
      <w:r w:rsidR="009B7849">
        <w:rPr>
          <w:rFonts w:ascii="Times New Roman" w:hAnsi="Times New Roman"/>
          <w:sz w:val="24"/>
          <w:szCs w:val="24"/>
        </w:rPr>
        <w:t xml:space="preserve">the following </w:t>
      </w:r>
      <w:r w:rsidR="002F4E6F">
        <w:rPr>
          <w:rFonts w:ascii="Times New Roman" w:hAnsi="Times New Roman"/>
          <w:sz w:val="24"/>
          <w:szCs w:val="24"/>
        </w:rPr>
        <w:t>expenditures</w:t>
      </w:r>
      <w:r w:rsidR="009B7849">
        <w:rPr>
          <w:rFonts w:ascii="Times New Roman" w:hAnsi="Times New Roman"/>
          <w:sz w:val="24"/>
          <w:szCs w:val="24"/>
        </w:rPr>
        <w:t>:</w:t>
      </w:r>
    </w:p>
    <w:p w14:paraId="099A3518" w14:textId="77777777" w:rsidR="00D2707B" w:rsidRPr="00601E9C" w:rsidRDefault="00D2707B" w:rsidP="00170E6B">
      <w:pPr>
        <w:pStyle w:val="ListParagraph"/>
        <w:numPr>
          <w:ilvl w:val="0"/>
          <w:numId w:val="40"/>
        </w:numPr>
        <w:rPr>
          <w:rFonts w:ascii="Times New Roman" w:hAnsi="Times New Roman"/>
          <w:sz w:val="24"/>
          <w:szCs w:val="24"/>
        </w:rPr>
      </w:pPr>
      <w:r>
        <w:rPr>
          <w:rFonts w:ascii="Times New Roman" w:hAnsi="Times New Roman"/>
          <w:sz w:val="24"/>
          <w:szCs w:val="24"/>
        </w:rPr>
        <w:t>inbound tourists</w:t>
      </w:r>
      <w:r w:rsidRPr="00601E9C">
        <w:rPr>
          <w:rFonts w:ascii="Times New Roman" w:hAnsi="Times New Roman"/>
          <w:sz w:val="24"/>
          <w:szCs w:val="24"/>
        </w:rPr>
        <w:t>:</w:t>
      </w:r>
      <w:r>
        <w:rPr>
          <w:rFonts w:ascii="Times New Roman" w:hAnsi="Times New Roman"/>
          <w:sz w:val="24"/>
          <w:szCs w:val="24"/>
        </w:rPr>
        <w:t xml:space="preserve"> Rs </w:t>
      </w:r>
      <w:r w:rsidR="00966D34">
        <w:rPr>
          <w:rFonts w:ascii="Times New Roman" w:hAnsi="Times New Roman"/>
          <w:sz w:val="24"/>
          <w:szCs w:val="24"/>
        </w:rPr>
        <w:t xml:space="preserve">73.2 </w:t>
      </w:r>
      <w:r>
        <w:rPr>
          <w:rFonts w:ascii="Times New Roman" w:hAnsi="Times New Roman"/>
          <w:sz w:val="24"/>
          <w:szCs w:val="24"/>
        </w:rPr>
        <w:t>billion (</w:t>
      </w:r>
      <w:r w:rsidR="00D23BC9">
        <w:rPr>
          <w:rFonts w:ascii="Times New Roman" w:hAnsi="Times New Roman"/>
          <w:sz w:val="24"/>
          <w:szCs w:val="24"/>
        </w:rPr>
        <w:t>71.0</w:t>
      </w:r>
      <w:r w:rsidRPr="00601E9C">
        <w:rPr>
          <w:rFonts w:ascii="Times New Roman" w:hAnsi="Times New Roman"/>
          <w:sz w:val="24"/>
          <w:szCs w:val="24"/>
        </w:rPr>
        <w:t xml:space="preserve">%), </w:t>
      </w:r>
    </w:p>
    <w:p w14:paraId="7BF392E3" w14:textId="022A8DB6" w:rsidR="00D2707B" w:rsidRPr="00601E9C" w:rsidRDefault="00D2707B" w:rsidP="00170E6B">
      <w:pPr>
        <w:pStyle w:val="ListParagraph"/>
        <w:numPr>
          <w:ilvl w:val="0"/>
          <w:numId w:val="40"/>
        </w:numPr>
        <w:rPr>
          <w:rFonts w:ascii="Times New Roman" w:hAnsi="Times New Roman"/>
          <w:sz w:val="24"/>
          <w:szCs w:val="24"/>
        </w:rPr>
      </w:pPr>
      <w:r w:rsidRPr="00601E9C">
        <w:rPr>
          <w:rFonts w:ascii="Times New Roman" w:hAnsi="Times New Roman"/>
          <w:sz w:val="24"/>
          <w:szCs w:val="24"/>
        </w:rPr>
        <w:t xml:space="preserve">outbound tourists: </w:t>
      </w:r>
      <w:r>
        <w:rPr>
          <w:rFonts w:ascii="Times New Roman" w:hAnsi="Times New Roman"/>
          <w:sz w:val="24"/>
          <w:szCs w:val="24"/>
        </w:rPr>
        <w:t xml:space="preserve"> </w:t>
      </w:r>
      <w:r w:rsidRPr="00DD021D">
        <w:rPr>
          <w:rFonts w:ascii="Times New Roman" w:hAnsi="Times New Roman"/>
          <w:sz w:val="24"/>
          <w:szCs w:val="24"/>
        </w:rPr>
        <w:t xml:space="preserve">Rs </w:t>
      </w:r>
      <w:r w:rsidR="002F4E6F" w:rsidRPr="00DD021D">
        <w:rPr>
          <w:rFonts w:ascii="Times New Roman" w:hAnsi="Times New Roman"/>
          <w:sz w:val="24"/>
          <w:szCs w:val="24"/>
        </w:rPr>
        <w:t>2</w:t>
      </w:r>
      <w:r w:rsidR="00D23BC9" w:rsidRPr="00DD021D">
        <w:rPr>
          <w:rFonts w:ascii="Times New Roman" w:hAnsi="Times New Roman"/>
          <w:sz w:val="24"/>
          <w:szCs w:val="24"/>
        </w:rPr>
        <w:t>2.5</w:t>
      </w:r>
      <w:r w:rsidR="00966D34">
        <w:rPr>
          <w:rFonts w:ascii="Times New Roman" w:hAnsi="Times New Roman"/>
          <w:sz w:val="24"/>
          <w:szCs w:val="24"/>
        </w:rPr>
        <w:t xml:space="preserve"> </w:t>
      </w:r>
      <w:r>
        <w:rPr>
          <w:rFonts w:ascii="Times New Roman" w:hAnsi="Times New Roman"/>
          <w:sz w:val="24"/>
          <w:szCs w:val="24"/>
        </w:rPr>
        <w:t>billion (</w:t>
      </w:r>
      <w:r w:rsidR="00966D34">
        <w:rPr>
          <w:rFonts w:ascii="Times New Roman" w:hAnsi="Times New Roman"/>
          <w:sz w:val="24"/>
          <w:szCs w:val="24"/>
        </w:rPr>
        <w:t>2</w:t>
      </w:r>
      <w:r w:rsidR="00D23BC9">
        <w:rPr>
          <w:rFonts w:ascii="Times New Roman" w:hAnsi="Times New Roman"/>
          <w:sz w:val="24"/>
          <w:szCs w:val="24"/>
        </w:rPr>
        <w:t xml:space="preserve">1.8 </w:t>
      </w:r>
      <w:r w:rsidRPr="00601E9C">
        <w:rPr>
          <w:rFonts w:ascii="Times New Roman" w:hAnsi="Times New Roman"/>
          <w:sz w:val="24"/>
          <w:szCs w:val="24"/>
        </w:rPr>
        <w:t xml:space="preserve">%), and </w:t>
      </w:r>
    </w:p>
    <w:p w14:paraId="4A56FF02" w14:textId="77777777" w:rsidR="00D2707B" w:rsidRDefault="00D2707B" w:rsidP="00170E6B">
      <w:pPr>
        <w:pStyle w:val="ListParagraph"/>
        <w:numPr>
          <w:ilvl w:val="0"/>
          <w:numId w:val="40"/>
        </w:numPr>
        <w:rPr>
          <w:rFonts w:ascii="Times New Roman" w:hAnsi="Times New Roman"/>
          <w:sz w:val="24"/>
          <w:szCs w:val="24"/>
        </w:rPr>
      </w:pPr>
      <w:r w:rsidRPr="00601E9C">
        <w:rPr>
          <w:rFonts w:ascii="Times New Roman" w:hAnsi="Times New Roman"/>
          <w:sz w:val="24"/>
          <w:szCs w:val="24"/>
        </w:rPr>
        <w:t xml:space="preserve">domestic </w:t>
      </w:r>
      <w:r>
        <w:rPr>
          <w:rFonts w:ascii="Times New Roman" w:hAnsi="Times New Roman"/>
          <w:sz w:val="24"/>
          <w:szCs w:val="24"/>
        </w:rPr>
        <w:t xml:space="preserve">tourists: </w:t>
      </w:r>
      <w:r w:rsidRPr="00601E9C">
        <w:rPr>
          <w:rFonts w:ascii="Times New Roman" w:hAnsi="Times New Roman"/>
          <w:sz w:val="24"/>
          <w:szCs w:val="24"/>
        </w:rPr>
        <w:t>Rs</w:t>
      </w:r>
      <w:r>
        <w:rPr>
          <w:rFonts w:ascii="Times New Roman" w:hAnsi="Times New Roman"/>
          <w:sz w:val="24"/>
          <w:szCs w:val="24"/>
        </w:rPr>
        <w:t xml:space="preserve"> </w:t>
      </w:r>
      <w:r w:rsidR="00966D34">
        <w:rPr>
          <w:rFonts w:ascii="Times New Roman" w:hAnsi="Times New Roman"/>
          <w:sz w:val="24"/>
          <w:szCs w:val="24"/>
        </w:rPr>
        <w:t>7.</w:t>
      </w:r>
      <w:r w:rsidR="00D23BC9">
        <w:rPr>
          <w:rFonts w:ascii="Times New Roman" w:hAnsi="Times New Roman"/>
          <w:sz w:val="24"/>
          <w:szCs w:val="24"/>
        </w:rPr>
        <w:t xml:space="preserve">4 </w:t>
      </w:r>
      <w:r>
        <w:rPr>
          <w:rFonts w:ascii="Times New Roman" w:hAnsi="Times New Roman"/>
          <w:sz w:val="24"/>
          <w:szCs w:val="24"/>
        </w:rPr>
        <w:t>billion (</w:t>
      </w:r>
      <w:r w:rsidR="00D23BC9">
        <w:rPr>
          <w:rFonts w:ascii="Times New Roman" w:hAnsi="Times New Roman"/>
          <w:sz w:val="24"/>
          <w:szCs w:val="24"/>
        </w:rPr>
        <w:t xml:space="preserve">7.2 </w:t>
      </w:r>
      <w:r w:rsidRPr="00601E9C">
        <w:rPr>
          <w:rFonts w:ascii="Times New Roman" w:hAnsi="Times New Roman"/>
          <w:sz w:val="24"/>
          <w:szCs w:val="24"/>
        </w:rPr>
        <w:t xml:space="preserve">%). </w:t>
      </w:r>
    </w:p>
    <w:p w14:paraId="0681C2FA" w14:textId="77777777" w:rsidR="00D2707B" w:rsidRPr="00601E9C" w:rsidRDefault="00D2707B" w:rsidP="00D2707B">
      <w:pPr>
        <w:pStyle w:val="ListParagraph"/>
        <w:rPr>
          <w:rFonts w:ascii="Times New Roman" w:hAnsi="Times New Roman"/>
          <w:sz w:val="24"/>
          <w:szCs w:val="24"/>
        </w:rPr>
      </w:pPr>
    </w:p>
    <w:p w14:paraId="3B219CBB" w14:textId="1EB911FC" w:rsidR="00D2707B" w:rsidRDefault="009B7849" w:rsidP="00454126">
      <w:pPr>
        <w:pStyle w:val="ListParagraph"/>
        <w:numPr>
          <w:ilvl w:val="0"/>
          <w:numId w:val="5"/>
        </w:numPr>
        <w:spacing w:line="480" w:lineRule="auto"/>
        <w:rPr>
          <w:rFonts w:ascii="Times New Roman" w:hAnsi="Times New Roman"/>
          <w:sz w:val="24"/>
          <w:szCs w:val="24"/>
        </w:rPr>
      </w:pPr>
      <w:r>
        <w:rPr>
          <w:rFonts w:ascii="Times New Roman" w:hAnsi="Times New Roman"/>
          <w:sz w:val="24"/>
          <w:szCs w:val="24"/>
        </w:rPr>
        <w:t xml:space="preserve">The </w:t>
      </w:r>
      <w:r w:rsidR="00D2707B" w:rsidRPr="00601E9C">
        <w:rPr>
          <w:rFonts w:ascii="Times New Roman" w:hAnsi="Times New Roman"/>
          <w:sz w:val="24"/>
          <w:szCs w:val="24"/>
        </w:rPr>
        <w:t xml:space="preserve">Tourism </w:t>
      </w:r>
      <w:r>
        <w:rPr>
          <w:rFonts w:ascii="Times New Roman" w:hAnsi="Times New Roman"/>
          <w:sz w:val="24"/>
          <w:szCs w:val="24"/>
        </w:rPr>
        <w:t xml:space="preserve">Industry generated a contribution of </w:t>
      </w:r>
      <w:r w:rsidR="00D2707B">
        <w:rPr>
          <w:rFonts w:ascii="Times New Roman" w:hAnsi="Times New Roman"/>
          <w:sz w:val="24"/>
          <w:szCs w:val="24"/>
        </w:rPr>
        <w:t xml:space="preserve">Rs </w:t>
      </w:r>
      <w:r w:rsidR="008B4E42">
        <w:rPr>
          <w:rFonts w:ascii="Times New Roman" w:hAnsi="Times New Roman"/>
          <w:sz w:val="24"/>
          <w:szCs w:val="24"/>
        </w:rPr>
        <w:t>40.3</w:t>
      </w:r>
      <w:r w:rsidR="00966D34">
        <w:rPr>
          <w:rFonts w:ascii="Times New Roman" w:hAnsi="Times New Roman"/>
          <w:sz w:val="24"/>
          <w:szCs w:val="24"/>
        </w:rPr>
        <w:t xml:space="preserve"> </w:t>
      </w:r>
      <w:r w:rsidR="00D2707B" w:rsidRPr="00601E9C">
        <w:rPr>
          <w:rFonts w:ascii="Times New Roman" w:hAnsi="Times New Roman"/>
          <w:sz w:val="24"/>
          <w:szCs w:val="24"/>
        </w:rPr>
        <w:t xml:space="preserve">billion </w:t>
      </w:r>
      <w:r w:rsidR="008A5B33">
        <w:rPr>
          <w:rFonts w:ascii="Times New Roman" w:hAnsi="Times New Roman"/>
          <w:sz w:val="24"/>
          <w:szCs w:val="24"/>
        </w:rPr>
        <w:t xml:space="preserve">or </w:t>
      </w:r>
      <w:r w:rsidR="00966D34">
        <w:rPr>
          <w:rFonts w:ascii="Times New Roman" w:hAnsi="Times New Roman"/>
          <w:sz w:val="24"/>
          <w:szCs w:val="24"/>
        </w:rPr>
        <w:t>9.</w:t>
      </w:r>
      <w:r w:rsidR="008B4E42">
        <w:rPr>
          <w:rFonts w:ascii="Times New Roman" w:hAnsi="Times New Roman"/>
          <w:sz w:val="24"/>
          <w:szCs w:val="24"/>
        </w:rPr>
        <w:t>3</w:t>
      </w:r>
      <w:r w:rsidR="00966D34">
        <w:rPr>
          <w:rFonts w:ascii="Times New Roman" w:hAnsi="Times New Roman"/>
          <w:sz w:val="24"/>
          <w:szCs w:val="24"/>
        </w:rPr>
        <w:t xml:space="preserve">% </w:t>
      </w:r>
      <w:r w:rsidR="00D2707B" w:rsidRPr="00601E9C">
        <w:rPr>
          <w:rFonts w:ascii="Times New Roman" w:hAnsi="Times New Roman"/>
          <w:sz w:val="24"/>
          <w:szCs w:val="24"/>
        </w:rPr>
        <w:t>of GDP.</w:t>
      </w:r>
    </w:p>
    <w:p w14:paraId="13867659" w14:textId="77777777" w:rsidR="00454126" w:rsidRDefault="00454126" w:rsidP="00454126">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 xml:space="preserve">Tourism balance of trade reached Rs </w:t>
      </w:r>
      <w:r w:rsidR="008B4E42">
        <w:rPr>
          <w:rFonts w:ascii="Times New Roman" w:hAnsi="Times New Roman"/>
          <w:sz w:val="24"/>
          <w:szCs w:val="24"/>
        </w:rPr>
        <w:t>50</w:t>
      </w:r>
      <w:r>
        <w:rPr>
          <w:rFonts w:ascii="Times New Roman" w:hAnsi="Times New Roman"/>
          <w:sz w:val="24"/>
          <w:szCs w:val="24"/>
        </w:rPr>
        <w:t xml:space="preserve">.7 billion. </w:t>
      </w:r>
    </w:p>
    <w:p w14:paraId="2876E197" w14:textId="77777777" w:rsidR="00D2707B" w:rsidRPr="00601E9C" w:rsidRDefault="00D2707B" w:rsidP="00D2707B">
      <w:pPr>
        <w:pStyle w:val="ListParagraph"/>
        <w:ind w:left="420"/>
        <w:rPr>
          <w:rFonts w:ascii="Times New Roman" w:hAnsi="Times New Roman"/>
          <w:sz w:val="24"/>
          <w:szCs w:val="24"/>
        </w:rPr>
      </w:pPr>
    </w:p>
    <w:p w14:paraId="73B92C9A" w14:textId="2DBC1FD1" w:rsidR="00D2707B" w:rsidRPr="004E5BA7" w:rsidRDefault="00D2707B" w:rsidP="00D2707B">
      <w:pPr>
        <w:pStyle w:val="ListParagraph"/>
        <w:numPr>
          <w:ilvl w:val="0"/>
          <w:numId w:val="5"/>
        </w:numPr>
        <w:rPr>
          <w:rFonts w:ascii="Times New Roman" w:hAnsi="Times New Roman"/>
          <w:sz w:val="24"/>
          <w:szCs w:val="24"/>
        </w:rPr>
      </w:pPr>
      <w:r w:rsidRPr="004E5BA7">
        <w:rPr>
          <w:rFonts w:ascii="Times New Roman" w:hAnsi="Times New Roman"/>
          <w:sz w:val="24"/>
          <w:szCs w:val="24"/>
        </w:rPr>
        <w:t xml:space="preserve">The tourism industry directly employed </w:t>
      </w:r>
      <w:r w:rsidR="00966D34" w:rsidRPr="004E5BA7">
        <w:rPr>
          <w:rFonts w:ascii="Times New Roman" w:hAnsi="Times New Roman"/>
          <w:sz w:val="24"/>
          <w:szCs w:val="24"/>
        </w:rPr>
        <w:t>7</w:t>
      </w:r>
      <w:r w:rsidR="006B55D0" w:rsidRPr="004E5BA7">
        <w:rPr>
          <w:rFonts w:ascii="Times New Roman" w:hAnsi="Times New Roman"/>
          <w:sz w:val="24"/>
          <w:szCs w:val="24"/>
        </w:rPr>
        <w:t>6</w:t>
      </w:r>
      <w:r w:rsidR="00966D34" w:rsidRPr="004E5BA7">
        <w:rPr>
          <w:rFonts w:ascii="Times New Roman" w:hAnsi="Times New Roman"/>
          <w:sz w:val="24"/>
          <w:szCs w:val="24"/>
        </w:rPr>
        <w:t>,</w:t>
      </w:r>
      <w:r w:rsidR="006B55D0" w:rsidRPr="004E5BA7">
        <w:rPr>
          <w:rFonts w:ascii="Times New Roman" w:hAnsi="Times New Roman"/>
          <w:sz w:val="24"/>
          <w:szCs w:val="24"/>
        </w:rPr>
        <w:t>860</w:t>
      </w:r>
      <w:r w:rsidR="00966D34" w:rsidRPr="004E5BA7">
        <w:rPr>
          <w:rFonts w:ascii="Times New Roman" w:hAnsi="Times New Roman"/>
          <w:sz w:val="24"/>
          <w:szCs w:val="24"/>
        </w:rPr>
        <w:t xml:space="preserve"> </w:t>
      </w:r>
      <w:r w:rsidRPr="004E5BA7">
        <w:rPr>
          <w:rFonts w:ascii="Times New Roman" w:hAnsi="Times New Roman"/>
          <w:sz w:val="24"/>
          <w:szCs w:val="24"/>
        </w:rPr>
        <w:t xml:space="preserve">persons (or </w:t>
      </w:r>
      <w:r w:rsidR="00966D34" w:rsidRPr="004E5BA7">
        <w:rPr>
          <w:rFonts w:ascii="Times New Roman" w:hAnsi="Times New Roman"/>
          <w:sz w:val="24"/>
          <w:szCs w:val="24"/>
        </w:rPr>
        <w:t>13.</w:t>
      </w:r>
      <w:r w:rsidR="006B55D0" w:rsidRPr="004E5BA7">
        <w:rPr>
          <w:rFonts w:ascii="Times New Roman" w:hAnsi="Times New Roman"/>
          <w:sz w:val="24"/>
          <w:szCs w:val="24"/>
        </w:rPr>
        <w:t>4</w:t>
      </w:r>
      <w:r w:rsidRPr="004E5BA7">
        <w:rPr>
          <w:rFonts w:ascii="Times New Roman" w:hAnsi="Times New Roman"/>
          <w:sz w:val="24"/>
          <w:szCs w:val="24"/>
        </w:rPr>
        <w:t>% of total employment).</w:t>
      </w:r>
    </w:p>
    <w:p w14:paraId="21F10C7A" w14:textId="77777777" w:rsidR="00D2707B" w:rsidRPr="00601E9C" w:rsidRDefault="00D2707B" w:rsidP="00D2707B">
      <w:pPr>
        <w:pStyle w:val="ListParagraph"/>
        <w:rPr>
          <w:rFonts w:ascii="Times New Roman" w:hAnsi="Times New Roman"/>
          <w:sz w:val="24"/>
          <w:szCs w:val="24"/>
        </w:rPr>
      </w:pPr>
    </w:p>
    <w:p w14:paraId="377879F7" w14:textId="77777777" w:rsidR="00D2707B" w:rsidRDefault="00D2707B" w:rsidP="00D2707B">
      <w:pPr>
        <w:pStyle w:val="ListParagraph"/>
        <w:numPr>
          <w:ilvl w:val="0"/>
          <w:numId w:val="5"/>
        </w:numPr>
        <w:rPr>
          <w:rFonts w:ascii="Times New Roman" w:hAnsi="Times New Roman"/>
          <w:sz w:val="24"/>
          <w:szCs w:val="24"/>
        </w:rPr>
      </w:pPr>
      <w:r w:rsidRPr="00601E9C">
        <w:rPr>
          <w:rFonts w:ascii="Times New Roman" w:hAnsi="Times New Roman"/>
          <w:sz w:val="24"/>
          <w:szCs w:val="24"/>
        </w:rPr>
        <w:t xml:space="preserve">Tourists generated Rs </w:t>
      </w:r>
      <w:r w:rsidR="006B18E2">
        <w:rPr>
          <w:rFonts w:ascii="Times New Roman" w:hAnsi="Times New Roman"/>
          <w:sz w:val="24"/>
          <w:szCs w:val="24"/>
        </w:rPr>
        <w:t>7.</w:t>
      </w:r>
      <w:r w:rsidR="008B4E42">
        <w:rPr>
          <w:rFonts w:ascii="Times New Roman" w:hAnsi="Times New Roman"/>
          <w:sz w:val="24"/>
          <w:szCs w:val="24"/>
        </w:rPr>
        <w:t>5</w:t>
      </w:r>
      <w:r w:rsidRPr="00601E9C">
        <w:rPr>
          <w:rFonts w:ascii="Times New Roman" w:hAnsi="Times New Roman"/>
          <w:sz w:val="24"/>
          <w:szCs w:val="24"/>
        </w:rPr>
        <w:t xml:space="preserve"> billion in revenue from taxes on products.</w:t>
      </w:r>
    </w:p>
    <w:p w14:paraId="4F73B3C1" w14:textId="77777777" w:rsidR="001C157A" w:rsidRDefault="001C157A" w:rsidP="001C157A">
      <w:pPr>
        <w:pStyle w:val="ListParagraph"/>
        <w:rPr>
          <w:rFonts w:ascii="Times New Roman" w:hAnsi="Times New Roman"/>
          <w:sz w:val="24"/>
          <w:szCs w:val="24"/>
        </w:rPr>
      </w:pPr>
    </w:p>
    <w:p w14:paraId="24C3D340" w14:textId="2C400665" w:rsidR="001C157A" w:rsidRDefault="001C157A" w:rsidP="001C157A">
      <w:pPr>
        <w:pStyle w:val="ListParagraph"/>
        <w:rPr>
          <w:rFonts w:ascii="Times New Roman" w:hAnsi="Times New Roman"/>
          <w:sz w:val="24"/>
          <w:szCs w:val="24"/>
        </w:rPr>
      </w:pPr>
    </w:p>
    <w:p w14:paraId="2F421361" w14:textId="14EE3D0B" w:rsidR="006B55D0" w:rsidRDefault="006B55D0" w:rsidP="001C157A">
      <w:pPr>
        <w:pStyle w:val="ListParagraph"/>
        <w:rPr>
          <w:rFonts w:ascii="Times New Roman" w:hAnsi="Times New Roman"/>
          <w:sz w:val="24"/>
          <w:szCs w:val="24"/>
        </w:rPr>
      </w:pPr>
    </w:p>
    <w:p w14:paraId="12A88971" w14:textId="66AD8199" w:rsidR="006B55D0" w:rsidRDefault="006B55D0" w:rsidP="001C157A">
      <w:pPr>
        <w:pStyle w:val="ListParagraph"/>
        <w:rPr>
          <w:rFonts w:ascii="Times New Roman" w:hAnsi="Times New Roman"/>
          <w:sz w:val="24"/>
          <w:szCs w:val="24"/>
        </w:rPr>
      </w:pPr>
    </w:p>
    <w:p w14:paraId="2951CAB6" w14:textId="41DA72D2" w:rsidR="006B55D0" w:rsidRDefault="006B55D0" w:rsidP="001C157A">
      <w:pPr>
        <w:pStyle w:val="ListParagraph"/>
        <w:rPr>
          <w:rFonts w:ascii="Times New Roman" w:hAnsi="Times New Roman"/>
          <w:sz w:val="24"/>
          <w:szCs w:val="24"/>
        </w:rPr>
      </w:pPr>
    </w:p>
    <w:p w14:paraId="7473BFCC" w14:textId="1791E953" w:rsidR="006B55D0" w:rsidRDefault="006B55D0" w:rsidP="001C157A">
      <w:pPr>
        <w:pStyle w:val="ListParagraph"/>
        <w:rPr>
          <w:rFonts w:ascii="Times New Roman" w:hAnsi="Times New Roman"/>
          <w:sz w:val="24"/>
          <w:szCs w:val="24"/>
        </w:rPr>
      </w:pPr>
    </w:p>
    <w:p w14:paraId="53B0E480" w14:textId="443AEA0D" w:rsidR="006B55D0" w:rsidRDefault="006B55D0" w:rsidP="001C157A">
      <w:pPr>
        <w:pStyle w:val="ListParagraph"/>
        <w:rPr>
          <w:rFonts w:ascii="Times New Roman" w:hAnsi="Times New Roman"/>
          <w:sz w:val="24"/>
          <w:szCs w:val="24"/>
        </w:rPr>
      </w:pPr>
    </w:p>
    <w:p w14:paraId="2331CF9D" w14:textId="48F67A2C" w:rsidR="006B55D0" w:rsidRDefault="006B55D0" w:rsidP="001C157A">
      <w:pPr>
        <w:pStyle w:val="ListParagraph"/>
        <w:rPr>
          <w:rFonts w:ascii="Times New Roman" w:hAnsi="Times New Roman"/>
          <w:sz w:val="24"/>
          <w:szCs w:val="24"/>
        </w:rPr>
      </w:pPr>
    </w:p>
    <w:p w14:paraId="32B9D668" w14:textId="1E632741" w:rsidR="006B55D0" w:rsidRDefault="006B55D0" w:rsidP="001C157A">
      <w:pPr>
        <w:pStyle w:val="ListParagraph"/>
        <w:rPr>
          <w:rFonts w:ascii="Times New Roman" w:hAnsi="Times New Roman"/>
          <w:sz w:val="24"/>
          <w:szCs w:val="24"/>
        </w:rPr>
      </w:pPr>
    </w:p>
    <w:p w14:paraId="5CE5A96D" w14:textId="71A19901" w:rsidR="006B55D0" w:rsidRDefault="006B55D0" w:rsidP="001C157A">
      <w:pPr>
        <w:pStyle w:val="ListParagraph"/>
        <w:rPr>
          <w:rFonts w:ascii="Times New Roman" w:hAnsi="Times New Roman"/>
          <w:sz w:val="24"/>
          <w:szCs w:val="24"/>
        </w:rPr>
      </w:pPr>
    </w:p>
    <w:p w14:paraId="5F77B678" w14:textId="0EA00438" w:rsidR="006B55D0" w:rsidRDefault="006B55D0" w:rsidP="001C157A">
      <w:pPr>
        <w:pStyle w:val="ListParagraph"/>
        <w:rPr>
          <w:rFonts w:ascii="Times New Roman" w:hAnsi="Times New Roman"/>
          <w:sz w:val="24"/>
          <w:szCs w:val="24"/>
        </w:rPr>
      </w:pPr>
    </w:p>
    <w:p w14:paraId="2BCE9E07" w14:textId="30914989" w:rsidR="006B55D0" w:rsidRDefault="006B55D0" w:rsidP="001C157A">
      <w:pPr>
        <w:pStyle w:val="ListParagraph"/>
        <w:rPr>
          <w:rFonts w:ascii="Times New Roman" w:hAnsi="Times New Roman"/>
          <w:sz w:val="24"/>
          <w:szCs w:val="24"/>
        </w:rPr>
      </w:pPr>
    </w:p>
    <w:p w14:paraId="50BEE230" w14:textId="45F827F9" w:rsidR="006B55D0" w:rsidRDefault="006B55D0" w:rsidP="001C157A">
      <w:pPr>
        <w:pStyle w:val="ListParagraph"/>
        <w:rPr>
          <w:rFonts w:ascii="Times New Roman" w:hAnsi="Times New Roman"/>
          <w:sz w:val="24"/>
          <w:szCs w:val="24"/>
        </w:rPr>
      </w:pPr>
    </w:p>
    <w:p w14:paraId="5C2261CF" w14:textId="2E0F20AF" w:rsidR="006B55D0" w:rsidRDefault="006B55D0" w:rsidP="001C157A">
      <w:pPr>
        <w:pStyle w:val="ListParagraph"/>
        <w:rPr>
          <w:rFonts w:ascii="Times New Roman" w:hAnsi="Times New Roman"/>
          <w:sz w:val="24"/>
          <w:szCs w:val="24"/>
        </w:rPr>
      </w:pPr>
    </w:p>
    <w:p w14:paraId="1565B54A" w14:textId="79E897F1" w:rsidR="006B55D0" w:rsidRDefault="006B55D0" w:rsidP="001C157A">
      <w:pPr>
        <w:pStyle w:val="ListParagraph"/>
        <w:rPr>
          <w:rFonts w:ascii="Times New Roman" w:hAnsi="Times New Roman"/>
          <w:sz w:val="24"/>
          <w:szCs w:val="24"/>
        </w:rPr>
      </w:pPr>
    </w:p>
    <w:p w14:paraId="6B1A045D" w14:textId="602661E3" w:rsidR="006B55D0" w:rsidRDefault="006B55D0" w:rsidP="001C157A">
      <w:pPr>
        <w:pStyle w:val="ListParagraph"/>
        <w:rPr>
          <w:rFonts w:ascii="Times New Roman" w:hAnsi="Times New Roman"/>
          <w:sz w:val="24"/>
          <w:szCs w:val="24"/>
        </w:rPr>
      </w:pPr>
    </w:p>
    <w:p w14:paraId="078BF374" w14:textId="6675C50D" w:rsidR="001C157A" w:rsidRPr="00AB2255" w:rsidRDefault="007E62E9" w:rsidP="001C157A">
      <w:pPr>
        <w:jc w:val="both"/>
        <w:rPr>
          <w:rFonts w:ascii="Times New Roman" w:hAnsi="Times New Roman"/>
          <w:b/>
          <w:sz w:val="24"/>
          <w:szCs w:val="24"/>
        </w:rPr>
      </w:pPr>
      <w:r>
        <w:rPr>
          <w:rFonts w:ascii="Times New Roman" w:hAnsi="Times New Roman"/>
          <w:b/>
          <w:sz w:val="24"/>
          <w:szCs w:val="24"/>
        </w:rPr>
        <w:lastRenderedPageBreak/>
        <w:t>The Flow</w:t>
      </w:r>
      <w:r w:rsidR="001C157A" w:rsidRPr="00AB2255">
        <w:rPr>
          <w:rFonts w:ascii="Times New Roman" w:hAnsi="Times New Roman"/>
          <w:b/>
          <w:sz w:val="24"/>
          <w:szCs w:val="24"/>
        </w:rPr>
        <w:t xml:space="preserve"> of tourism expenditure in the </w:t>
      </w:r>
      <w:r>
        <w:rPr>
          <w:rFonts w:ascii="Times New Roman" w:hAnsi="Times New Roman"/>
          <w:b/>
          <w:sz w:val="24"/>
          <w:szCs w:val="24"/>
        </w:rPr>
        <w:t>E</w:t>
      </w:r>
      <w:r w:rsidR="001C157A" w:rsidRPr="00AB2255">
        <w:rPr>
          <w:rFonts w:ascii="Times New Roman" w:hAnsi="Times New Roman"/>
          <w:b/>
          <w:sz w:val="24"/>
          <w:szCs w:val="24"/>
        </w:rPr>
        <w:t>conomy, 201</w:t>
      </w:r>
      <w:r w:rsidR="001C157A">
        <w:rPr>
          <w:rFonts w:ascii="Times New Roman" w:hAnsi="Times New Roman"/>
          <w:b/>
          <w:sz w:val="24"/>
          <w:szCs w:val="24"/>
        </w:rPr>
        <w:t>8</w:t>
      </w:r>
    </w:p>
    <w:p w14:paraId="1F075B45" w14:textId="3E64A15F" w:rsidR="001C157A" w:rsidRDefault="0039112F" w:rsidP="001C157A">
      <w:pPr>
        <w:pStyle w:val="ListParagraph"/>
        <w:numPr>
          <w:ilvl w:val="0"/>
          <w:numId w:val="5"/>
        </w:numPr>
        <w:jc w:val="both"/>
        <w:rPr>
          <w:rFonts w:ascii="Times New Roman" w:hAnsi="Times New Roman"/>
          <w:sz w:val="24"/>
          <w:szCs w:val="24"/>
        </w:rPr>
      </w:pPr>
      <w:r>
        <w:rPr>
          <w:rFonts w:ascii="Times New Roman" w:hAnsi="Times New Roman"/>
          <w:sz w:val="24"/>
          <w:szCs w:val="24"/>
        </w:rPr>
        <w:t>C</w:t>
      </w:r>
      <w:r w:rsidR="001C157A" w:rsidRPr="00AB2255">
        <w:rPr>
          <w:rFonts w:ascii="Times New Roman" w:hAnsi="Times New Roman"/>
          <w:sz w:val="24"/>
          <w:szCs w:val="24"/>
        </w:rPr>
        <w:t xml:space="preserve">hart </w:t>
      </w:r>
      <w:r>
        <w:rPr>
          <w:rFonts w:ascii="Times New Roman" w:hAnsi="Times New Roman"/>
          <w:sz w:val="24"/>
          <w:szCs w:val="24"/>
        </w:rPr>
        <w:t>1</w:t>
      </w:r>
      <w:r w:rsidR="001C157A" w:rsidRPr="00AB2255">
        <w:rPr>
          <w:rFonts w:ascii="Times New Roman" w:hAnsi="Times New Roman"/>
          <w:sz w:val="24"/>
          <w:szCs w:val="24"/>
        </w:rPr>
        <w:t xml:space="preserve"> shows the tourism expenditure of the different forms of tourism for 201</w:t>
      </w:r>
      <w:r w:rsidR="001C157A">
        <w:rPr>
          <w:rFonts w:ascii="Times New Roman" w:hAnsi="Times New Roman"/>
          <w:sz w:val="24"/>
          <w:szCs w:val="24"/>
        </w:rPr>
        <w:t>8</w:t>
      </w:r>
      <w:r w:rsidR="001C157A" w:rsidRPr="00AB2255">
        <w:rPr>
          <w:rFonts w:ascii="Times New Roman" w:hAnsi="Times New Roman"/>
          <w:sz w:val="24"/>
          <w:szCs w:val="24"/>
        </w:rPr>
        <w:t xml:space="preserve">, and how it was met. </w:t>
      </w:r>
    </w:p>
    <w:p w14:paraId="78452D65" w14:textId="77777777" w:rsidR="001C157A" w:rsidRPr="00AB2255" w:rsidRDefault="001C157A" w:rsidP="001C157A">
      <w:pPr>
        <w:pStyle w:val="ListParagraph"/>
        <w:ind w:left="420"/>
        <w:jc w:val="both"/>
        <w:rPr>
          <w:rFonts w:ascii="Times New Roman" w:hAnsi="Times New Roman"/>
          <w:sz w:val="24"/>
          <w:szCs w:val="24"/>
        </w:rPr>
      </w:pPr>
    </w:p>
    <w:p w14:paraId="10EB78E6" w14:textId="59ADA3AA" w:rsidR="001C157A" w:rsidRDefault="001C157A" w:rsidP="001C157A">
      <w:pPr>
        <w:pStyle w:val="ListParagraph"/>
        <w:ind w:left="420"/>
        <w:jc w:val="both"/>
        <w:rPr>
          <w:rFonts w:ascii="Times New Roman" w:hAnsi="Times New Roman"/>
          <w:b/>
          <w:sz w:val="24"/>
          <w:szCs w:val="24"/>
        </w:rPr>
      </w:pPr>
      <w:r w:rsidRPr="00AB2255">
        <w:rPr>
          <w:rFonts w:ascii="Times New Roman" w:hAnsi="Times New Roman"/>
          <w:b/>
          <w:sz w:val="24"/>
          <w:szCs w:val="24"/>
        </w:rPr>
        <w:t xml:space="preserve">Chart 1: Tourism </w:t>
      </w:r>
      <w:r w:rsidR="007E62E9">
        <w:rPr>
          <w:rFonts w:ascii="Times New Roman" w:hAnsi="Times New Roman"/>
          <w:b/>
          <w:sz w:val="24"/>
          <w:szCs w:val="24"/>
        </w:rPr>
        <w:t>Expenditure</w:t>
      </w:r>
      <w:r w:rsidRPr="00AB2255">
        <w:rPr>
          <w:rFonts w:ascii="Times New Roman" w:hAnsi="Times New Roman"/>
          <w:b/>
          <w:sz w:val="24"/>
          <w:szCs w:val="24"/>
        </w:rPr>
        <w:t>, 201</w:t>
      </w:r>
      <w:r>
        <w:rPr>
          <w:rFonts w:ascii="Times New Roman" w:hAnsi="Times New Roman"/>
          <w:b/>
          <w:sz w:val="24"/>
          <w:szCs w:val="24"/>
        </w:rPr>
        <w:t>8</w:t>
      </w:r>
    </w:p>
    <w:p w14:paraId="756C9383" w14:textId="77777777" w:rsidR="00AE5AE9" w:rsidRDefault="00AE5AE9" w:rsidP="001C157A">
      <w:pPr>
        <w:pStyle w:val="ListParagraph"/>
        <w:ind w:left="420"/>
        <w:jc w:val="both"/>
        <w:rPr>
          <w:rFonts w:ascii="Times New Roman" w:hAnsi="Times New Roman"/>
          <w:b/>
          <w:sz w:val="24"/>
          <w:szCs w:val="24"/>
        </w:rPr>
      </w:pPr>
    </w:p>
    <w:p w14:paraId="1770E17A" w14:textId="3E973852" w:rsidR="00451F76" w:rsidRDefault="00451F76" w:rsidP="001C157A">
      <w:pPr>
        <w:pStyle w:val="ListParagraph"/>
        <w:ind w:left="420"/>
        <w:jc w:val="both"/>
        <w:rPr>
          <w:rFonts w:ascii="Times New Roman" w:hAnsi="Times New Roman"/>
          <w:b/>
          <w:sz w:val="24"/>
          <w:szCs w:val="24"/>
        </w:rPr>
      </w:pPr>
      <w:r w:rsidRPr="00451F76">
        <w:rPr>
          <w:noProof/>
        </w:rPr>
        <w:drawing>
          <wp:inline distT="0" distB="0" distL="0" distR="0" wp14:anchorId="307025F1" wp14:editId="5611D504">
            <wp:extent cx="5705291" cy="553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341" cy="5543773"/>
                    </a:xfrm>
                    <a:prstGeom prst="rect">
                      <a:avLst/>
                    </a:prstGeom>
                    <a:noFill/>
                    <a:ln>
                      <a:noFill/>
                    </a:ln>
                  </pic:spPr>
                </pic:pic>
              </a:graphicData>
            </a:graphic>
          </wp:inline>
        </w:drawing>
      </w:r>
    </w:p>
    <w:p w14:paraId="24B921CC" w14:textId="62E54D65" w:rsidR="00126ACD" w:rsidRPr="007537AE" w:rsidRDefault="00126ACD" w:rsidP="00126ACD">
      <w:pPr>
        <w:spacing w:line="360" w:lineRule="auto"/>
        <w:jc w:val="both"/>
        <w:rPr>
          <w:rFonts w:ascii="Times New Roman" w:hAnsi="Times New Roman"/>
          <w:b/>
          <w:sz w:val="24"/>
          <w:szCs w:val="24"/>
        </w:rPr>
      </w:pPr>
      <w:r>
        <w:rPr>
          <w:rFonts w:ascii="Times New Roman" w:hAnsi="Times New Roman"/>
          <w:i/>
          <w:sz w:val="20"/>
          <w:szCs w:val="20"/>
        </w:rPr>
        <w:t xml:space="preserve">        </w:t>
      </w:r>
      <w:r w:rsidRPr="004A46A8">
        <w:rPr>
          <w:rFonts w:ascii="Times New Roman" w:hAnsi="Times New Roman"/>
          <w:i/>
          <w:sz w:val="20"/>
          <w:szCs w:val="20"/>
        </w:rPr>
        <w:t>Source: 201</w:t>
      </w:r>
      <w:r>
        <w:rPr>
          <w:rFonts w:ascii="Times New Roman" w:hAnsi="Times New Roman"/>
          <w:i/>
          <w:sz w:val="20"/>
          <w:szCs w:val="20"/>
        </w:rPr>
        <w:t xml:space="preserve">8 Survey of Inbound, </w:t>
      </w:r>
      <w:r w:rsidRPr="004A46A8">
        <w:rPr>
          <w:rFonts w:ascii="Times New Roman" w:hAnsi="Times New Roman"/>
          <w:i/>
          <w:sz w:val="20"/>
          <w:szCs w:val="20"/>
        </w:rPr>
        <w:t>Outbound</w:t>
      </w:r>
      <w:r>
        <w:rPr>
          <w:rFonts w:ascii="Times New Roman" w:hAnsi="Times New Roman"/>
          <w:i/>
          <w:sz w:val="20"/>
          <w:szCs w:val="20"/>
        </w:rPr>
        <w:t>,</w:t>
      </w:r>
      <w:r w:rsidRPr="004A46A8">
        <w:rPr>
          <w:rFonts w:ascii="Times New Roman" w:hAnsi="Times New Roman"/>
          <w:i/>
          <w:sz w:val="20"/>
          <w:szCs w:val="20"/>
        </w:rPr>
        <w:t xml:space="preserve"> </w:t>
      </w:r>
      <w:r>
        <w:rPr>
          <w:rFonts w:ascii="Times New Roman" w:hAnsi="Times New Roman"/>
          <w:i/>
          <w:sz w:val="20"/>
          <w:szCs w:val="20"/>
        </w:rPr>
        <w:t xml:space="preserve">and Domestic </w:t>
      </w:r>
      <w:r w:rsidRPr="004A46A8">
        <w:rPr>
          <w:rFonts w:ascii="Times New Roman" w:hAnsi="Times New Roman"/>
          <w:i/>
          <w:sz w:val="20"/>
          <w:szCs w:val="20"/>
        </w:rPr>
        <w:t xml:space="preserve">Tourism </w:t>
      </w:r>
    </w:p>
    <w:p w14:paraId="67AA70DA" w14:textId="5F068186" w:rsidR="006F3319" w:rsidRDefault="006F3319" w:rsidP="006F3319">
      <w:pPr>
        <w:pStyle w:val="ListParagraph"/>
        <w:numPr>
          <w:ilvl w:val="0"/>
          <w:numId w:val="5"/>
        </w:numPr>
        <w:jc w:val="both"/>
        <w:rPr>
          <w:rFonts w:ascii="Times New Roman" w:hAnsi="Times New Roman"/>
          <w:sz w:val="24"/>
          <w:szCs w:val="24"/>
        </w:rPr>
      </w:pPr>
      <w:r w:rsidRPr="00DE1736">
        <w:rPr>
          <w:rFonts w:ascii="Times New Roman" w:hAnsi="Times New Roman"/>
          <w:sz w:val="24"/>
          <w:szCs w:val="24"/>
        </w:rPr>
        <w:t>In 201</w:t>
      </w:r>
      <w:r>
        <w:rPr>
          <w:rFonts w:ascii="Times New Roman" w:hAnsi="Times New Roman"/>
          <w:sz w:val="24"/>
          <w:szCs w:val="24"/>
        </w:rPr>
        <w:t>8</w:t>
      </w:r>
      <w:r w:rsidRPr="00DE1736">
        <w:rPr>
          <w:rFonts w:ascii="Times New Roman" w:hAnsi="Times New Roman"/>
          <w:sz w:val="24"/>
          <w:szCs w:val="24"/>
        </w:rPr>
        <w:t xml:space="preserve">, the total tourism expenditure at market prices was estimated at Rs </w:t>
      </w:r>
      <w:r w:rsidR="008B4E42">
        <w:rPr>
          <w:rFonts w:ascii="Times New Roman" w:hAnsi="Times New Roman"/>
          <w:sz w:val="24"/>
          <w:szCs w:val="24"/>
        </w:rPr>
        <w:t>103.1</w:t>
      </w:r>
      <w:r w:rsidRPr="00DE1736">
        <w:rPr>
          <w:rFonts w:ascii="Times New Roman" w:hAnsi="Times New Roman"/>
          <w:sz w:val="24"/>
          <w:szCs w:val="24"/>
        </w:rPr>
        <w:t xml:space="preserve"> </w:t>
      </w:r>
      <w:r>
        <w:rPr>
          <w:rFonts w:ascii="Times New Roman" w:hAnsi="Times New Roman"/>
          <w:sz w:val="24"/>
          <w:szCs w:val="24"/>
        </w:rPr>
        <w:t>b</w:t>
      </w:r>
      <w:r w:rsidRPr="00DE1736">
        <w:rPr>
          <w:rFonts w:ascii="Times New Roman" w:hAnsi="Times New Roman"/>
          <w:sz w:val="24"/>
          <w:szCs w:val="24"/>
        </w:rPr>
        <w:t xml:space="preserve">illion. Inbound tourism expenditure was Rs </w:t>
      </w:r>
      <w:r>
        <w:rPr>
          <w:rFonts w:ascii="Times New Roman" w:hAnsi="Times New Roman"/>
          <w:sz w:val="24"/>
          <w:szCs w:val="24"/>
        </w:rPr>
        <w:t>73.2</w:t>
      </w:r>
      <w:r w:rsidRPr="00DE1736">
        <w:rPr>
          <w:rFonts w:ascii="Times New Roman" w:hAnsi="Times New Roman"/>
          <w:sz w:val="24"/>
          <w:szCs w:val="24"/>
        </w:rPr>
        <w:t xml:space="preserve"> </w:t>
      </w:r>
      <w:r>
        <w:rPr>
          <w:rFonts w:ascii="Times New Roman" w:hAnsi="Times New Roman"/>
          <w:sz w:val="24"/>
          <w:szCs w:val="24"/>
        </w:rPr>
        <w:t>b</w:t>
      </w:r>
      <w:r w:rsidRPr="00DE1736">
        <w:rPr>
          <w:rFonts w:ascii="Times New Roman" w:hAnsi="Times New Roman"/>
          <w:sz w:val="24"/>
          <w:szCs w:val="24"/>
        </w:rPr>
        <w:t>illion (</w:t>
      </w:r>
      <w:r w:rsidR="008B4E42">
        <w:rPr>
          <w:rFonts w:ascii="Times New Roman" w:hAnsi="Times New Roman"/>
          <w:sz w:val="24"/>
          <w:szCs w:val="24"/>
        </w:rPr>
        <w:t>71.0</w:t>
      </w:r>
      <w:r w:rsidRPr="00DE1736">
        <w:rPr>
          <w:rFonts w:ascii="Times New Roman" w:hAnsi="Times New Roman"/>
          <w:sz w:val="24"/>
          <w:szCs w:val="24"/>
        </w:rPr>
        <w:t>%), outbound tourism expenditure</w:t>
      </w:r>
      <w:r w:rsidR="0033229C">
        <w:rPr>
          <w:rFonts w:ascii="Times New Roman" w:hAnsi="Times New Roman"/>
          <w:sz w:val="24"/>
          <w:szCs w:val="24"/>
        </w:rPr>
        <w:t xml:space="preserve"> was </w:t>
      </w:r>
      <w:r w:rsidRPr="00DE1736">
        <w:rPr>
          <w:rFonts w:ascii="Times New Roman" w:hAnsi="Times New Roman"/>
          <w:sz w:val="24"/>
          <w:szCs w:val="24"/>
        </w:rPr>
        <w:t xml:space="preserve">Rs </w:t>
      </w:r>
      <w:r>
        <w:rPr>
          <w:rFonts w:ascii="Times New Roman" w:hAnsi="Times New Roman"/>
          <w:sz w:val="24"/>
          <w:szCs w:val="24"/>
        </w:rPr>
        <w:t>2</w:t>
      </w:r>
      <w:r w:rsidR="008B4E42">
        <w:rPr>
          <w:rFonts w:ascii="Times New Roman" w:hAnsi="Times New Roman"/>
          <w:sz w:val="24"/>
          <w:szCs w:val="24"/>
        </w:rPr>
        <w:t>2.5</w:t>
      </w:r>
      <w:r w:rsidRPr="00DE1736">
        <w:rPr>
          <w:rFonts w:ascii="Times New Roman" w:hAnsi="Times New Roman"/>
          <w:sz w:val="24"/>
          <w:szCs w:val="24"/>
        </w:rPr>
        <w:t xml:space="preserve"> </w:t>
      </w:r>
      <w:r>
        <w:rPr>
          <w:rFonts w:ascii="Times New Roman" w:hAnsi="Times New Roman"/>
          <w:sz w:val="24"/>
          <w:szCs w:val="24"/>
        </w:rPr>
        <w:t>b</w:t>
      </w:r>
      <w:r w:rsidRPr="00DE1736">
        <w:rPr>
          <w:rFonts w:ascii="Times New Roman" w:hAnsi="Times New Roman"/>
          <w:sz w:val="24"/>
          <w:szCs w:val="24"/>
        </w:rPr>
        <w:t>illion (</w:t>
      </w:r>
      <w:r>
        <w:rPr>
          <w:rFonts w:ascii="Times New Roman" w:hAnsi="Times New Roman"/>
          <w:sz w:val="24"/>
          <w:szCs w:val="24"/>
        </w:rPr>
        <w:t>2</w:t>
      </w:r>
      <w:r w:rsidR="0039112F">
        <w:rPr>
          <w:rFonts w:ascii="Times New Roman" w:hAnsi="Times New Roman"/>
          <w:sz w:val="24"/>
          <w:szCs w:val="24"/>
        </w:rPr>
        <w:t>1</w:t>
      </w:r>
      <w:r w:rsidR="008B4E42">
        <w:rPr>
          <w:rFonts w:ascii="Times New Roman" w:hAnsi="Times New Roman"/>
          <w:sz w:val="24"/>
          <w:szCs w:val="24"/>
        </w:rPr>
        <w:t>.8</w:t>
      </w:r>
      <w:r w:rsidRPr="00DE1736">
        <w:rPr>
          <w:rFonts w:ascii="Times New Roman" w:hAnsi="Times New Roman"/>
          <w:sz w:val="24"/>
          <w:szCs w:val="24"/>
        </w:rPr>
        <w:t>%)</w:t>
      </w:r>
      <w:r w:rsidR="0033229C">
        <w:rPr>
          <w:rFonts w:ascii="Times New Roman" w:hAnsi="Times New Roman"/>
          <w:sz w:val="24"/>
          <w:szCs w:val="24"/>
        </w:rPr>
        <w:t>,</w:t>
      </w:r>
      <w:r w:rsidRPr="00DE1736">
        <w:rPr>
          <w:rFonts w:ascii="Times New Roman" w:hAnsi="Times New Roman"/>
          <w:sz w:val="24"/>
          <w:szCs w:val="24"/>
        </w:rPr>
        <w:t xml:space="preserve"> and domestic tourism expenditure </w:t>
      </w:r>
      <w:r w:rsidR="0033229C">
        <w:rPr>
          <w:rFonts w:ascii="Times New Roman" w:hAnsi="Times New Roman"/>
          <w:sz w:val="24"/>
          <w:szCs w:val="24"/>
        </w:rPr>
        <w:t xml:space="preserve">was </w:t>
      </w:r>
      <w:r w:rsidRPr="00DE1736">
        <w:rPr>
          <w:rFonts w:ascii="Times New Roman" w:hAnsi="Times New Roman"/>
          <w:sz w:val="24"/>
          <w:szCs w:val="24"/>
        </w:rPr>
        <w:t xml:space="preserve">Rs </w:t>
      </w:r>
      <w:r>
        <w:rPr>
          <w:rFonts w:ascii="Times New Roman" w:hAnsi="Times New Roman"/>
          <w:sz w:val="24"/>
          <w:szCs w:val="24"/>
        </w:rPr>
        <w:t>7.</w:t>
      </w:r>
      <w:r w:rsidR="008B4E42">
        <w:rPr>
          <w:rFonts w:ascii="Times New Roman" w:hAnsi="Times New Roman"/>
          <w:sz w:val="24"/>
          <w:szCs w:val="24"/>
        </w:rPr>
        <w:t>4</w:t>
      </w:r>
      <w:r>
        <w:rPr>
          <w:rFonts w:ascii="Times New Roman" w:hAnsi="Times New Roman"/>
          <w:sz w:val="24"/>
          <w:szCs w:val="24"/>
        </w:rPr>
        <w:t xml:space="preserve"> b</w:t>
      </w:r>
      <w:r w:rsidRPr="00DE1736">
        <w:rPr>
          <w:rFonts w:ascii="Times New Roman" w:hAnsi="Times New Roman"/>
          <w:sz w:val="24"/>
          <w:szCs w:val="24"/>
        </w:rPr>
        <w:t>illion (</w:t>
      </w:r>
      <w:r w:rsidR="008B4E42">
        <w:rPr>
          <w:rFonts w:ascii="Times New Roman" w:hAnsi="Times New Roman"/>
          <w:sz w:val="24"/>
          <w:szCs w:val="24"/>
        </w:rPr>
        <w:t>7.2</w:t>
      </w:r>
      <w:r w:rsidRPr="00DE1736">
        <w:rPr>
          <w:rFonts w:ascii="Times New Roman" w:hAnsi="Times New Roman"/>
          <w:sz w:val="24"/>
          <w:szCs w:val="24"/>
        </w:rPr>
        <w:t xml:space="preserve">%). </w:t>
      </w:r>
    </w:p>
    <w:p w14:paraId="10B8411A" w14:textId="77777777" w:rsidR="006F3319" w:rsidRDefault="006F3319" w:rsidP="006F3319">
      <w:pPr>
        <w:pStyle w:val="ListParagraph"/>
        <w:ind w:left="420"/>
        <w:jc w:val="both"/>
        <w:rPr>
          <w:rFonts w:ascii="Times New Roman" w:hAnsi="Times New Roman"/>
          <w:sz w:val="24"/>
          <w:szCs w:val="24"/>
        </w:rPr>
      </w:pPr>
    </w:p>
    <w:p w14:paraId="07A63720" w14:textId="7D6879FC" w:rsidR="006F3319" w:rsidRDefault="00C97E0A" w:rsidP="006F3319">
      <w:pPr>
        <w:pStyle w:val="ListParagraph"/>
        <w:numPr>
          <w:ilvl w:val="0"/>
          <w:numId w:val="5"/>
        </w:numPr>
        <w:jc w:val="both"/>
        <w:rPr>
          <w:rFonts w:ascii="Times New Roman" w:hAnsi="Times New Roman"/>
          <w:sz w:val="24"/>
          <w:szCs w:val="24"/>
        </w:rPr>
      </w:pPr>
      <w:r>
        <w:rPr>
          <w:rFonts w:ascii="Times New Roman" w:hAnsi="Times New Roman"/>
          <w:sz w:val="24"/>
          <w:szCs w:val="24"/>
        </w:rPr>
        <w:t>The total tourism supply at the basic price in 2018 worked out to Rs 95.6 billion after the deduction of all taxes and subsidies amounting to Rs 7.5 billion.</w:t>
      </w:r>
    </w:p>
    <w:p w14:paraId="0E9D6E57" w14:textId="77777777" w:rsidR="00B84119" w:rsidRPr="006F3319" w:rsidRDefault="00B84119" w:rsidP="00B84119">
      <w:pPr>
        <w:pStyle w:val="ListParagraph"/>
        <w:ind w:left="0"/>
        <w:jc w:val="both"/>
        <w:rPr>
          <w:rFonts w:ascii="Times New Roman" w:hAnsi="Times New Roman"/>
          <w:sz w:val="24"/>
          <w:szCs w:val="24"/>
        </w:rPr>
      </w:pPr>
    </w:p>
    <w:p w14:paraId="489EBD6C" w14:textId="2CA5A9EA" w:rsidR="00B84119" w:rsidRPr="00AB2255" w:rsidRDefault="00B84119" w:rsidP="00B84119">
      <w:pPr>
        <w:pStyle w:val="ListParagraph"/>
        <w:numPr>
          <w:ilvl w:val="0"/>
          <w:numId w:val="5"/>
        </w:numPr>
        <w:spacing w:after="0"/>
        <w:jc w:val="both"/>
        <w:rPr>
          <w:rFonts w:ascii="Times New Roman" w:hAnsi="Times New Roman"/>
          <w:sz w:val="24"/>
          <w:szCs w:val="24"/>
        </w:rPr>
      </w:pPr>
      <w:r w:rsidRPr="00AB2255">
        <w:rPr>
          <w:rFonts w:ascii="Times New Roman" w:hAnsi="Times New Roman"/>
          <w:sz w:val="24"/>
          <w:szCs w:val="24"/>
        </w:rPr>
        <w:t xml:space="preserve">The total supply at basic </w:t>
      </w:r>
      <w:r>
        <w:rPr>
          <w:rFonts w:ascii="Times New Roman" w:hAnsi="Times New Roman"/>
          <w:sz w:val="24"/>
          <w:szCs w:val="24"/>
        </w:rPr>
        <w:t xml:space="preserve">prices included Rs </w:t>
      </w:r>
      <w:r w:rsidR="00C97E0A">
        <w:rPr>
          <w:rFonts w:ascii="Times New Roman" w:hAnsi="Times New Roman"/>
          <w:sz w:val="24"/>
          <w:szCs w:val="24"/>
        </w:rPr>
        <w:t>80.6</w:t>
      </w:r>
      <w:r w:rsidR="00DB2106">
        <w:rPr>
          <w:rFonts w:ascii="Times New Roman" w:hAnsi="Times New Roman"/>
          <w:sz w:val="24"/>
          <w:szCs w:val="24"/>
        </w:rPr>
        <w:t xml:space="preserve"> </w:t>
      </w:r>
      <w:r>
        <w:rPr>
          <w:rFonts w:ascii="Times New Roman" w:hAnsi="Times New Roman"/>
          <w:sz w:val="24"/>
          <w:szCs w:val="24"/>
        </w:rPr>
        <w:t>billion</w:t>
      </w:r>
      <w:r w:rsidRPr="00AB2255">
        <w:rPr>
          <w:rFonts w:ascii="Times New Roman" w:hAnsi="Times New Roman"/>
          <w:sz w:val="24"/>
          <w:szCs w:val="24"/>
        </w:rPr>
        <w:t xml:space="preserve"> of imported and locally produced tourism goods and services purchased by resident visitors (domestic tourism) and non</w:t>
      </w:r>
      <w:r w:rsidR="00F53ED5">
        <w:rPr>
          <w:rFonts w:ascii="Times New Roman" w:hAnsi="Times New Roman"/>
          <w:sz w:val="24"/>
          <w:szCs w:val="24"/>
        </w:rPr>
        <w:t>-</w:t>
      </w:r>
      <w:r w:rsidRPr="00AB2255">
        <w:rPr>
          <w:rFonts w:ascii="Times New Roman" w:hAnsi="Times New Roman"/>
          <w:sz w:val="24"/>
          <w:szCs w:val="24"/>
        </w:rPr>
        <w:t xml:space="preserve">resident visitors (inbound tourism) within the country and Rs </w:t>
      </w:r>
      <w:r w:rsidR="00DB2106">
        <w:rPr>
          <w:rFonts w:ascii="Times New Roman" w:hAnsi="Times New Roman"/>
          <w:sz w:val="24"/>
          <w:szCs w:val="24"/>
        </w:rPr>
        <w:t>2</w:t>
      </w:r>
      <w:r w:rsidR="008B4E42">
        <w:rPr>
          <w:rFonts w:ascii="Times New Roman" w:hAnsi="Times New Roman"/>
          <w:sz w:val="24"/>
          <w:szCs w:val="24"/>
        </w:rPr>
        <w:t>2</w:t>
      </w:r>
      <w:r w:rsidR="00DB2106">
        <w:rPr>
          <w:rFonts w:ascii="Times New Roman" w:hAnsi="Times New Roman"/>
          <w:sz w:val="24"/>
          <w:szCs w:val="24"/>
        </w:rPr>
        <w:t xml:space="preserve">.5 </w:t>
      </w:r>
      <w:r>
        <w:rPr>
          <w:rFonts w:ascii="Times New Roman" w:hAnsi="Times New Roman"/>
          <w:sz w:val="24"/>
          <w:szCs w:val="24"/>
        </w:rPr>
        <w:t>b</w:t>
      </w:r>
      <w:r w:rsidRPr="00AB2255">
        <w:rPr>
          <w:rFonts w:ascii="Times New Roman" w:hAnsi="Times New Roman"/>
          <w:sz w:val="24"/>
          <w:szCs w:val="24"/>
        </w:rPr>
        <w:t xml:space="preserve">illion of imported tourism goods and services consumed by resident visitors outside the country (outbound tourism). </w:t>
      </w:r>
    </w:p>
    <w:p w14:paraId="0CD5AC75" w14:textId="7D073811" w:rsidR="00F8387C" w:rsidRPr="00F8387C" w:rsidRDefault="00C97E0A" w:rsidP="00F8387C">
      <w:pPr>
        <w:pStyle w:val="ListParagraph"/>
        <w:numPr>
          <w:ilvl w:val="0"/>
          <w:numId w:val="5"/>
        </w:numPr>
        <w:spacing w:after="0"/>
        <w:jc w:val="both"/>
        <w:rPr>
          <w:rFonts w:ascii="Times New Roman" w:hAnsi="Times New Roman"/>
          <w:sz w:val="24"/>
          <w:szCs w:val="24"/>
        </w:rPr>
      </w:pPr>
      <w:r>
        <w:rPr>
          <w:rFonts w:ascii="Times New Roman" w:hAnsi="Times New Roman"/>
          <w:sz w:val="24"/>
          <w:szCs w:val="24"/>
        </w:rPr>
        <w:lastRenderedPageBreak/>
        <w:t xml:space="preserve">For the year 2018 </w:t>
      </w:r>
      <w:r w:rsidR="00021B48">
        <w:rPr>
          <w:rFonts w:ascii="Times New Roman" w:hAnsi="Times New Roman"/>
          <w:sz w:val="24"/>
          <w:szCs w:val="24"/>
        </w:rPr>
        <w:t>i</w:t>
      </w:r>
      <w:r w:rsidR="00F8387C" w:rsidRPr="00535EB9">
        <w:rPr>
          <w:rFonts w:ascii="Times New Roman" w:hAnsi="Times New Roman"/>
          <w:sz w:val="24"/>
          <w:szCs w:val="24"/>
        </w:rPr>
        <w:t xml:space="preserve">ntermediate </w:t>
      </w:r>
      <w:r w:rsidR="00021B48">
        <w:rPr>
          <w:rFonts w:ascii="Times New Roman" w:hAnsi="Times New Roman"/>
          <w:sz w:val="24"/>
          <w:szCs w:val="24"/>
        </w:rPr>
        <w:t>c</w:t>
      </w:r>
      <w:r w:rsidR="00F8387C" w:rsidRPr="00535EB9">
        <w:rPr>
          <w:rFonts w:ascii="Times New Roman" w:hAnsi="Times New Roman"/>
          <w:sz w:val="24"/>
          <w:szCs w:val="24"/>
        </w:rPr>
        <w:t>onsumption of local producers of</w:t>
      </w:r>
      <w:r w:rsidR="00BA2A64">
        <w:rPr>
          <w:rFonts w:ascii="Times New Roman" w:hAnsi="Times New Roman"/>
          <w:sz w:val="24"/>
          <w:szCs w:val="24"/>
        </w:rPr>
        <w:t xml:space="preserve"> tourism goods and services was </w:t>
      </w:r>
      <w:r w:rsidR="00F8387C" w:rsidRPr="00535EB9">
        <w:rPr>
          <w:rFonts w:ascii="Times New Roman" w:hAnsi="Times New Roman"/>
          <w:sz w:val="24"/>
          <w:szCs w:val="24"/>
        </w:rPr>
        <w:t xml:space="preserve">estimated at Rs </w:t>
      </w:r>
      <w:r w:rsidR="00BA2FB9">
        <w:rPr>
          <w:rFonts w:ascii="Times New Roman" w:hAnsi="Times New Roman"/>
          <w:sz w:val="24"/>
          <w:szCs w:val="24"/>
        </w:rPr>
        <w:t>31.0</w:t>
      </w:r>
      <w:r w:rsidR="00F8387C">
        <w:rPr>
          <w:rFonts w:ascii="Times New Roman" w:hAnsi="Times New Roman"/>
          <w:sz w:val="24"/>
          <w:szCs w:val="24"/>
        </w:rPr>
        <w:t xml:space="preserve"> b</w:t>
      </w:r>
      <w:r w:rsidR="00F8387C" w:rsidRPr="00535EB9">
        <w:rPr>
          <w:rFonts w:ascii="Times New Roman" w:hAnsi="Times New Roman"/>
          <w:sz w:val="24"/>
          <w:szCs w:val="24"/>
        </w:rPr>
        <w:t>illion, representing 4</w:t>
      </w:r>
      <w:r w:rsidR="00BA2FB9">
        <w:rPr>
          <w:rFonts w:ascii="Times New Roman" w:hAnsi="Times New Roman"/>
          <w:sz w:val="24"/>
          <w:szCs w:val="24"/>
        </w:rPr>
        <w:t>3</w:t>
      </w:r>
      <w:r>
        <w:rPr>
          <w:rFonts w:ascii="Times New Roman" w:hAnsi="Times New Roman"/>
          <w:sz w:val="24"/>
          <w:szCs w:val="24"/>
        </w:rPr>
        <w:t>.5</w:t>
      </w:r>
      <w:r w:rsidR="00F8387C" w:rsidRPr="00535EB9">
        <w:rPr>
          <w:rFonts w:ascii="Times New Roman" w:hAnsi="Times New Roman"/>
          <w:sz w:val="24"/>
          <w:szCs w:val="24"/>
        </w:rPr>
        <w:t>% of the gross output</w:t>
      </w:r>
      <w:r w:rsidR="0013172C">
        <w:rPr>
          <w:rFonts w:ascii="Times New Roman" w:hAnsi="Times New Roman"/>
          <w:sz w:val="24"/>
          <w:szCs w:val="24"/>
        </w:rPr>
        <w:t xml:space="preserve"> valued at Rs 7</w:t>
      </w:r>
      <w:r w:rsidR="00BA2FB9">
        <w:rPr>
          <w:rFonts w:ascii="Times New Roman" w:hAnsi="Times New Roman"/>
          <w:sz w:val="24"/>
          <w:szCs w:val="24"/>
        </w:rPr>
        <w:t>1.</w:t>
      </w:r>
      <w:r w:rsidR="002D44DE">
        <w:rPr>
          <w:rFonts w:ascii="Times New Roman" w:hAnsi="Times New Roman"/>
          <w:sz w:val="24"/>
          <w:szCs w:val="24"/>
        </w:rPr>
        <w:t>3</w:t>
      </w:r>
      <w:r w:rsidR="0013172C">
        <w:rPr>
          <w:rFonts w:ascii="Times New Roman" w:hAnsi="Times New Roman"/>
          <w:sz w:val="24"/>
          <w:szCs w:val="24"/>
        </w:rPr>
        <w:t xml:space="preserve"> billion.</w:t>
      </w:r>
      <w:r w:rsidR="00F8387C">
        <w:rPr>
          <w:rFonts w:ascii="Times New Roman" w:hAnsi="Times New Roman"/>
          <w:sz w:val="24"/>
          <w:szCs w:val="24"/>
        </w:rPr>
        <w:t xml:space="preserve">  </w:t>
      </w:r>
      <w:r w:rsidR="00F8387C" w:rsidRPr="00F8387C">
        <w:rPr>
          <w:rFonts w:ascii="Times New Roman" w:hAnsi="Times New Roman"/>
          <w:sz w:val="24"/>
          <w:szCs w:val="24"/>
        </w:rPr>
        <w:t>Total Tourism Direct Gross Value Added (TDGVA) at basic prices, calculated as the difference between the gross output and the intermediate consumption worked out to</w:t>
      </w:r>
      <w:r w:rsidR="00F8387C">
        <w:rPr>
          <w:rFonts w:ascii="Times New Roman" w:hAnsi="Times New Roman"/>
          <w:sz w:val="24"/>
          <w:szCs w:val="24"/>
        </w:rPr>
        <w:t xml:space="preserve"> </w:t>
      </w:r>
      <w:r w:rsidR="00F8387C" w:rsidRPr="00F8387C">
        <w:rPr>
          <w:rFonts w:ascii="Times New Roman" w:hAnsi="Times New Roman"/>
          <w:sz w:val="24"/>
          <w:szCs w:val="24"/>
        </w:rPr>
        <w:t xml:space="preserve">Rs </w:t>
      </w:r>
      <w:r w:rsidR="002D44DE">
        <w:rPr>
          <w:rFonts w:ascii="Times New Roman" w:hAnsi="Times New Roman"/>
          <w:sz w:val="24"/>
          <w:szCs w:val="24"/>
        </w:rPr>
        <w:t>40.3</w:t>
      </w:r>
      <w:r w:rsidR="00F8387C" w:rsidRPr="00F8387C">
        <w:rPr>
          <w:rFonts w:ascii="Times New Roman" w:hAnsi="Times New Roman"/>
          <w:sz w:val="24"/>
          <w:szCs w:val="24"/>
        </w:rPr>
        <w:t xml:space="preserve"> billion. This represents 9.</w:t>
      </w:r>
      <w:r w:rsidR="002D44DE">
        <w:rPr>
          <w:rFonts w:ascii="Times New Roman" w:hAnsi="Times New Roman"/>
          <w:sz w:val="24"/>
          <w:szCs w:val="24"/>
        </w:rPr>
        <w:t>3</w:t>
      </w:r>
      <w:r w:rsidR="00F8387C" w:rsidRPr="00F8387C">
        <w:rPr>
          <w:rFonts w:ascii="Times New Roman" w:hAnsi="Times New Roman"/>
          <w:sz w:val="24"/>
          <w:szCs w:val="24"/>
        </w:rPr>
        <w:t xml:space="preserve"> % of </w:t>
      </w:r>
      <w:r w:rsidR="00FA7FCA">
        <w:rPr>
          <w:rFonts w:ascii="Times New Roman" w:hAnsi="Times New Roman"/>
          <w:sz w:val="24"/>
          <w:szCs w:val="24"/>
        </w:rPr>
        <w:t xml:space="preserve">the </w:t>
      </w:r>
      <w:r w:rsidR="00F8387C" w:rsidRPr="00F8387C">
        <w:rPr>
          <w:rFonts w:ascii="Times New Roman" w:hAnsi="Times New Roman"/>
          <w:sz w:val="24"/>
          <w:szCs w:val="24"/>
        </w:rPr>
        <w:t>Gross Domestic Product (GDP)</w:t>
      </w:r>
      <w:r>
        <w:rPr>
          <w:rFonts w:ascii="Times New Roman" w:hAnsi="Times New Roman"/>
          <w:sz w:val="24"/>
          <w:szCs w:val="24"/>
        </w:rPr>
        <w:t>.</w:t>
      </w:r>
      <w:r w:rsidR="00F8387C" w:rsidRPr="00F8387C">
        <w:rPr>
          <w:rFonts w:ascii="Times New Roman" w:hAnsi="Times New Roman"/>
          <w:sz w:val="24"/>
          <w:szCs w:val="24"/>
        </w:rPr>
        <w:t xml:space="preserve"> </w:t>
      </w:r>
    </w:p>
    <w:p w14:paraId="7C45BE45" w14:textId="77777777" w:rsidR="006F3319" w:rsidRDefault="006F3319" w:rsidP="00D2707B">
      <w:pPr>
        <w:jc w:val="both"/>
      </w:pPr>
    </w:p>
    <w:p w14:paraId="1AA15EFF" w14:textId="251118AE" w:rsidR="0022182D" w:rsidRDefault="0022182D" w:rsidP="0022182D">
      <w:pPr>
        <w:jc w:val="both"/>
        <w:rPr>
          <w:rFonts w:ascii="Times New Roman" w:hAnsi="Times New Roman"/>
          <w:b/>
          <w:sz w:val="24"/>
          <w:szCs w:val="24"/>
        </w:rPr>
      </w:pPr>
      <w:r w:rsidRPr="00AB2255">
        <w:rPr>
          <w:rFonts w:ascii="Times New Roman" w:hAnsi="Times New Roman"/>
          <w:b/>
          <w:sz w:val="24"/>
          <w:szCs w:val="24"/>
        </w:rPr>
        <w:t xml:space="preserve">Tourism Direct Gross Value Added (TDGVA) by </w:t>
      </w:r>
      <w:r w:rsidR="00FA7FCA">
        <w:rPr>
          <w:rFonts w:ascii="Times New Roman" w:hAnsi="Times New Roman"/>
          <w:b/>
          <w:sz w:val="24"/>
          <w:szCs w:val="24"/>
        </w:rPr>
        <w:t>Industry</w:t>
      </w:r>
      <w:r w:rsidRPr="00AB2255">
        <w:rPr>
          <w:rFonts w:ascii="Times New Roman" w:hAnsi="Times New Roman"/>
          <w:b/>
          <w:sz w:val="24"/>
          <w:szCs w:val="24"/>
        </w:rPr>
        <w:t>, 201</w:t>
      </w:r>
      <w:r>
        <w:rPr>
          <w:rFonts w:ascii="Times New Roman" w:hAnsi="Times New Roman"/>
          <w:b/>
          <w:sz w:val="24"/>
          <w:szCs w:val="24"/>
        </w:rPr>
        <w:t>8</w:t>
      </w:r>
    </w:p>
    <w:p w14:paraId="3BC60EEA" w14:textId="35BD7134" w:rsidR="0021009F" w:rsidRPr="00B87F0B" w:rsidRDefault="0021009F" w:rsidP="0021009F">
      <w:pPr>
        <w:pStyle w:val="ListParagraph"/>
        <w:numPr>
          <w:ilvl w:val="0"/>
          <w:numId w:val="5"/>
        </w:numPr>
        <w:spacing w:after="0"/>
        <w:jc w:val="both"/>
        <w:rPr>
          <w:rFonts w:ascii="Times New Roman" w:hAnsi="Times New Roman"/>
          <w:b/>
        </w:rPr>
      </w:pPr>
      <w:r w:rsidRPr="00E519A9">
        <w:rPr>
          <w:rFonts w:ascii="Times New Roman" w:hAnsi="Times New Roman"/>
          <w:sz w:val="24"/>
          <w:szCs w:val="24"/>
        </w:rPr>
        <w:t xml:space="preserve">Around </w:t>
      </w:r>
      <w:r w:rsidR="0066305A">
        <w:rPr>
          <w:rFonts w:ascii="Times New Roman" w:hAnsi="Times New Roman"/>
          <w:sz w:val="24"/>
          <w:szCs w:val="24"/>
        </w:rPr>
        <w:t>61</w:t>
      </w:r>
      <w:r w:rsidRPr="00E519A9">
        <w:rPr>
          <w:rFonts w:ascii="Times New Roman" w:hAnsi="Times New Roman"/>
          <w:sz w:val="24"/>
          <w:szCs w:val="24"/>
        </w:rPr>
        <w:t xml:space="preserve">% of the total TDGVA was generated by industries providing “Accommodation services”, </w:t>
      </w:r>
      <w:r w:rsidR="00467608" w:rsidRPr="002F0570">
        <w:rPr>
          <w:rFonts w:ascii="Times New Roman" w:hAnsi="Times New Roman"/>
          <w:sz w:val="24"/>
          <w:szCs w:val="24"/>
        </w:rPr>
        <w:t>8</w:t>
      </w:r>
      <w:r w:rsidR="008A5B33" w:rsidRPr="002F0570">
        <w:rPr>
          <w:rFonts w:ascii="Times New Roman" w:hAnsi="Times New Roman"/>
          <w:sz w:val="24"/>
          <w:szCs w:val="24"/>
        </w:rPr>
        <w:t>%</w:t>
      </w:r>
      <w:r w:rsidR="008A5B33">
        <w:rPr>
          <w:rFonts w:ascii="Times New Roman" w:hAnsi="Times New Roman"/>
          <w:sz w:val="24"/>
          <w:szCs w:val="24"/>
        </w:rPr>
        <w:t xml:space="preserve"> by “Sports, recreational and cultural </w:t>
      </w:r>
      <w:r w:rsidR="00467608">
        <w:rPr>
          <w:rFonts w:ascii="Times New Roman" w:hAnsi="Times New Roman"/>
          <w:sz w:val="24"/>
          <w:szCs w:val="24"/>
        </w:rPr>
        <w:t>industries</w:t>
      </w:r>
      <w:r w:rsidR="008A5B33">
        <w:rPr>
          <w:rFonts w:ascii="Times New Roman" w:hAnsi="Times New Roman"/>
          <w:sz w:val="24"/>
          <w:szCs w:val="24"/>
        </w:rPr>
        <w:t xml:space="preserve"> and others”, </w:t>
      </w:r>
      <w:r w:rsidRPr="00E519A9">
        <w:rPr>
          <w:rFonts w:ascii="Times New Roman" w:hAnsi="Times New Roman"/>
          <w:sz w:val="24"/>
          <w:szCs w:val="24"/>
        </w:rPr>
        <w:t>1</w:t>
      </w:r>
      <w:r w:rsidR="0066305A">
        <w:rPr>
          <w:rFonts w:ascii="Times New Roman" w:hAnsi="Times New Roman"/>
          <w:sz w:val="24"/>
          <w:szCs w:val="24"/>
        </w:rPr>
        <w:t>0</w:t>
      </w:r>
      <w:r w:rsidRPr="00E519A9">
        <w:rPr>
          <w:rFonts w:ascii="Times New Roman" w:hAnsi="Times New Roman"/>
          <w:sz w:val="24"/>
          <w:szCs w:val="24"/>
        </w:rPr>
        <w:t>% by “Road, air</w:t>
      </w:r>
      <w:r w:rsidR="00467608">
        <w:rPr>
          <w:rFonts w:ascii="Times New Roman" w:hAnsi="Times New Roman"/>
          <w:sz w:val="24"/>
          <w:szCs w:val="24"/>
        </w:rPr>
        <w:t>,</w:t>
      </w:r>
      <w:r w:rsidRPr="00E519A9">
        <w:rPr>
          <w:rFonts w:ascii="Times New Roman" w:hAnsi="Times New Roman"/>
          <w:sz w:val="24"/>
          <w:szCs w:val="24"/>
        </w:rPr>
        <w:t xml:space="preserve"> and sea passenger transport services”</w:t>
      </w:r>
      <w:r w:rsidR="008A5B33">
        <w:rPr>
          <w:rFonts w:ascii="Times New Roman" w:hAnsi="Times New Roman"/>
          <w:sz w:val="24"/>
          <w:szCs w:val="24"/>
        </w:rPr>
        <w:t>,</w:t>
      </w:r>
      <w:r w:rsidR="00706E9F">
        <w:rPr>
          <w:rFonts w:ascii="Times New Roman" w:hAnsi="Times New Roman"/>
          <w:sz w:val="24"/>
          <w:szCs w:val="24"/>
        </w:rPr>
        <w:t xml:space="preserve"> 8%</w:t>
      </w:r>
      <w:r w:rsidR="004226B7">
        <w:rPr>
          <w:rFonts w:ascii="Times New Roman" w:hAnsi="Times New Roman"/>
          <w:sz w:val="24"/>
          <w:szCs w:val="24"/>
        </w:rPr>
        <w:t xml:space="preserve"> </w:t>
      </w:r>
      <w:r w:rsidR="00706E9F">
        <w:rPr>
          <w:rFonts w:ascii="Times New Roman" w:hAnsi="Times New Roman"/>
          <w:sz w:val="24"/>
          <w:szCs w:val="24"/>
        </w:rPr>
        <w:t>by “Travel agencies and other reservation services”,</w:t>
      </w:r>
      <w:r w:rsidR="000F32F3">
        <w:rPr>
          <w:rFonts w:ascii="Times New Roman" w:hAnsi="Times New Roman"/>
          <w:sz w:val="24"/>
          <w:szCs w:val="24"/>
        </w:rPr>
        <w:t xml:space="preserve"> </w:t>
      </w:r>
      <w:r w:rsidR="0066305A">
        <w:rPr>
          <w:rFonts w:ascii="Times New Roman" w:hAnsi="Times New Roman"/>
          <w:sz w:val="24"/>
          <w:szCs w:val="24"/>
        </w:rPr>
        <w:t>5</w:t>
      </w:r>
      <w:r w:rsidR="008A5B33">
        <w:rPr>
          <w:rFonts w:ascii="Times New Roman" w:hAnsi="Times New Roman"/>
          <w:sz w:val="24"/>
          <w:szCs w:val="24"/>
        </w:rPr>
        <w:t xml:space="preserve">% by “Retail trade of </w:t>
      </w:r>
      <w:r w:rsidR="00467608">
        <w:rPr>
          <w:rFonts w:ascii="Times New Roman" w:hAnsi="Times New Roman"/>
          <w:sz w:val="24"/>
          <w:szCs w:val="24"/>
        </w:rPr>
        <w:t>country-specific</w:t>
      </w:r>
      <w:r w:rsidR="008A5B33">
        <w:rPr>
          <w:rFonts w:ascii="Times New Roman" w:hAnsi="Times New Roman"/>
          <w:sz w:val="24"/>
          <w:szCs w:val="24"/>
        </w:rPr>
        <w:t xml:space="preserve"> goods”</w:t>
      </w:r>
      <w:r>
        <w:rPr>
          <w:rFonts w:ascii="Times New Roman" w:hAnsi="Times New Roman"/>
          <w:sz w:val="24"/>
          <w:szCs w:val="24"/>
        </w:rPr>
        <w:t xml:space="preserve"> and </w:t>
      </w:r>
      <w:r w:rsidR="0066305A">
        <w:rPr>
          <w:rFonts w:ascii="Times New Roman" w:hAnsi="Times New Roman"/>
          <w:sz w:val="24"/>
          <w:szCs w:val="24"/>
        </w:rPr>
        <w:t>8</w:t>
      </w:r>
      <w:r w:rsidRPr="00E519A9">
        <w:rPr>
          <w:rFonts w:ascii="Times New Roman" w:hAnsi="Times New Roman"/>
          <w:sz w:val="24"/>
          <w:szCs w:val="24"/>
        </w:rPr>
        <w:t xml:space="preserve">% by “Food </w:t>
      </w:r>
      <w:r>
        <w:rPr>
          <w:rFonts w:ascii="Times New Roman" w:hAnsi="Times New Roman"/>
          <w:sz w:val="24"/>
          <w:szCs w:val="24"/>
        </w:rPr>
        <w:t>and beverage serving industry”.</w:t>
      </w:r>
    </w:p>
    <w:p w14:paraId="3836FC47" w14:textId="77777777" w:rsidR="0021009F" w:rsidRPr="00AB2255" w:rsidRDefault="0021009F" w:rsidP="0022182D">
      <w:pPr>
        <w:jc w:val="both"/>
        <w:rPr>
          <w:rFonts w:ascii="Times New Roman" w:hAnsi="Times New Roman"/>
          <w:b/>
          <w:sz w:val="24"/>
          <w:szCs w:val="24"/>
        </w:rPr>
      </w:pPr>
    </w:p>
    <w:p w14:paraId="3078FE65" w14:textId="0B86EAAC" w:rsidR="0022182D" w:rsidRDefault="0022182D" w:rsidP="0022182D">
      <w:pPr>
        <w:spacing w:after="0"/>
        <w:jc w:val="both"/>
        <w:rPr>
          <w:rFonts w:ascii="Times New Roman" w:hAnsi="Times New Roman"/>
          <w:b/>
        </w:rPr>
      </w:pPr>
      <w:r w:rsidRPr="008D6CF2">
        <w:rPr>
          <w:rFonts w:ascii="Times New Roman" w:hAnsi="Times New Roman"/>
          <w:b/>
        </w:rPr>
        <w:t xml:space="preserve">Chart </w:t>
      </w:r>
      <w:r>
        <w:rPr>
          <w:rFonts w:ascii="Times New Roman" w:hAnsi="Times New Roman"/>
          <w:b/>
        </w:rPr>
        <w:t>2</w:t>
      </w:r>
      <w:r w:rsidRPr="008D6CF2">
        <w:rPr>
          <w:rFonts w:ascii="Times New Roman" w:hAnsi="Times New Roman"/>
          <w:b/>
        </w:rPr>
        <w:t>: Percentage distribution of Tourism Direct Gross Value Added by industry, 2018</w:t>
      </w:r>
    </w:p>
    <w:p w14:paraId="51E59031" w14:textId="6ED97B1E" w:rsidR="00D51069" w:rsidRDefault="00D51069" w:rsidP="0022182D">
      <w:pPr>
        <w:spacing w:after="0"/>
        <w:jc w:val="both"/>
        <w:rPr>
          <w:rFonts w:ascii="Times New Roman" w:hAnsi="Times New Roman"/>
          <w:b/>
        </w:rPr>
      </w:pPr>
    </w:p>
    <w:p w14:paraId="28552D81" w14:textId="430FD0FF" w:rsidR="00D51069" w:rsidRDefault="00D51069" w:rsidP="0022182D">
      <w:pPr>
        <w:spacing w:after="0"/>
        <w:jc w:val="both"/>
        <w:rPr>
          <w:rFonts w:ascii="Times New Roman" w:hAnsi="Times New Roman"/>
          <w:b/>
        </w:rPr>
      </w:pPr>
      <w:r>
        <w:rPr>
          <w:noProof/>
        </w:rPr>
        <w:drawing>
          <wp:inline distT="0" distB="0" distL="0" distR="0" wp14:anchorId="50D19EE7" wp14:editId="1176230F">
            <wp:extent cx="5913755" cy="4381500"/>
            <wp:effectExtent l="0" t="0" r="10795" b="0"/>
            <wp:docPr id="488351" name="Chart 488351">
              <a:extLst xmlns:a="http://schemas.openxmlformats.org/drawingml/2006/main">
                <a:ext uri="{FF2B5EF4-FFF2-40B4-BE49-F238E27FC236}">
                  <a16:creationId xmlns:a16="http://schemas.microsoft.com/office/drawing/2014/main" id="{4DDF3E61-ABAA-481D-9293-9921AF43F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4B812E2" w14:textId="77777777" w:rsidR="00126ACD" w:rsidRPr="007537AE" w:rsidRDefault="00126ACD" w:rsidP="00126ACD">
      <w:pPr>
        <w:spacing w:line="360" w:lineRule="auto"/>
        <w:jc w:val="both"/>
        <w:rPr>
          <w:rFonts w:ascii="Times New Roman" w:hAnsi="Times New Roman"/>
          <w:b/>
          <w:sz w:val="24"/>
          <w:szCs w:val="24"/>
        </w:rPr>
      </w:pPr>
      <w:r w:rsidRPr="004A46A8">
        <w:rPr>
          <w:rFonts w:ascii="Times New Roman" w:hAnsi="Times New Roman"/>
          <w:i/>
          <w:sz w:val="20"/>
          <w:szCs w:val="20"/>
        </w:rPr>
        <w:t>Source: 201</w:t>
      </w:r>
      <w:r>
        <w:rPr>
          <w:rFonts w:ascii="Times New Roman" w:hAnsi="Times New Roman"/>
          <w:i/>
          <w:sz w:val="20"/>
          <w:szCs w:val="20"/>
        </w:rPr>
        <w:t xml:space="preserve">8 Survey of Inbound, </w:t>
      </w:r>
      <w:r w:rsidRPr="004A46A8">
        <w:rPr>
          <w:rFonts w:ascii="Times New Roman" w:hAnsi="Times New Roman"/>
          <w:i/>
          <w:sz w:val="20"/>
          <w:szCs w:val="20"/>
        </w:rPr>
        <w:t>Outbound</w:t>
      </w:r>
      <w:r>
        <w:rPr>
          <w:rFonts w:ascii="Times New Roman" w:hAnsi="Times New Roman"/>
          <w:i/>
          <w:sz w:val="20"/>
          <w:szCs w:val="20"/>
        </w:rPr>
        <w:t>,</w:t>
      </w:r>
      <w:r w:rsidRPr="004A46A8">
        <w:rPr>
          <w:rFonts w:ascii="Times New Roman" w:hAnsi="Times New Roman"/>
          <w:i/>
          <w:sz w:val="20"/>
          <w:szCs w:val="20"/>
        </w:rPr>
        <w:t xml:space="preserve"> </w:t>
      </w:r>
      <w:r>
        <w:rPr>
          <w:rFonts w:ascii="Times New Roman" w:hAnsi="Times New Roman"/>
          <w:i/>
          <w:sz w:val="20"/>
          <w:szCs w:val="20"/>
        </w:rPr>
        <w:t xml:space="preserve">and Domestic </w:t>
      </w:r>
      <w:r w:rsidRPr="004A46A8">
        <w:rPr>
          <w:rFonts w:ascii="Times New Roman" w:hAnsi="Times New Roman"/>
          <w:i/>
          <w:sz w:val="20"/>
          <w:szCs w:val="20"/>
        </w:rPr>
        <w:t xml:space="preserve">Tourism </w:t>
      </w:r>
    </w:p>
    <w:p w14:paraId="62B363D4" w14:textId="77777777" w:rsidR="00B14A38" w:rsidRPr="00AB2255" w:rsidRDefault="00B14A38" w:rsidP="00B14A38">
      <w:pPr>
        <w:jc w:val="both"/>
        <w:rPr>
          <w:rFonts w:ascii="Times New Roman" w:hAnsi="Times New Roman"/>
          <w:b/>
          <w:sz w:val="24"/>
          <w:szCs w:val="24"/>
        </w:rPr>
      </w:pPr>
      <w:r w:rsidRPr="00AB2255">
        <w:rPr>
          <w:rFonts w:ascii="Times New Roman" w:hAnsi="Times New Roman"/>
          <w:b/>
          <w:sz w:val="24"/>
          <w:szCs w:val="24"/>
        </w:rPr>
        <w:t>Composition of tourism expenditure, 201</w:t>
      </w:r>
      <w:r>
        <w:rPr>
          <w:rFonts w:ascii="Times New Roman" w:hAnsi="Times New Roman"/>
          <w:b/>
          <w:sz w:val="24"/>
          <w:szCs w:val="24"/>
        </w:rPr>
        <w:t>8</w:t>
      </w:r>
    </w:p>
    <w:p w14:paraId="1709B58D" w14:textId="56D19207" w:rsidR="00B14A38" w:rsidRDefault="00C51E85" w:rsidP="00B14A38">
      <w:pPr>
        <w:pStyle w:val="ListParagraph"/>
        <w:numPr>
          <w:ilvl w:val="0"/>
          <w:numId w:val="5"/>
        </w:numPr>
        <w:jc w:val="both"/>
        <w:rPr>
          <w:rFonts w:ascii="Times New Roman" w:hAnsi="Times New Roman"/>
          <w:sz w:val="24"/>
          <w:szCs w:val="24"/>
        </w:rPr>
      </w:pPr>
      <w:r>
        <w:rPr>
          <w:rFonts w:ascii="Times New Roman" w:hAnsi="Times New Roman"/>
          <w:sz w:val="24"/>
          <w:szCs w:val="24"/>
        </w:rPr>
        <w:t>As given in Table A, i</w:t>
      </w:r>
      <w:r w:rsidR="00B14A38" w:rsidRPr="00AB2255">
        <w:rPr>
          <w:rFonts w:ascii="Times New Roman" w:hAnsi="Times New Roman"/>
          <w:sz w:val="24"/>
          <w:szCs w:val="24"/>
        </w:rPr>
        <w:t>n 201</w:t>
      </w:r>
      <w:r w:rsidR="00B14A38">
        <w:rPr>
          <w:rFonts w:ascii="Times New Roman" w:hAnsi="Times New Roman"/>
          <w:sz w:val="24"/>
          <w:szCs w:val="24"/>
        </w:rPr>
        <w:t>8</w:t>
      </w:r>
      <w:r w:rsidR="00B14A38" w:rsidRPr="00AB2255">
        <w:rPr>
          <w:rFonts w:ascii="Times New Roman" w:hAnsi="Times New Roman"/>
          <w:sz w:val="24"/>
          <w:szCs w:val="24"/>
        </w:rPr>
        <w:t xml:space="preserve">, around </w:t>
      </w:r>
      <w:r w:rsidR="0047509C" w:rsidRPr="00CB6671">
        <w:rPr>
          <w:rFonts w:ascii="Times New Roman" w:hAnsi="Times New Roman"/>
          <w:sz w:val="24"/>
          <w:szCs w:val="24"/>
        </w:rPr>
        <w:t>68</w:t>
      </w:r>
      <w:r w:rsidR="00B14A38" w:rsidRPr="00CB6671">
        <w:rPr>
          <w:rFonts w:ascii="Times New Roman" w:hAnsi="Times New Roman"/>
          <w:sz w:val="24"/>
          <w:szCs w:val="24"/>
        </w:rPr>
        <w:t>%</w:t>
      </w:r>
      <w:r w:rsidR="00B14A38" w:rsidRPr="00AB2255">
        <w:rPr>
          <w:rFonts w:ascii="Times New Roman" w:hAnsi="Times New Roman"/>
          <w:sz w:val="24"/>
          <w:szCs w:val="24"/>
        </w:rPr>
        <w:t xml:space="preserve"> of </w:t>
      </w:r>
      <w:r w:rsidR="0087765A">
        <w:rPr>
          <w:rFonts w:ascii="Times New Roman" w:hAnsi="Times New Roman"/>
          <w:sz w:val="24"/>
          <w:szCs w:val="24"/>
        </w:rPr>
        <w:t xml:space="preserve">the </w:t>
      </w:r>
      <w:r w:rsidR="00B14A38" w:rsidRPr="00AB2255">
        <w:rPr>
          <w:rFonts w:ascii="Times New Roman" w:hAnsi="Times New Roman"/>
          <w:sz w:val="24"/>
          <w:szCs w:val="24"/>
        </w:rPr>
        <w:t xml:space="preserve">tourism expenditure of non-resident visitors within the country (inbound tourism) </w:t>
      </w:r>
      <w:r w:rsidR="0087765A">
        <w:rPr>
          <w:rFonts w:ascii="Times New Roman" w:hAnsi="Times New Roman"/>
          <w:sz w:val="24"/>
          <w:szCs w:val="24"/>
        </w:rPr>
        <w:t>was</w:t>
      </w:r>
      <w:r w:rsidR="00B14A38" w:rsidRPr="00AB2255">
        <w:rPr>
          <w:rFonts w:ascii="Times New Roman" w:hAnsi="Times New Roman"/>
          <w:sz w:val="24"/>
          <w:szCs w:val="24"/>
        </w:rPr>
        <w:t xml:space="preserve"> on accommodation services (</w:t>
      </w:r>
      <w:r w:rsidR="0047509C">
        <w:rPr>
          <w:rFonts w:ascii="Times New Roman" w:hAnsi="Times New Roman"/>
          <w:sz w:val="24"/>
          <w:szCs w:val="24"/>
        </w:rPr>
        <w:t>55.1</w:t>
      </w:r>
      <w:r w:rsidR="00B14A38" w:rsidRPr="00AB2255">
        <w:rPr>
          <w:rFonts w:ascii="Times New Roman" w:hAnsi="Times New Roman"/>
          <w:sz w:val="24"/>
          <w:szCs w:val="24"/>
        </w:rPr>
        <w:t>%) and air passenger transport (</w:t>
      </w:r>
      <w:r w:rsidR="00D82DE8">
        <w:rPr>
          <w:rFonts w:ascii="Times New Roman" w:hAnsi="Times New Roman"/>
          <w:sz w:val="24"/>
          <w:szCs w:val="24"/>
        </w:rPr>
        <w:t>12.5</w:t>
      </w:r>
      <w:r w:rsidR="00B14A38" w:rsidRPr="00AB2255">
        <w:rPr>
          <w:rFonts w:ascii="Times New Roman" w:hAnsi="Times New Roman"/>
          <w:sz w:val="24"/>
          <w:szCs w:val="24"/>
        </w:rPr>
        <w:t>%).</w:t>
      </w:r>
    </w:p>
    <w:p w14:paraId="6A86AD86" w14:textId="77777777" w:rsidR="00B14A38" w:rsidRPr="00AB2255" w:rsidRDefault="00B14A38" w:rsidP="00B14A38">
      <w:pPr>
        <w:pStyle w:val="ListParagraph"/>
        <w:ind w:left="420"/>
        <w:jc w:val="both"/>
        <w:rPr>
          <w:rFonts w:ascii="Times New Roman" w:hAnsi="Times New Roman"/>
          <w:sz w:val="24"/>
          <w:szCs w:val="24"/>
        </w:rPr>
      </w:pPr>
    </w:p>
    <w:p w14:paraId="4BBBDC93" w14:textId="1BE59B46" w:rsidR="00B14A38" w:rsidRDefault="00B14A38" w:rsidP="00B14A38">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25540F">
        <w:rPr>
          <w:rFonts w:ascii="Times New Roman" w:hAnsi="Times New Roman"/>
          <w:sz w:val="24"/>
          <w:szCs w:val="24"/>
        </w:rPr>
        <w:t>Resident visitors outside the country (outbound tourism) spent mostly on shopping (</w:t>
      </w:r>
      <w:r w:rsidR="00D82DE8">
        <w:rPr>
          <w:rFonts w:ascii="Times New Roman" w:hAnsi="Times New Roman"/>
          <w:sz w:val="24"/>
          <w:szCs w:val="24"/>
        </w:rPr>
        <w:t>35.6</w:t>
      </w:r>
      <w:r w:rsidRPr="0025540F">
        <w:rPr>
          <w:rFonts w:ascii="Times New Roman" w:hAnsi="Times New Roman"/>
          <w:sz w:val="24"/>
          <w:szCs w:val="24"/>
        </w:rPr>
        <w:t>%), accommodation services (</w:t>
      </w:r>
      <w:r w:rsidR="0047509C">
        <w:rPr>
          <w:rFonts w:ascii="Times New Roman" w:hAnsi="Times New Roman"/>
          <w:sz w:val="24"/>
          <w:szCs w:val="24"/>
        </w:rPr>
        <w:t>27.3</w:t>
      </w:r>
      <w:r w:rsidRPr="0025540F">
        <w:rPr>
          <w:rFonts w:ascii="Times New Roman" w:hAnsi="Times New Roman"/>
          <w:sz w:val="24"/>
          <w:szCs w:val="24"/>
        </w:rPr>
        <w:t>%)</w:t>
      </w:r>
      <w:r w:rsidR="00C4224B">
        <w:rPr>
          <w:rFonts w:ascii="Times New Roman" w:hAnsi="Times New Roman"/>
          <w:sz w:val="24"/>
          <w:szCs w:val="24"/>
        </w:rPr>
        <w:t>,</w:t>
      </w:r>
      <w:r w:rsidRPr="0025540F">
        <w:rPr>
          <w:rFonts w:ascii="Times New Roman" w:hAnsi="Times New Roman"/>
          <w:sz w:val="24"/>
          <w:szCs w:val="24"/>
        </w:rPr>
        <w:t xml:space="preserve"> and food and beverages (</w:t>
      </w:r>
      <w:r w:rsidR="00D82DE8">
        <w:rPr>
          <w:rFonts w:ascii="Times New Roman" w:hAnsi="Times New Roman"/>
          <w:sz w:val="24"/>
          <w:szCs w:val="24"/>
        </w:rPr>
        <w:t>12.</w:t>
      </w:r>
      <w:r w:rsidR="0047509C">
        <w:rPr>
          <w:rFonts w:ascii="Times New Roman" w:hAnsi="Times New Roman"/>
          <w:sz w:val="24"/>
          <w:szCs w:val="24"/>
        </w:rPr>
        <w:t>9</w:t>
      </w:r>
      <w:r w:rsidRPr="0025540F">
        <w:rPr>
          <w:rFonts w:ascii="Times New Roman" w:hAnsi="Times New Roman"/>
          <w:sz w:val="24"/>
          <w:szCs w:val="24"/>
        </w:rPr>
        <w:t xml:space="preserve">%), while residents spent mostly on </w:t>
      </w:r>
      <w:r>
        <w:rPr>
          <w:rFonts w:ascii="Times New Roman" w:hAnsi="Times New Roman"/>
          <w:sz w:val="24"/>
          <w:szCs w:val="24"/>
        </w:rPr>
        <w:t>air/sea transport (</w:t>
      </w:r>
      <w:r w:rsidR="0047509C">
        <w:rPr>
          <w:rFonts w:ascii="Times New Roman" w:hAnsi="Times New Roman"/>
          <w:sz w:val="24"/>
          <w:szCs w:val="24"/>
        </w:rPr>
        <w:t>51.0</w:t>
      </w:r>
      <w:r w:rsidRPr="0025540F">
        <w:rPr>
          <w:rFonts w:ascii="Times New Roman" w:hAnsi="Times New Roman"/>
          <w:sz w:val="24"/>
          <w:szCs w:val="24"/>
        </w:rPr>
        <w:t>%) within the country either as part of a domestic tourism trip or part of an outbound tourism trip.</w:t>
      </w:r>
    </w:p>
    <w:p w14:paraId="25C79CD7" w14:textId="17CCBC69" w:rsidR="00321010" w:rsidRDefault="00321010" w:rsidP="00321010">
      <w:pPr>
        <w:jc w:val="both"/>
        <w:rPr>
          <w:rFonts w:ascii="Times New Roman" w:hAnsi="Times New Roman"/>
          <w:b/>
          <w:sz w:val="24"/>
          <w:szCs w:val="24"/>
        </w:rPr>
      </w:pPr>
      <w:r w:rsidRPr="00AB2255">
        <w:rPr>
          <w:rFonts w:ascii="Times New Roman" w:hAnsi="Times New Roman"/>
          <w:b/>
          <w:sz w:val="24"/>
          <w:szCs w:val="24"/>
        </w:rPr>
        <w:lastRenderedPageBreak/>
        <w:t xml:space="preserve">Table </w:t>
      </w:r>
      <w:r w:rsidR="007425D9">
        <w:rPr>
          <w:rFonts w:ascii="Times New Roman" w:hAnsi="Times New Roman"/>
          <w:b/>
          <w:sz w:val="24"/>
          <w:szCs w:val="24"/>
        </w:rPr>
        <w:t>A</w:t>
      </w:r>
      <w:r w:rsidRPr="00AB2255">
        <w:rPr>
          <w:rFonts w:ascii="Times New Roman" w:hAnsi="Times New Roman"/>
          <w:b/>
          <w:sz w:val="24"/>
          <w:szCs w:val="24"/>
        </w:rPr>
        <w:t>: Distribution of tourism expenditure by product and category of tourists, 201</w:t>
      </w:r>
      <w:r w:rsidR="007D6B20">
        <w:rPr>
          <w:rFonts w:ascii="Times New Roman" w:hAnsi="Times New Roman"/>
          <w:b/>
          <w:sz w:val="24"/>
          <w:szCs w:val="24"/>
        </w:rPr>
        <w:t>8</w:t>
      </w:r>
    </w:p>
    <w:p w14:paraId="30B413DC" w14:textId="47D87E3E" w:rsidR="0074393E" w:rsidRDefault="0074393E" w:rsidP="00321010">
      <w:pPr>
        <w:jc w:val="both"/>
        <w:rPr>
          <w:rFonts w:ascii="Times New Roman" w:hAnsi="Times New Roman"/>
          <w:b/>
          <w:sz w:val="24"/>
          <w:szCs w:val="24"/>
        </w:rPr>
      </w:pPr>
      <w:r w:rsidRPr="0074393E">
        <w:rPr>
          <w:noProof/>
        </w:rPr>
        <w:drawing>
          <wp:inline distT="0" distB="0" distL="0" distR="0" wp14:anchorId="36912851" wp14:editId="11F066D2">
            <wp:extent cx="5933440" cy="3714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2815" cy="3720619"/>
                    </a:xfrm>
                    <a:prstGeom prst="rect">
                      <a:avLst/>
                    </a:prstGeom>
                    <a:noFill/>
                    <a:ln>
                      <a:noFill/>
                    </a:ln>
                  </pic:spPr>
                </pic:pic>
              </a:graphicData>
            </a:graphic>
          </wp:inline>
        </w:drawing>
      </w:r>
    </w:p>
    <w:p w14:paraId="4F34F8A9" w14:textId="5DB69B9B" w:rsidR="007537AE" w:rsidRPr="007537AE" w:rsidRDefault="007537AE" w:rsidP="007537AE">
      <w:pPr>
        <w:spacing w:line="360" w:lineRule="auto"/>
        <w:jc w:val="both"/>
        <w:rPr>
          <w:rFonts w:ascii="Times New Roman" w:hAnsi="Times New Roman"/>
          <w:b/>
          <w:sz w:val="24"/>
          <w:szCs w:val="24"/>
        </w:rPr>
      </w:pPr>
      <w:r w:rsidRPr="004A46A8">
        <w:rPr>
          <w:rFonts w:ascii="Times New Roman" w:hAnsi="Times New Roman"/>
          <w:i/>
          <w:sz w:val="20"/>
          <w:szCs w:val="20"/>
        </w:rPr>
        <w:t>Source: 201</w:t>
      </w:r>
      <w:r w:rsidR="004E35D1">
        <w:rPr>
          <w:rFonts w:ascii="Times New Roman" w:hAnsi="Times New Roman"/>
          <w:i/>
          <w:sz w:val="20"/>
          <w:szCs w:val="20"/>
        </w:rPr>
        <w:t xml:space="preserve">8 Survey of Inbound, </w:t>
      </w:r>
      <w:r w:rsidRPr="004A46A8">
        <w:rPr>
          <w:rFonts w:ascii="Times New Roman" w:hAnsi="Times New Roman"/>
          <w:i/>
          <w:sz w:val="20"/>
          <w:szCs w:val="20"/>
        </w:rPr>
        <w:t>Outbound</w:t>
      </w:r>
      <w:r w:rsidR="009526B3">
        <w:rPr>
          <w:rFonts w:ascii="Times New Roman" w:hAnsi="Times New Roman"/>
          <w:i/>
          <w:sz w:val="20"/>
          <w:szCs w:val="20"/>
        </w:rPr>
        <w:t>,</w:t>
      </w:r>
      <w:r w:rsidRPr="004A46A8">
        <w:rPr>
          <w:rFonts w:ascii="Times New Roman" w:hAnsi="Times New Roman"/>
          <w:i/>
          <w:sz w:val="20"/>
          <w:szCs w:val="20"/>
        </w:rPr>
        <w:t xml:space="preserve"> </w:t>
      </w:r>
      <w:r w:rsidR="004E35D1">
        <w:rPr>
          <w:rFonts w:ascii="Times New Roman" w:hAnsi="Times New Roman"/>
          <w:i/>
          <w:sz w:val="20"/>
          <w:szCs w:val="20"/>
        </w:rPr>
        <w:t xml:space="preserve">and Domestic </w:t>
      </w:r>
      <w:r w:rsidRPr="004A46A8">
        <w:rPr>
          <w:rFonts w:ascii="Times New Roman" w:hAnsi="Times New Roman"/>
          <w:i/>
          <w:sz w:val="20"/>
          <w:szCs w:val="20"/>
        </w:rPr>
        <w:t xml:space="preserve">Tourism </w:t>
      </w:r>
    </w:p>
    <w:p w14:paraId="79F43690" w14:textId="77777777" w:rsidR="00FB14CA" w:rsidRPr="00AB2255" w:rsidRDefault="00FB14CA" w:rsidP="00FB14CA">
      <w:pPr>
        <w:jc w:val="both"/>
        <w:rPr>
          <w:rFonts w:ascii="Times New Roman" w:hAnsi="Times New Roman"/>
          <w:b/>
          <w:sz w:val="24"/>
          <w:szCs w:val="24"/>
        </w:rPr>
      </w:pPr>
      <w:r w:rsidRPr="00AB2255">
        <w:rPr>
          <w:rFonts w:ascii="Times New Roman" w:hAnsi="Times New Roman"/>
          <w:b/>
          <w:sz w:val="24"/>
          <w:szCs w:val="24"/>
        </w:rPr>
        <w:t xml:space="preserve">International trade in tourism </w:t>
      </w:r>
    </w:p>
    <w:p w14:paraId="28DE398F" w14:textId="71915167" w:rsidR="00FB14CA" w:rsidRPr="0014329A" w:rsidRDefault="00FB14CA" w:rsidP="007D6B20">
      <w:pPr>
        <w:pStyle w:val="ListParagraph"/>
        <w:numPr>
          <w:ilvl w:val="0"/>
          <w:numId w:val="5"/>
        </w:numPr>
        <w:spacing w:after="0"/>
        <w:jc w:val="both"/>
        <w:rPr>
          <w:rFonts w:ascii="Times New Roman" w:hAnsi="Times New Roman"/>
          <w:sz w:val="24"/>
          <w:szCs w:val="24"/>
        </w:rPr>
      </w:pPr>
      <w:r w:rsidRPr="0014329A">
        <w:rPr>
          <w:rFonts w:ascii="Times New Roman" w:hAnsi="Times New Roman"/>
          <w:sz w:val="24"/>
          <w:szCs w:val="24"/>
        </w:rPr>
        <w:t>Exports of tourism goods and services comprise</w:t>
      </w:r>
      <w:r w:rsidR="005C5B5F">
        <w:rPr>
          <w:rFonts w:ascii="Times New Roman" w:hAnsi="Times New Roman"/>
          <w:sz w:val="24"/>
          <w:szCs w:val="24"/>
        </w:rPr>
        <w:t>d</w:t>
      </w:r>
      <w:r w:rsidRPr="0014329A">
        <w:rPr>
          <w:rFonts w:ascii="Times New Roman" w:hAnsi="Times New Roman"/>
          <w:sz w:val="24"/>
          <w:szCs w:val="24"/>
        </w:rPr>
        <w:t xml:space="preserve"> locally produced goods and services purchased by non-resident visitors in the country (inbound tourism expenditure). Table </w:t>
      </w:r>
      <w:r w:rsidR="00A14137">
        <w:rPr>
          <w:rFonts w:ascii="Times New Roman" w:hAnsi="Times New Roman"/>
          <w:sz w:val="24"/>
          <w:szCs w:val="24"/>
        </w:rPr>
        <w:t>B</w:t>
      </w:r>
      <w:r w:rsidRPr="0014329A">
        <w:rPr>
          <w:rFonts w:ascii="Times New Roman" w:hAnsi="Times New Roman"/>
          <w:sz w:val="24"/>
          <w:szCs w:val="24"/>
        </w:rPr>
        <w:t xml:space="preserve"> and Chart 3 compare revenue from exports of tourism goods and services with that of exports of export-oriented enterprises and sugar over the period </w:t>
      </w:r>
      <w:r w:rsidR="0047509C">
        <w:rPr>
          <w:rFonts w:ascii="Times New Roman" w:hAnsi="Times New Roman"/>
          <w:sz w:val="24"/>
          <w:szCs w:val="24"/>
        </w:rPr>
        <w:t>2018</w:t>
      </w:r>
      <w:r w:rsidRPr="0014329A">
        <w:rPr>
          <w:rFonts w:ascii="Times New Roman" w:hAnsi="Times New Roman"/>
          <w:sz w:val="24"/>
          <w:szCs w:val="24"/>
        </w:rPr>
        <w:t xml:space="preserve"> to</w:t>
      </w:r>
      <w:r w:rsidR="007D6B20">
        <w:rPr>
          <w:rFonts w:ascii="Times New Roman" w:hAnsi="Times New Roman"/>
          <w:sz w:val="24"/>
          <w:szCs w:val="24"/>
        </w:rPr>
        <w:t xml:space="preserve"> </w:t>
      </w:r>
      <w:r w:rsidR="0047509C">
        <w:rPr>
          <w:rFonts w:ascii="Times New Roman" w:hAnsi="Times New Roman"/>
          <w:sz w:val="24"/>
          <w:szCs w:val="24"/>
        </w:rPr>
        <w:t>2022</w:t>
      </w:r>
      <w:r w:rsidRPr="0014329A">
        <w:rPr>
          <w:rFonts w:ascii="Times New Roman" w:hAnsi="Times New Roman"/>
          <w:sz w:val="24"/>
          <w:szCs w:val="24"/>
        </w:rPr>
        <w:t xml:space="preserve">. </w:t>
      </w:r>
    </w:p>
    <w:p w14:paraId="7052F78A" w14:textId="77777777" w:rsidR="00FB14CA" w:rsidRPr="00AB2255" w:rsidRDefault="00FB14CA" w:rsidP="00FB14CA">
      <w:pPr>
        <w:spacing w:after="0"/>
        <w:ind w:left="360"/>
        <w:jc w:val="both"/>
        <w:rPr>
          <w:rFonts w:ascii="Times New Roman" w:hAnsi="Times New Roman"/>
          <w:sz w:val="24"/>
          <w:szCs w:val="24"/>
        </w:rPr>
      </w:pPr>
    </w:p>
    <w:p w14:paraId="39EF6C1C" w14:textId="117F744B" w:rsidR="00FB14CA" w:rsidRPr="00AB2255" w:rsidRDefault="00FB14CA" w:rsidP="007D6B20">
      <w:pPr>
        <w:pStyle w:val="ListParagraph"/>
        <w:numPr>
          <w:ilvl w:val="0"/>
          <w:numId w:val="5"/>
        </w:numPr>
        <w:jc w:val="both"/>
        <w:rPr>
          <w:rFonts w:ascii="Times New Roman" w:hAnsi="Times New Roman"/>
          <w:sz w:val="24"/>
          <w:szCs w:val="24"/>
        </w:rPr>
      </w:pPr>
      <w:r w:rsidRPr="00AB2255">
        <w:rPr>
          <w:rFonts w:ascii="Times New Roman" w:hAnsi="Times New Roman"/>
          <w:sz w:val="24"/>
          <w:szCs w:val="24"/>
        </w:rPr>
        <w:t>Exports of tourism goods and services account</w:t>
      </w:r>
      <w:r w:rsidR="001F29EE">
        <w:rPr>
          <w:rFonts w:ascii="Times New Roman" w:hAnsi="Times New Roman"/>
          <w:sz w:val="24"/>
          <w:szCs w:val="24"/>
        </w:rPr>
        <w:t>ed</w:t>
      </w:r>
      <w:r w:rsidRPr="00AB2255">
        <w:rPr>
          <w:rFonts w:ascii="Times New Roman" w:hAnsi="Times New Roman"/>
          <w:sz w:val="24"/>
          <w:szCs w:val="24"/>
        </w:rPr>
        <w:t xml:space="preserve"> for around </w:t>
      </w:r>
      <w:r w:rsidR="006C2B45">
        <w:rPr>
          <w:rFonts w:ascii="Times New Roman" w:hAnsi="Times New Roman"/>
          <w:sz w:val="24"/>
          <w:szCs w:val="24"/>
        </w:rPr>
        <w:t>3</w:t>
      </w:r>
      <w:r w:rsidR="001F29EE">
        <w:rPr>
          <w:rFonts w:ascii="Times New Roman" w:hAnsi="Times New Roman"/>
          <w:sz w:val="24"/>
          <w:szCs w:val="24"/>
        </w:rPr>
        <w:t>2</w:t>
      </w:r>
      <w:r w:rsidRPr="00AB2255">
        <w:rPr>
          <w:rFonts w:ascii="Times New Roman" w:hAnsi="Times New Roman"/>
          <w:sz w:val="24"/>
          <w:szCs w:val="24"/>
        </w:rPr>
        <w:t>% of the country’s total exports of goods and services in 201</w:t>
      </w:r>
      <w:r w:rsidR="006C2B45">
        <w:rPr>
          <w:rFonts w:ascii="Times New Roman" w:hAnsi="Times New Roman"/>
          <w:sz w:val="24"/>
          <w:szCs w:val="24"/>
        </w:rPr>
        <w:t>8</w:t>
      </w:r>
      <w:r w:rsidRPr="00AB2255">
        <w:rPr>
          <w:rFonts w:ascii="Times New Roman" w:hAnsi="Times New Roman"/>
          <w:sz w:val="24"/>
          <w:szCs w:val="24"/>
        </w:rPr>
        <w:t>. Comparatively, manufactured goods of the export-oriented enterprises represent</w:t>
      </w:r>
      <w:r w:rsidR="00FE740A">
        <w:rPr>
          <w:rFonts w:ascii="Times New Roman" w:hAnsi="Times New Roman"/>
          <w:sz w:val="24"/>
          <w:szCs w:val="24"/>
        </w:rPr>
        <w:t>ed</w:t>
      </w:r>
      <w:r w:rsidRPr="00AB2255">
        <w:rPr>
          <w:rFonts w:ascii="Times New Roman" w:hAnsi="Times New Roman"/>
          <w:sz w:val="24"/>
          <w:szCs w:val="24"/>
        </w:rPr>
        <w:t xml:space="preserve"> around </w:t>
      </w:r>
      <w:r w:rsidR="001F29EE">
        <w:rPr>
          <w:rFonts w:ascii="Times New Roman" w:hAnsi="Times New Roman"/>
          <w:sz w:val="24"/>
          <w:szCs w:val="24"/>
        </w:rPr>
        <w:t>19</w:t>
      </w:r>
      <w:r w:rsidRPr="00AB2255">
        <w:rPr>
          <w:rFonts w:ascii="Times New Roman" w:hAnsi="Times New Roman"/>
          <w:sz w:val="24"/>
          <w:szCs w:val="24"/>
        </w:rPr>
        <w:t xml:space="preserve">% and sugar around </w:t>
      </w:r>
      <w:r w:rsidR="001F29EE">
        <w:rPr>
          <w:rFonts w:ascii="Times New Roman" w:hAnsi="Times New Roman"/>
          <w:sz w:val="24"/>
          <w:szCs w:val="24"/>
        </w:rPr>
        <w:t>2</w:t>
      </w:r>
      <w:r w:rsidRPr="00AB2255">
        <w:rPr>
          <w:rFonts w:ascii="Times New Roman" w:hAnsi="Times New Roman"/>
          <w:sz w:val="24"/>
          <w:szCs w:val="24"/>
        </w:rPr>
        <w:t>%.</w:t>
      </w:r>
    </w:p>
    <w:p w14:paraId="7D95A821" w14:textId="77777777" w:rsidR="000330FE" w:rsidRDefault="000330FE" w:rsidP="007D6B20">
      <w:pPr>
        <w:pStyle w:val="ListParagraph"/>
        <w:spacing w:after="0"/>
        <w:ind w:left="0"/>
        <w:contextualSpacing w:val="0"/>
        <w:jc w:val="both"/>
        <w:rPr>
          <w:rFonts w:ascii="Times New Roman" w:hAnsi="Times New Roman"/>
          <w:b/>
        </w:rPr>
      </w:pPr>
    </w:p>
    <w:p w14:paraId="48EA0D5A" w14:textId="13783299" w:rsidR="007D6B20" w:rsidRDefault="007D6B20" w:rsidP="007D6B20">
      <w:pPr>
        <w:pStyle w:val="ListParagraph"/>
        <w:spacing w:after="0"/>
        <w:ind w:left="0"/>
        <w:contextualSpacing w:val="0"/>
        <w:jc w:val="both"/>
        <w:rPr>
          <w:rFonts w:ascii="Times New Roman" w:hAnsi="Times New Roman"/>
          <w:b/>
        </w:rPr>
      </w:pPr>
      <w:r w:rsidRPr="002F12A6">
        <w:rPr>
          <w:rFonts w:ascii="Times New Roman" w:hAnsi="Times New Roman"/>
          <w:b/>
        </w:rPr>
        <w:t xml:space="preserve">Table </w:t>
      </w:r>
      <w:r w:rsidR="00A14137">
        <w:rPr>
          <w:rFonts w:ascii="Times New Roman" w:hAnsi="Times New Roman"/>
          <w:b/>
        </w:rPr>
        <w:t>B</w:t>
      </w:r>
      <w:r w:rsidRPr="002F12A6">
        <w:rPr>
          <w:rFonts w:ascii="Times New Roman" w:hAnsi="Times New Roman"/>
          <w:b/>
        </w:rPr>
        <w:t xml:space="preserve">: Export of tourism goods and services, manufactured goods of </w:t>
      </w:r>
      <w:r>
        <w:rPr>
          <w:rFonts w:ascii="Times New Roman" w:hAnsi="Times New Roman"/>
          <w:b/>
        </w:rPr>
        <w:t>E</w:t>
      </w:r>
      <w:r w:rsidRPr="002F12A6">
        <w:rPr>
          <w:rFonts w:ascii="Times New Roman" w:hAnsi="Times New Roman"/>
          <w:b/>
        </w:rPr>
        <w:t>xport-</w:t>
      </w:r>
      <w:r>
        <w:rPr>
          <w:rFonts w:ascii="Times New Roman" w:hAnsi="Times New Roman"/>
          <w:b/>
        </w:rPr>
        <w:t>O</w:t>
      </w:r>
      <w:r w:rsidRPr="002F12A6">
        <w:rPr>
          <w:rFonts w:ascii="Times New Roman" w:hAnsi="Times New Roman"/>
          <w:b/>
        </w:rPr>
        <w:t xml:space="preserve">riented </w:t>
      </w:r>
      <w:r>
        <w:rPr>
          <w:rFonts w:ascii="Times New Roman" w:hAnsi="Times New Roman"/>
          <w:b/>
        </w:rPr>
        <w:t>E</w:t>
      </w:r>
      <w:r w:rsidRPr="002F12A6">
        <w:rPr>
          <w:rFonts w:ascii="Times New Roman" w:hAnsi="Times New Roman"/>
          <w:b/>
        </w:rPr>
        <w:t>nterprises</w:t>
      </w:r>
      <w:r w:rsidR="0002217E">
        <w:rPr>
          <w:rFonts w:ascii="Times New Roman" w:hAnsi="Times New Roman"/>
          <w:b/>
        </w:rPr>
        <w:t>,</w:t>
      </w:r>
      <w:r w:rsidRPr="002F12A6">
        <w:rPr>
          <w:rFonts w:ascii="Times New Roman" w:hAnsi="Times New Roman"/>
          <w:b/>
        </w:rPr>
        <w:t xml:space="preserve"> and sugar, 201</w:t>
      </w:r>
      <w:r w:rsidR="00691488">
        <w:rPr>
          <w:rFonts w:ascii="Times New Roman" w:hAnsi="Times New Roman"/>
          <w:b/>
        </w:rPr>
        <w:t>8</w:t>
      </w:r>
      <w:r w:rsidRPr="002F12A6">
        <w:rPr>
          <w:rFonts w:ascii="Times New Roman" w:hAnsi="Times New Roman"/>
          <w:b/>
        </w:rPr>
        <w:t>-20</w:t>
      </w:r>
      <w:r w:rsidR="00691488">
        <w:rPr>
          <w:rFonts w:ascii="Times New Roman" w:hAnsi="Times New Roman"/>
          <w:b/>
        </w:rPr>
        <w:t>22</w:t>
      </w:r>
    </w:p>
    <w:p w14:paraId="0539D122" w14:textId="77777777" w:rsidR="0047351B" w:rsidRDefault="0047351B" w:rsidP="007D6B20">
      <w:pPr>
        <w:pStyle w:val="ListParagraph"/>
        <w:spacing w:after="0"/>
        <w:ind w:left="0"/>
        <w:contextualSpacing w:val="0"/>
        <w:jc w:val="both"/>
        <w:rPr>
          <w:rFonts w:ascii="Times New Roman" w:hAnsi="Times New Roman"/>
          <w:b/>
        </w:rPr>
      </w:pPr>
    </w:p>
    <w:tbl>
      <w:tblPr>
        <w:tblW w:w="9793" w:type="dxa"/>
        <w:tblLook w:val="04A0" w:firstRow="1" w:lastRow="0" w:firstColumn="1" w:lastColumn="0" w:noHBand="0" w:noVBand="1"/>
      </w:tblPr>
      <w:tblGrid>
        <w:gridCol w:w="2388"/>
        <w:gridCol w:w="837"/>
        <w:gridCol w:w="644"/>
        <w:gridCol w:w="837"/>
        <w:gridCol w:w="644"/>
        <w:gridCol w:w="837"/>
        <w:gridCol w:w="644"/>
        <w:gridCol w:w="837"/>
        <w:gridCol w:w="644"/>
        <w:gridCol w:w="837"/>
        <w:gridCol w:w="644"/>
      </w:tblGrid>
      <w:tr w:rsidR="0047351B" w:rsidRPr="0047351B" w14:paraId="762B40B0" w14:textId="77777777" w:rsidTr="0047351B">
        <w:trPr>
          <w:trHeight w:val="363"/>
        </w:trPr>
        <w:tc>
          <w:tcPr>
            <w:tcW w:w="23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79E04F"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Main exports</w:t>
            </w:r>
          </w:p>
        </w:tc>
        <w:tc>
          <w:tcPr>
            <w:tcW w:w="148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9EF3C4"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2018</w:t>
            </w:r>
          </w:p>
        </w:tc>
        <w:tc>
          <w:tcPr>
            <w:tcW w:w="148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3FA8177"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2019</w:t>
            </w:r>
          </w:p>
        </w:tc>
        <w:tc>
          <w:tcPr>
            <w:tcW w:w="148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C459535"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2020</w:t>
            </w:r>
          </w:p>
        </w:tc>
        <w:tc>
          <w:tcPr>
            <w:tcW w:w="148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47A1070"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2021</w:t>
            </w:r>
          </w:p>
        </w:tc>
        <w:tc>
          <w:tcPr>
            <w:tcW w:w="148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D547AB"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2022</w:t>
            </w:r>
            <w:r w:rsidRPr="0047351B">
              <w:rPr>
                <w:rFonts w:ascii="Times New Roman" w:eastAsia="Times New Roman" w:hAnsi="Times New Roman"/>
                <w:b/>
                <w:bCs/>
                <w:color w:val="000000"/>
                <w:sz w:val="18"/>
                <w:szCs w:val="18"/>
                <w:vertAlign w:val="superscript"/>
                <w:lang w:val="en-MU" w:eastAsia="en-MU"/>
              </w:rPr>
              <w:t>1</w:t>
            </w:r>
          </w:p>
        </w:tc>
      </w:tr>
      <w:tr w:rsidR="0047351B" w:rsidRPr="0047351B" w14:paraId="32FBEC07" w14:textId="77777777" w:rsidTr="0047351B">
        <w:trPr>
          <w:trHeight w:val="363"/>
        </w:trPr>
        <w:tc>
          <w:tcPr>
            <w:tcW w:w="2388" w:type="dxa"/>
            <w:vMerge/>
            <w:tcBorders>
              <w:top w:val="single" w:sz="4" w:space="0" w:color="auto"/>
              <w:left w:val="single" w:sz="4" w:space="0" w:color="auto"/>
              <w:bottom w:val="single" w:sz="4" w:space="0" w:color="000000"/>
              <w:right w:val="single" w:sz="4" w:space="0" w:color="auto"/>
            </w:tcBorders>
            <w:vAlign w:val="center"/>
            <w:hideMark/>
          </w:tcPr>
          <w:p w14:paraId="745D8A68"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p>
        </w:tc>
        <w:tc>
          <w:tcPr>
            <w:tcW w:w="837" w:type="dxa"/>
            <w:tcBorders>
              <w:top w:val="nil"/>
              <w:left w:val="nil"/>
              <w:bottom w:val="single" w:sz="4" w:space="0" w:color="auto"/>
              <w:right w:val="single" w:sz="4" w:space="0" w:color="auto"/>
            </w:tcBorders>
            <w:shd w:val="clear" w:color="auto" w:fill="auto"/>
            <w:noWrap/>
            <w:vAlign w:val="bottom"/>
            <w:hideMark/>
          </w:tcPr>
          <w:p w14:paraId="4393BC54"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Rs Mn</w:t>
            </w:r>
          </w:p>
        </w:tc>
        <w:tc>
          <w:tcPr>
            <w:tcW w:w="644" w:type="dxa"/>
            <w:tcBorders>
              <w:top w:val="nil"/>
              <w:left w:val="nil"/>
              <w:bottom w:val="single" w:sz="4" w:space="0" w:color="auto"/>
              <w:right w:val="single" w:sz="4" w:space="0" w:color="auto"/>
            </w:tcBorders>
            <w:shd w:val="clear" w:color="auto" w:fill="auto"/>
            <w:noWrap/>
            <w:vAlign w:val="bottom"/>
            <w:hideMark/>
          </w:tcPr>
          <w:p w14:paraId="15ACC8CC"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w:t>
            </w:r>
          </w:p>
        </w:tc>
        <w:tc>
          <w:tcPr>
            <w:tcW w:w="837" w:type="dxa"/>
            <w:tcBorders>
              <w:top w:val="nil"/>
              <w:left w:val="nil"/>
              <w:bottom w:val="single" w:sz="4" w:space="0" w:color="auto"/>
              <w:right w:val="single" w:sz="4" w:space="0" w:color="auto"/>
            </w:tcBorders>
            <w:shd w:val="clear" w:color="auto" w:fill="auto"/>
            <w:noWrap/>
            <w:vAlign w:val="bottom"/>
            <w:hideMark/>
          </w:tcPr>
          <w:p w14:paraId="209FEB44"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Rs Mn</w:t>
            </w:r>
          </w:p>
        </w:tc>
        <w:tc>
          <w:tcPr>
            <w:tcW w:w="644" w:type="dxa"/>
            <w:tcBorders>
              <w:top w:val="nil"/>
              <w:left w:val="nil"/>
              <w:bottom w:val="single" w:sz="4" w:space="0" w:color="auto"/>
              <w:right w:val="single" w:sz="4" w:space="0" w:color="auto"/>
            </w:tcBorders>
            <w:shd w:val="clear" w:color="auto" w:fill="auto"/>
            <w:noWrap/>
            <w:vAlign w:val="bottom"/>
            <w:hideMark/>
          </w:tcPr>
          <w:p w14:paraId="3211492D"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w:t>
            </w:r>
          </w:p>
        </w:tc>
        <w:tc>
          <w:tcPr>
            <w:tcW w:w="837" w:type="dxa"/>
            <w:tcBorders>
              <w:top w:val="nil"/>
              <w:left w:val="nil"/>
              <w:bottom w:val="single" w:sz="4" w:space="0" w:color="auto"/>
              <w:right w:val="single" w:sz="4" w:space="0" w:color="auto"/>
            </w:tcBorders>
            <w:shd w:val="clear" w:color="auto" w:fill="auto"/>
            <w:noWrap/>
            <w:vAlign w:val="bottom"/>
            <w:hideMark/>
          </w:tcPr>
          <w:p w14:paraId="5C310309"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Rs Mn</w:t>
            </w:r>
          </w:p>
        </w:tc>
        <w:tc>
          <w:tcPr>
            <w:tcW w:w="644" w:type="dxa"/>
            <w:tcBorders>
              <w:top w:val="nil"/>
              <w:left w:val="nil"/>
              <w:bottom w:val="single" w:sz="4" w:space="0" w:color="auto"/>
              <w:right w:val="single" w:sz="4" w:space="0" w:color="auto"/>
            </w:tcBorders>
            <w:shd w:val="clear" w:color="auto" w:fill="auto"/>
            <w:noWrap/>
            <w:vAlign w:val="bottom"/>
            <w:hideMark/>
          </w:tcPr>
          <w:p w14:paraId="5F4E593E"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w:t>
            </w:r>
          </w:p>
        </w:tc>
        <w:tc>
          <w:tcPr>
            <w:tcW w:w="837" w:type="dxa"/>
            <w:tcBorders>
              <w:top w:val="nil"/>
              <w:left w:val="nil"/>
              <w:bottom w:val="single" w:sz="4" w:space="0" w:color="auto"/>
              <w:right w:val="single" w:sz="4" w:space="0" w:color="auto"/>
            </w:tcBorders>
            <w:shd w:val="clear" w:color="auto" w:fill="auto"/>
            <w:noWrap/>
            <w:vAlign w:val="bottom"/>
            <w:hideMark/>
          </w:tcPr>
          <w:p w14:paraId="5BC28BB8"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Rs Mn</w:t>
            </w:r>
          </w:p>
        </w:tc>
        <w:tc>
          <w:tcPr>
            <w:tcW w:w="644" w:type="dxa"/>
            <w:tcBorders>
              <w:top w:val="nil"/>
              <w:left w:val="nil"/>
              <w:bottom w:val="single" w:sz="4" w:space="0" w:color="auto"/>
              <w:right w:val="single" w:sz="4" w:space="0" w:color="auto"/>
            </w:tcBorders>
            <w:shd w:val="clear" w:color="auto" w:fill="auto"/>
            <w:noWrap/>
            <w:vAlign w:val="bottom"/>
            <w:hideMark/>
          </w:tcPr>
          <w:p w14:paraId="5176F6C5"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w:t>
            </w:r>
          </w:p>
        </w:tc>
        <w:tc>
          <w:tcPr>
            <w:tcW w:w="837" w:type="dxa"/>
            <w:tcBorders>
              <w:top w:val="nil"/>
              <w:left w:val="nil"/>
              <w:bottom w:val="single" w:sz="4" w:space="0" w:color="auto"/>
              <w:right w:val="single" w:sz="4" w:space="0" w:color="auto"/>
            </w:tcBorders>
            <w:shd w:val="clear" w:color="auto" w:fill="auto"/>
            <w:noWrap/>
            <w:vAlign w:val="bottom"/>
            <w:hideMark/>
          </w:tcPr>
          <w:p w14:paraId="5BE5D71B"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Rs Mn</w:t>
            </w:r>
          </w:p>
        </w:tc>
        <w:tc>
          <w:tcPr>
            <w:tcW w:w="644" w:type="dxa"/>
            <w:tcBorders>
              <w:top w:val="nil"/>
              <w:left w:val="nil"/>
              <w:bottom w:val="single" w:sz="4" w:space="0" w:color="auto"/>
              <w:right w:val="single" w:sz="4" w:space="0" w:color="auto"/>
            </w:tcBorders>
            <w:shd w:val="clear" w:color="auto" w:fill="auto"/>
            <w:noWrap/>
            <w:vAlign w:val="bottom"/>
            <w:hideMark/>
          </w:tcPr>
          <w:p w14:paraId="1B7A0419" w14:textId="77777777" w:rsidR="0047351B" w:rsidRPr="0047351B" w:rsidRDefault="0047351B" w:rsidP="0047351B">
            <w:pPr>
              <w:spacing w:after="0" w:line="240" w:lineRule="auto"/>
              <w:jc w:val="center"/>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w:t>
            </w:r>
          </w:p>
        </w:tc>
      </w:tr>
      <w:tr w:rsidR="0047351B" w:rsidRPr="0047351B" w14:paraId="42B9D149" w14:textId="77777777" w:rsidTr="0047351B">
        <w:trPr>
          <w:trHeight w:val="494"/>
        </w:trPr>
        <w:tc>
          <w:tcPr>
            <w:tcW w:w="2388" w:type="dxa"/>
            <w:tcBorders>
              <w:top w:val="nil"/>
              <w:left w:val="single" w:sz="4" w:space="0" w:color="auto"/>
              <w:bottom w:val="single" w:sz="4" w:space="0" w:color="auto"/>
              <w:right w:val="single" w:sz="4" w:space="0" w:color="auto"/>
            </w:tcBorders>
            <w:shd w:val="clear" w:color="auto" w:fill="auto"/>
            <w:vAlign w:val="bottom"/>
            <w:hideMark/>
          </w:tcPr>
          <w:p w14:paraId="059AA42F"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Total exports of goods and services</w:t>
            </w:r>
          </w:p>
        </w:tc>
        <w:tc>
          <w:tcPr>
            <w:tcW w:w="837" w:type="dxa"/>
            <w:tcBorders>
              <w:top w:val="nil"/>
              <w:left w:val="nil"/>
              <w:bottom w:val="single" w:sz="4" w:space="0" w:color="auto"/>
              <w:right w:val="single" w:sz="4" w:space="0" w:color="auto"/>
            </w:tcBorders>
            <w:shd w:val="clear" w:color="auto" w:fill="auto"/>
            <w:noWrap/>
            <w:vAlign w:val="bottom"/>
            <w:hideMark/>
          </w:tcPr>
          <w:p w14:paraId="1899582C" w14:textId="77777777" w:rsidR="0047351B" w:rsidRPr="0047351B" w:rsidRDefault="0047351B" w:rsidP="0047351B">
            <w:pPr>
              <w:spacing w:after="0" w:line="240" w:lineRule="auto"/>
              <w:jc w:val="right"/>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xml:space="preserve">230,503  </w:t>
            </w:r>
          </w:p>
        </w:tc>
        <w:tc>
          <w:tcPr>
            <w:tcW w:w="644" w:type="dxa"/>
            <w:tcBorders>
              <w:top w:val="nil"/>
              <w:left w:val="nil"/>
              <w:bottom w:val="single" w:sz="4" w:space="0" w:color="auto"/>
              <w:right w:val="single" w:sz="4" w:space="0" w:color="auto"/>
            </w:tcBorders>
            <w:shd w:val="clear" w:color="auto" w:fill="auto"/>
            <w:noWrap/>
            <w:vAlign w:val="bottom"/>
            <w:hideMark/>
          </w:tcPr>
          <w:p w14:paraId="4DD85332" w14:textId="77777777" w:rsidR="0047351B" w:rsidRPr="0047351B" w:rsidRDefault="0047351B" w:rsidP="0047351B">
            <w:pPr>
              <w:spacing w:after="0" w:line="240" w:lineRule="auto"/>
              <w:jc w:val="right"/>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xml:space="preserve">100.0  </w:t>
            </w:r>
          </w:p>
        </w:tc>
        <w:tc>
          <w:tcPr>
            <w:tcW w:w="837" w:type="dxa"/>
            <w:tcBorders>
              <w:top w:val="nil"/>
              <w:left w:val="nil"/>
              <w:bottom w:val="single" w:sz="4" w:space="0" w:color="auto"/>
              <w:right w:val="single" w:sz="4" w:space="0" w:color="auto"/>
            </w:tcBorders>
            <w:shd w:val="clear" w:color="auto" w:fill="auto"/>
            <w:noWrap/>
            <w:vAlign w:val="bottom"/>
            <w:hideMark/>
          </w:tcPr>
          <w:p w14:paraId="7EFC7C61" w14:textId="77777777" w:rsidR="0047351B" w:rsidRPr="0047351B" w:rsidRDefault="0047351B" w:rsidP="0047351B">
            <w:pPr>
              <w:spacing w:after="0" w:line="240" w:lineRule="auto"/>
              <w:jc w:val="right"/>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xml:space="preserve">228,749  </w:t>
            </w:r>
          </w:p>
        </w:tc>
        <w:tc>
          <w:tcPr>
            <w:tcW w:w="644" w:type="dxa"/>
            <w:tcBorders>
              <w:top w:val="nil"/>
              <w:left w:val="nil"/>
              <w:bottom w:val="single" w:sz="4" w:space="0" w:color="auto"/>
              <w:right w:val="single" w:sz="4" w:space="0" w:color="auto"/>
            </w:tcBorders>
            <w:shd w:val="clear" w:color="auto" w:fill="auto"/>
            <w:noWrap/>
            <w:vAlign w:val="bottom"/>
            <w:hideMark/>
          </w:tcPr>
          <w:p w14:paraId="373C7F90" w14:textId="77777777" w:rsidR="0047351B" w:rsidRPr="0047351B" w:rsidRDefault="0047351B" w:rsidP="0047351B">
            <w:pPr>
              <w:spacing w:after="0" w:line="240" w:lineRule="auto"/>
              <w:jc w:val="right"/>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xml:space="preserve">100.0  </w:t>
            </w:r>
          </w:p>
        </w:tc>
        <w:tc>
          <w:tcPr>
            <w:tcW w:w="837" w:type="dxa"/>
            <w:tcBorders>
              <w:top w:val="nil"/>
              <w:left w:val="nil"/>
              <w:bottom w:val="single" w:sz="4" w:space="0" w:color="auto"/>
              <w:right w:val="single" w:sz="4" w:space="0" w:color="auto"/>
            </w:tcBorders>
            <w:shd w:val="clear" w:color="auto" w:fill="auto"/>
            <w:noWrap/>
            <w:vAlign w:val="bottom"/>
            <w:hideMark/>
          </w:tcPr>
          <w:p w14:paraId="26F68790" w14:textId="77777777" w:rsidR="0047351B" w:rsidRPr="0047351B" w:rsidRDefault="0047351B" w:rsidP="0047351B">
            <w:pPr>
              <w:spacing w:after="0" w:line="240" w:lineRule="auto"/>
              <w:jc w:val="right"/>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xml:space="preserve">176,631  </w:t>
            </w:r>
          </w:p>
        </w:tc>
        <w:tc>
          <w:tcPr>
            <w:tcW w:w="644" w:type="dxa"/>
            <w:tcBorders>
              <w:top w:val="nil"/>
              <w:left w:val="nil"/>
              <w:bottom w:val="single" w:sz="4" w:space="0" w:color="auto"/>
              <w:right w:val="single" w:sz="4" w:space="0" w:color="auto"/>
            </w:tcBorders>
            <w:shd w:val="clear" w:color="auto" w:fill="auto"/>
            <w:noWrap/>
            <w:vAlign w:val="bottom"/>
            <w:hideMark/>
          </w:tcPr>
          <w:p w14:paraId="5ABB6764" w14:textId="77777777" w:rsidR="0047351B" w:rsidRPr="0047351B" w:rsidRDefault="0047351B" w:rsidP="0047351B">
            <w:pPr>
              <w:spacing w:after="0" w:line="240" w:lineRule="auto"/>
              <w:jc w:val="right"/>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xml:space="preserve">100.0  </w:t>
            </w:r>
          </w:p>
        </w:tc>
        <w:tc>
          <w:tcPr>
            <w:tcW w:w="837" w:type="dxa"/>
            <w:tcBorders>
              <w:top w:val="nil"/>
              <w:left w:val="nil"/>
              <w:bottom w:val="single" w:sz="4" w:space="0" w:color="auto"/>
              <w:right w:val="single" w:sz="4" w:space="0" w:color="auto"/>
            </w:tcBorders>
            <w:shd w:val="clear" w:color="auto" w:fill="auto"/>
            <w:noWrap/>
            <w:vAlign w:val="bottom"/>
            <w:hideMark/>
          </w:tcPr>
          <w:p w14:paraId="627A5D7D" w14:textId="77777777" w:rsidR="0047351B" w:rsidRPr="0047351B" w:rsidRDefault="0047351B" w:rsidP="0047351B">
            <w:pPr>
              <w:spacing w:after="0" w:line="240" w:lineRule="auto"/>
              <w:jc w:val="right"/>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xml:space="preserve">211,641  </w:t>
            </w:r>
          </w:p>
        </w:tc>
        <w:tc>
          <w:tcPr>
            <w:tcW w:w="644" w:type="dxa"/>
            <w:tcBorders>
              <w:top w:val="nil"/>
              <w:left w:val="nil"/>
              <w:bottom w:val="single" w:sz="4" w:space="0" w:color="auto"/>
              <w:right w:val="single" w:sz="4" w:space="0" w:color="auto"/>
            </w:tcBorders>
            <w:shd w:val="clear" w:color="auto" w:fill="auto"/>
            <w:noWrap/>
            <w:vAlign w:val="bottom"/>
            <w:hideMark/>
          </w:tcPr>
          <w:p w14:paraId="0B616F69" w14:textId="77777777" w:rsidR="0047351B" w:rsidRPr="0047351B" w:rsidRDefault="0047351B" w:rsidP="0047351B">
            <w:pPr>
              <w:spacing w:after="0" w:line="240" w:lineRule="auto"/>
              <w:jc w:val="right"/>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xml:space="preserve">100.0  </w:t>
            </w:r>
          </w:p>
        </w:tc>
        <w:tc>
          <w:tcPr>
            <w:tcW w:w="837" w:type="dxa"/>
            <w:tcBorders>
              <w:top w:val="nil"/>
              <w:left w:val="nil"/>
              <w:bottom w:val="single" w:sz="4" w:space="0" w:color="auto"/>
              <w:right w:val="single" w:sz="4" w:space="0" w:color="auto"/>
            </w:tcBorders>
            <w:shd w:val="clear" w:color="auto" w:fill="auto"/>
            <w:noWrap/>
            <w:vAlign w:val="bottom"/>
            <w:hideMark/>
          </w:tcPr>
          <w:p w14:paraId="33FBD14F" w14:textId="77777777" w:rsidR="0047351B" w:rsidRPr="0047351B" w:rsidRDefault="0047351B" w:rsidP="0047351B">
            <w:pPr>
              <w:spacing w:after="0" w:line="240" w:lineRule="auto"/>
              <w:jc w:val="right"/>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xml:space="preserve">324,181  </w:t>
            </w:r>
          </w:p>
        </w:tc>
        <w:tc>
          <w:tcPr>
            <w:tcW w:w="644" w:type="dxa"/>
            <w:tcBorders>
              <w:top w:val="nil"/>
              <w:left w:val="nil"/>
              <w:bottom w:val="single" w:sz="4" w:space="0" w:color="auto"/>
              <w:right w:val="single" w:sz="4" w:space="0" w:color="auto"/>
            </w:tcBorders>
            <w:shd w:val="clear" w:color="auto" w:fill="auto"/>
            <w:noWrap/>
            <w:vAlign w:val="bottom"/>
            <w:hideMark/>
          </w:tcPr>
          <w:p w14:paraId="5E998616" w14:textId="77777777" w:rsidR="0047351B" w:rsidRPr="0047351B" w:rsidRDefault="0047351B" w:rsidP="0047351B">
            <w:pPr>
              <w:spacing w:after="0" w:line="240" w:lineRule="auto"/>
              <w:jc w:val="right"/>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xml:space="preserve">100.0  </w:t>
            </w:r>
          </w:p>
        </w:tc>
      </w:tr>
      <w:tr w:rsidR="0047351B" w:rsidRPr="0047351B" w14:paraId="41625685" w14:textId="77777777" w:rsidTr="0047351B">
        <w:trPr>
          <w:trHeight w:val="293"/>
        </w:trPr>
        <w:tc>
          <w:tcPr>
            <w:tcW w:w="2388" w:type="dxa"/>
            <w:tcBorders>
              <w:top w:val="nil"/>
              <w:left w:val="single" w:sz="4" w:space="0" w:color="auto"/>
              <w:bottom w:val="nil"/>
              <w:right w:val="single" w:sz="4" w:space="0" w:color="auto"/>
            </w:tcBorders>
            <w:shd w:val="clear" w:color="auto" w:fill="auto"/>
            <w:vAlign w:val="bottom"/>
            <w:hideMark/>
          </w:tcPr>
          <w:p w14:paraId="6D9EA872" w14:textId="77777777" w:rsidR="0047351B" w:rsidRPr="0047351B" w:rsidRDefault="0047351B" w:rsidP="0047351B">
            <w:pPr>
              <w:spacing w:after="0" w:line="240" w:lineRule="auto"/>
              <w:rPr>
                <w:rFonts w:ascii="Times New Roman" w:eastAsia="Times New Roman" w:hAnsi="Times New Roman"/>
                <w:b/>
                <w:bCs/>
                <w:i/>
                <w:iCs/>
                <w:color w:val="000000"/>
                <w:sz w:val="18"/>
                <w:szCs w:val="18"/>
                <w:lang w:val="en-MU" w:eastAsia="en-MU"/>
              </w:rPr>
            </w:pPr>
            <w:r w:rsidRPr="0047351B">
              <w:rPr>
                <w:rFonts w:ascii="Times New Roman" w:eastAsia="Times New Roman" w:hAnsi="Times New Roman"/>
                <w:b/>
                <w:bCs/>
                <w:i/>
                <w:iCs/>
                <w:color w:val="000000"/>
                <w:sz w:val="18"/>
                <w:szCs w:val="18"/>
                <w:lang w:val="en-MU" w:eastAsia="en-MU"/>
              </w:rPr>
              <w:t xml:space="preserve"> of which:</w:t>
            </w:r>
          </w:p>
        </w:tc>
        <w:tc>
          <w:tcPr>
            <w:tcW w:w="837" w:type="dxa"/>
            <w:tcBorders>
              <w:top w:val="nil"/>
              <w:left w:val="nil"/>
              <w:bottom w:val="nil"/>
              <w:right w:val="nil"/>
            </w:tcBorders>
            <w:shd w:val="clear" w:color="auto" w:fill="auto"/>
            <w:noWrap/>
            <w:vAlign w:val="bottom"/>
            <w:hideMark/>
          </w:tcPr>
          <w:p w14:paraId="7AB10FD4"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w:t>
            </w:r>
          </w:p>
        </w:tc>
        <w:tc>
          <w:tcPr>
            <w:tcW w:w="644" w:type="dxa"/>
            <w:tcBorders>
              <w:top w:val="nil"/>
              <w:left w:val="single" w:sz="4" w:space="0" w:color="auto"/>
              <w:bottom w:val="nil"/>
              <w:right w:val="nil"/>
            </w:tcBorders>
            <w:shd w:val="clear" w:color="auto" w:fill="auto"/>
            <w:noWrap/>
            <w:vAlign w:val="bottom"/>
            <w:hideMark/>
          </w:tcPr>
          <w:p w14:paraId="75B91FF0"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w:t>
            </w:r>
          </w:p>
        </w:tc>
        <w:tc>
          <w:tcPr>
            <w:tcW w:w="837" w:type="dxa"/>
            <w:tcBorders>
              <w:top w:val="nil"/>
              <w:left w:val="single" w:sz="4" w:space="0" w:color="auto"/>
              <w:bottom w:val="nil"/>
              <w:right w:val="nil"/>
            </w:tcBorders>
            <w:shd w:val="clear" w:color="auto" w:fill="auto"/>
            <w:noWrap/>
            <w:vAlign w:val="bottom"/>
            <w:hideMark/>
          </w:tcPr>
          <w:p w14:paraId="5A0B37FE"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w:t>
            </w:r>
          </w:p>
        </w:tc>
        <w:tc>
          <w:tcPr>
            <w:tcW w:w="644" w:type="dxa"/>
            <w:tcBorders>
              <w:top w:val="nil"/>
              <w:left w:val="single" w:sz="4" w:space="0" w:color="auto"/>
              <w:bottom w:val="nil"/>
              <w:right w:val="nil"/>
            </w:tcBorders>
            <w:shd w:val="clear" w:color="auto" w:fill="auto"/>
            <w:noWrap/>
            <w:vAlign w:val="bottom"/>
            <w:hideMark/>
          </w:tcPr>
          <w:p w14:paraId="7B6FE436"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w:t>
            </w:r>
          </w:p>
        </w:tc>
        <w:tc>
          <w:tcPr>
            <w:tcW w:w="837" w:type="dxa"/>
            <w:tcBorders>
              <w:top w:val="nil"/>
              <w:left w:val="single" w:sz="4" w:space="0" w:color="auto"/>
              <w:bottom w:val="nil"/>
              <w:right w:val="nil"/>
            </w:tcBorders>
            <w:shd w:val="clear" w:color="auto" w:fill="auto"/>
            <w:noWrap/>
            <w:vAlign w:val="bottom"/>
            <w:hideMark/>
          </w:tcPr>
          <w:p w14:paraId="0E92DCC3"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w:t>
            </w:r>
          </w:p>
        </w:tc>
        <w:tc>
          <w:tcPr>
            <w:tcW w:w="644" w:type="dxa"/>
            <w:tcBorders>
              <w:top w:val="nil"/>
              <w:left w:val="single" w:sz="4" w:space="0" w:color="auto"/>
              <w:bottom w:val="nil"/>
              <w:right w:val="nil"/>
            </w:tcBorders>
            <w:shd w:val="clear" w:color="auto" w:fill="auto"/>
            <w:noWrap/>
            <w:vAlign w:val="bottom"/>
            <w:hideMark/>
          </w:tcPr>
          <w:p w14:paraId="332BE31B"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w:t>
            </w:r>
          </w:p>
        </w:tc>
        <w:tc>
          <w:tcPr>
            <w:tcW w:w="837" w:type="dxa"/>
            <w:tcBorders>
              <w:top w:val="nil"/>
              <w:left w:val="single" w:sz="4" w:space="0" w:color="auto"/>
              <w:bottom w:val="nil"/>
              <w:right w:val="nil"/>
            </w:tcBorders>
            <w:shd w:val="clear" w:color="auto" w:fill="auto"/>
            <w:noWrap/>
            <w:vAlign w:val="bottom"/>
            <w:hideMark/>
          </w:tcPr>
          <w:p w14:paraId="35B45A7A"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w:t>
            </w:r>
          </w:p>
        </w:tc>
        <w:tc>
          <w:tcPr>
            <w:tcW w:w="644" w:type="dxa"/>
            <w:tcBorders>
              <w:top w:val="nil"/>
              <w:left w:val="single" w:sz="4" w:space="0" w:color="auto"/>
              <w:bottom w:val="nil"/>
              <w:right w:val="single" w:sz="4" w:space="0" w:color="auto"/>
            </w:tcBorders>
            <w:shd w:val="clear" w:color="auto" w:fill="auto"/>
            <w:noWrap/>
            <w:vAlign w:val="bottom"/>
            <w:hideMark/>
          </w:tcPr>
          <w:p w14:paraId="62FFC1BA"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w:t>
            </w:r>
          </w:p>
        </w:tc>
        <w:tc>
          <w:tcPr>
            <w:tcW w:w="837" w:type="dxa"/>
            <w:tcBorders>
              <w:top w:val="nil"/>
              <w:left w:val="nil"/>
              <w:bottom w:val="nil"/>
              <w:right w:val="nil"/>
            </w:tcBorders>
            <w:shd w:val="clear" w:color="auto" w:fill="auto"/>
            <w:noWrap/>
            <w:vAlign w:val="bottom"/>
            <w:hideMark/>
          </w:tcPr>
          <w:p w14:paraId="08B7DA62"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w:t>
            </w:r>
          </w:p>
        </w:tc>
        <w:tc>
          <w:tcPr>
            <w:tcW w:w="644" w:type="dxa"/>
            <w:tcBorders>
              <w:top w:val="nil"/>
              <w:left w:val="single" w:sz="4" w:space="0" w:color="auto"/>
              <w:bottom w:val="nil"/>
              <w:right w:val="single" w:sz="4" w:space="0" w:color="auto"/>
            </w:tcBorders>
            <w:shd w:val="clear" w:color="auto" w:fill="auto"/>
            <w:noWrap/>
            <w:vAlign w:val="bottom"/>
            <w:hideMark/>
          </w:tcPr>
          <w:p w14:paraId="1041A4F7" w14:textId="77777777" w:rsidR="0047351B" w:rsidRPr="0047351B" w:rsidRDefault="0047351B" w:rsidP="0047351B">
            <w:pPr>
              <w:spacing w:after="0" w:line="240" w:lineRule="auto"/>
              <w:rPr>
                <w:rFonts w:ascii="Times New Roman" w:eastAsia="Times New Roman" w:hAnsi="Times New Roman"/>
                <w:b/>
                <w:bCs/>
                <w:color w:val="000000"/>
                <w:sz w:val="18"/>
                <w:szCs w:val="18"/>
                <w:lang w:val="en-MU" w:eastAsia="en-MU"/>
              </w:rPr>
            </w:pPr>
            <w:r w:rsidRPr="0047351B">
              <w:rPr>
                <w:rFonts w:ascii="Times New Roman" w:eastAsia="Times New Roman" w:hAnsi="Times New Roman"/>
                <w:b/>
                <w:bCs/>
                <w:color w:val="000000"/>
                <w:sz w:val="18"/>
                <w:szCs w:val="18"/>
                <w:lang w:val="en-MU" w:eastAsia="en-MU"/>
              </w:rPr>
              <w:t> </w:t>
            </w:r>
          </w:p>
        </w:tc>
      </w:tr>
      <w:tr w:rsidR="0047351B" w:rsidRPr="0047351B" w14:paraId="653B5657" w14:textId="77777777" w:rsidTr="0047351B">
        <w:trPr>
          <w:trHeight w:val="304"/>
        </w:trPr>
        <w:tc>
          <w:tcPr>
            <w:tcW w:w="2388" w:type="dxa"/>
            <w:tcBorders>
              <w:top w:val="nil"/>
              <w:left w:val="single" w:sz="4" w:space="0" w:color="auto"/>
              <w:bottom w:val="single" w:sz="4" w:space="0" w:color="auto"/>
              <w:right w:val="single" w:sz="4" w:space="0" w:color="auto"/>
            </w:tcBorders>
            <w:shd w:val="clear" w:color="auto" w:fill="auto"/>
            <w:vAlign w:val="bottom"/>
            <w:hideMark/>
          </w:tcPr>
          <w:p w14:paraId="749E0E65" w14:textId="77777777" w:rsidR="0047351B" w:rsidRPr="0047351B" w:rsidRDefault="0047351B" w:rsidP="0047351B">
            <w:pPr>
              <w:spacing w:after="0" w:line="240" w:lineRule="auto"/>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   Tourism goods and services</w:t>
            </w:r>
          </w:p>
        </w:tc>
        <w:tc>
          <w:tcPr>
            <w:tcW w:w="837" w:type="dxa"/>
            <w:tcBorders>
              <w:top w:val="nil"/>
              <w:left w:val="nil"/>
              <w:bottom w:val="single" w:sz="4" w:space="0" w:color="auto"/>
              <w:right w:val="single" w:sz="4" w:space="0" w:color="auto"/>
            </w:tcBorders>
            <w:shd w:val="clear" w:color="auto" w:fill="auto"/>
            <w:noWrap/>
            <w:vAlign w:val="bottom"/>
            <w:hideMark/>
          </w:tcPr>
          <w:p w14:paraId="6E9B2FFA"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73,212  </w:t>
            </w:r>
          </w:p>
        </w:tc>
        <w:tc>
          <w:tcPr>
            <w:tcW w:w="644" w:type="dxa"/>
            <w:tcBorders>
              <w:top w:val="nil"/>
              <w:left w:val="nil"/>
              <w:bottom w:val="single" w:sz="4" w:space="0" w:color="auto"/>
              <w:right w:val="single" w:sz="4" w:space="0" w:color="auto"/>
            </w:tcBorders>
            <w:shd w:val="clear" w:color="auto" w:fill="auto"/>
            <w:noWrap/>
            <w:vAlign w:val="bottom"/>
            <w:hideMark/>
          </w:tcPr>
          <w:p w14:paraId="528C6A41"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31.8  </w:t>
            </w:r>
          </w:p>
        </w:tc>
        <w:tc>
          <w:tcPr>
            <w:tcW w:w="837" w:type="dxa"/>
            <w:tcBorders>
              <w:top w:val="nil"/>
              <w:left w:val="nil"/>
              <w:bottom w:val="single" w:sz="4" w:space="0" w:color="auto"/>
              <w:right w:val="single" w:sz="4" w:space="0" w:color="auto"/>
            </w:tcBorders>
            <w:shd w:val="clear" w:color="auto" w:fill="auto"/>
            <w:noWrap/>
            <w:vAlign w:val="bottom"/>
            <w:hideMark/>
          </w:tcPr>
          <w:p w14:paraId="6FD510C2"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71,821  </w:t>
            </w:r>
          </w:p>
        </w:tc>
        <w:tc>
          <w:tcPr>
            <w:tcW w:w="644" w:type="dxa"/>
            <w:tcBorders>
              <w:top w:val="nil"/>
              <w:left w:val="nil"/>
              <w:bottom w:val="single" w:sz="4" w:space="0" w:color="auto"/>
              <w:right w:val="single" w:sz="4" w:space="0" w:color="auto"/>
            </w:tcBorders>
            <w:shd w:val="clear" w:color="auto" w:fill="auto"/>
            <w:noWrap/>
            <w:vAlign w:val="bottom"/>
            <w:hideMark/>
          </w:tcPr>
          <w:p w14:paraId="5BF0D7D0"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31.4  </w:t>
            </w:r>
          </w:p>
        </w:tc>
        <w:tc>
          <w:tcPr>
            <w:tcW w:w="837" w:type="dxa"/>
            <w:tcBorders>
              <w:top w:val="nil"/>
              <w:left w:val="nil"/>
              <w:bottom w:val="single" w:sz="4" w:space="0" w:color="auto"/>
              <w:right w:val="single" w:sz="4" w:space="0" w:color="auto"/>
            </w:tcBorders>
            <w:shd w:val="clear" w:color="auto" w:fill="auto"/>
            <w:noWrap/>
            <w:vAlign w:val="bottom"/>
            <w:hideMark/>
          </w:tcPr>
          <w:p w14:paraId="419431C9"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19,598  </w:t>
            </w:r>
          </w:p>
        </w:tc>
        <w:tc>
          <w:tcPr>
            <w:tcW w:w="644" w:type="dxa"/>
            <w:tcBorders>
              <w:top w:val="nil"/>
              <w:left w:val="nil"/>
              <w:bottom w:val="single" w:sz="4" w:space="0" w:color="auto"/>
              <w:right w:val="single" w:sz="4" w:space="0" w:color="auto"/>
            </w:tcBorders>
            <w:shd w:val="clear" w:color="auto" w:fill="auto"/>
            <w:noWrap/>
            <w:vAlign w:val="bottom"/>
            <w:hideMark/>
          </w:tcPr>
          <w:p w14:paraId="6D46C315"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11.1  </w:t>
            </w:r>
          </w:p>
        </w:tc>
        <w:tc>
          <w:tcPr>
            <w:tcW w:w="837" w:type="dxa"/>
            <w:tcBorders>
              <w:top w:val="nil"/>
              <w:left w:val="nil"/>
              <w:bottom w:val="single" w:sz="4" w:space="0" w:color="auto"/>
              <w:right w:val="single" w:sz="4" w:space="0" w:color="auto"/>
            </w:tcBorders>
            <w:shd w:val="clear" w:color="auto" w:fill="auto"/>
            <w:noWrap/>
            <w:vAlign w:val="bottom"/>
            <w:hideMark/>
          </w:tcPr>
          <w:p w14:paraId="4EB6FF61"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16,449  </w:t>
            </w:r>
          </w:p>
        </w:tc>
        <w:tc>
          <w:tcPr>
            <w:tcW w:w="644" w:type="dxa"/>
            <w:tcBorders>
              <w:top w:val="nil"/>
              <w:left w:val="nil"/>
              <w:bottom w:val="single" w:sz="4" w:space="0" w:color="auto"/>
              <w:right w:val="single" w:sz="4" w:space="0" w:color="auto"/>
            </w:tcBorders>
            <w:shd w:val="clear" w:color="auto" w:fill="auto"/>
            <w:noWrap/>
            <w:vAlign w:val="bottom"/>
            <w:hideMark/>
          </w:tcPr>
          <w:p w14:paraId="5D7004BA"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7.8  </w:t>
            </w:r>
          </w:p>
        </w:tc>
        <w:tc>
          <w:tcPr>
            <w:tcW w:w="837" w:type="dxa"/>
            <w:tcBorders>
              <w:top w:val="nil"/>
              <w:left w:val="nil"/>
              <w:bottom w:val="single" w:sz="4" w:space="0" w:color="auto"/>
              <w:right w:val="single" w:sz="4" w:space="0" w:color="auto"/>
            </w:tcBorders>
            <w:shd w:val="clear" w:color="auto" w:fill="auto"/>
            <w:noWrap/>
            <w:vAlign w:val="bottom"/>
            <w:hideMark/>
          </w:tcPr>
          <w:p w14:paraId="2D724144"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73,060  </w:t>
            </w:r>
          </w:p>
        </w:tc>
        <w:tc>
          <w:tcPr>
            <w:tcW w:w="644" w:type="dxa"/>
            <w:tcBorders>
              <w:top w:val="nil"/>
              <w:left w:val="nil"/>
              <w:bottom w:val="single" w:sz="4" w:space="0" w:color="auto"/>
              <w:right w:val="single" w:sz="4" w:space="0" w:color="auto"/>
            </w:tcBorders>
            <w:shd w:val="clear" w:color="auto" w:fill="auto"/>
            <w:noWrap/>
            <w:vAlign w:val="bottom"/>
            <w:hideMark/>
          </w:tcPr>
          <w:p w14:paraId="133EA48C"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22.5  </w:t>
            </w:r>
          </w:p>
        </w:tc>
      </w:tr>
      <w:tr w:rsidR="0047351B" w:rsidRPr="0047351B" w14:paraId="556A28E9" w14:textId="77777777" w:rsidTr="0047351B">
        <w:trPr>
          <w:trHeight w:val="304"/>
        </w:trPr>
        <w:tc>
          <w:tcPr>
            <w:tcW w:w="2388" w:type="dxa"/>
            <w:tcBorders>
              <w:top w:val="nil"/>
              <w:left w:val="single" w:sz="4" w:space="0" w:color="auto"/>
              <w:bottom w:val="single" w:sz="4" w:space="0" w:color="auto"/>
              <w:right w:val="single" w:sz="4" w:space="0" w:color="auto"/>
            </w:tcBorders>
            <w:shd w:val="clear" w:color="auto" w:fill="auto"/>
            <w:vAlign w:val="bottom"/>
            <w:hideMark/>
          </w:tcPr>
          <w:p w14:paraId="306C2C63" w14:textId="77777777" w:rsidR="0047351B" w:rsidRPr="0047351B" w:rsidRDefault="0047351B" w:rsidP="0047351B">
            <w:pPr>
              <w:spacing w:after="0" w:line="240" w:lineRule="auto"/>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   Export-Oriented Enterprises</w:t>
            </w:r>
          </w:p>
        </w:tc>
        <w:tc>
          <w:tcPr>
            <w:tcW w:w="837" w:type="dxa"/>
            <w:tcBorders>
              <w:top w:val="nil"/>
              <w:left w:val="nil"/>
              <w:bottom w:val="single" w:sz="4" w:space="0" w:color="auto"/>
              <w:right w:val="single" w:sz="4" w:space="0" w:color="auto"/>
            </w:tcBorders>
            <w:shd w:val="clear" w:color="auto" w:fill="auto"/>
            <w:noWrap/>
            <w:vAlign w:val="bottom"/>
            <w:hideMark/>
          </w:tcPr>
          <w:p w14:paraId="40EF9134"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43,311  </w:t>
            </w:r>
          </w:p>
        </w:tc>
        <w:tc>
          <w:tcPr>
            <w:tcW w:w="644" w:type="dxa"/>
            <w:tcBorders>
              <w:top w:val="nil"/>
              <w:left w:val="nil"/>
              <w:bottom w:val="single" w:sz="4" w:space="0" w:color="auto"/>
              <w:right w:val="single" w:sz="4" w:space="0" w:color="auto"/>
            </w:tcBorders>
            <w:shd w:val="clear" w:color="auto" w:fill="auto"/>
            <w:noWrap/>
            <w:vAlign w:val="bottom"/>
            <w:hideMark/>
          </w:tcPr>
          <w:p w14:paraId="41A25D6B"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18.8  </w:t>
            </w:r>
          </w:p>
        </w:tc>
        <w:tc>
          <w:tcPr>
            <w:tcW w:w="837" w:type="dxa"/>
            <w:tcBorders>
              <w:top w:val="nil"/>
              <w:left w:val="nil"/>
              <w:bottom w:val="single" w:sz="4" w:space="0" w:color="auto"/>
              <w:right w:val="single" w:sz="4" w:space="0" w:color="auto"/>
            </w:tcBorders>
            <w:shd w:val="clear" w:color="auto" w:fill="auto"/>
            <w:noWrap/>
            <w:vAlign w:val="bottom"/>
            <w:hideMark/>
          </w:tcPr>
          <w:p w14:paraId="0CE6B06F"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42,319  </w:t>
            </w:r>
          </w:p>
        </w:tc>
        <w:tc>
          <w:tcPr>
            <w:tcW w:w="644" w:type="dxa"/>
            <w:tcBorders>
              <w:top w:val="nil"/>
              <w:left w:val="nil"/>
              <w:bottom w:val="single" w:sz="4" w:space="0" w:color="auto"/>
              <w:right w:val="single" w:sz="4" w:space="0" w:color="auto"/>
            </w:tcBorders>
            <w:shd w:val="clear" w:color="auto" w:fill="auto"/>
            <w:noWrap/>
            <w:vAlign w:val="bottom"/>
            <w:hideMark/>
          </w:tcPr>
          <w:p w14:paraId="090B4EA5"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18.5  </w:t>
            </w:r>
          </w:p>
        </w:tc>
        <w:tc>
          <w:tcPr>
            <w:tcW w:w="837" w:type="dxa"/>
            <w:tcBorders>
              <w:top w:val="nil"/>
              <w:left w:val="nil"/>
              <w:bottom w:val="single" w:sz="4" w:space="0" w:color="auto"/>
              <w:right w:val="single" w:sz="4" w:space="0" w:color="auto"/>
            </w:tcBorders>
            <w:shd w:val="clear" w:color="auto" w:fill="auto"/>
            <w:noWrap/>
            <w:vAlign w:val="bottom"/>
            <w:hideMark/>
          </w:tcPr>
          <w:p w14:paraId="11D4CBE3"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37,289  </w:t>
            </w:r>
          </w:p>
        </w:tc>
        <w:tc>
          <w:tcPr>
            <w:tcW w:w="644" w:type="dxa"/>
            <w:tcBorders>
              <w:top w:val="nil"/>
              <w:left w:val="nil"/>
              <w:bottom w:val="single" w:sz="4" w:space="0" w:color="auto"/>
              <w:right w:val="single" w:sz="4" w:space="0" w:color="auto"/>
            </w:tcBorders>
            <w:shd w:val="clear" w:color="auto" w:fill="auto"/>
            <w:noWrap/>
            <w:vAlign w:val="bottom"/>
            <w:hideMark/>
          </w:tcPr>
          <w:p w14:paraId="2B9E82EE"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21.1  </w:t>
            </w:r>
          </w:p>
        </w:tc>
        <w:tc>
          <w:tcPr>
            <w:tcW w:w="837" w:type="dxa"/>
            <w:tcBorders>
              <w:top w:val="nil"/>
              <w:left w:val="nil"/>
              <w:bottom w:val="single" w:sz="4" w:space="0" w:color="auto"/>
              <w:right w:val="single" w:sz="4" w:space="0" w:color="auto"/>
            </w:tcBorders>
            <w:shd w:val="clear" w:color="auto" w:fill="auto"/>
            <w:noWrap/>
            <w:vAlign w:val="bottom"/>
            <w:hideMark/>
          </w:tcPr>
          <w:p w14:paraId="7B11B887"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42,657  </w:t>
            </w:r>
          </w:p>
        </w:tc>
        <w:tc>
          <w:tcPr>
            <w:tcW w:w="644" w:type="dxa"/>
            <w:tcBorders>
              <w:top w:val="nil"/>
              <w:left w:val="nil"/>
              <w:bottom w:val="single" w:sz="4" w:space="0" w:color="auto"/>
              <w:right w:val="single" w:sz="4" w:space="0" w:color="auto"/>
            </w:tcBorders>
            <w:shd w:val="clear" w:color="auto" w:fill="auto"/>
            <w:noWrap/>
            <w:vAlign w:val="bottom"/>
            <w:hideMark/>
          </w:tcPr>
          <w:p w14:paraId="71E10B9A"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20.2  </w:t>
            </w:r>
          </w:p>
        </w:tc>
        <w:tc>
          <w:tcPr>
            <w:tcW w:w="837" w:type="dxa"/>
            <w:tcBorders>
              <w:top w:val="nil"/>
              <w:left w:val="nil"/>
              <w:bottom w:val="single" w:sz="4" w:space="0" w:color="auto"/>
              <w:right w:val="single" w:sz="4" w:space="0" w:color="auto"/>
            </w:tcBorders>
            <w:shd w:val="clear" w:color="auto" w:fill="auto"/>
            <w:noWrap/>
            <w:vAlign w:val="bottom"/>
            <w:hideMark/>
          </w:tcPr>
          <w:p w14:paraId="6186F6D3"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49,918  </w:t>
            </w:r>
          </w:p>
        </w:tc>
        <w:tc>
          <w:tcPr>
            <w:tcW w:w="644" w:type="dxa"/>
            <w:tcBorders>
              <w:top w:val="nil"/>
              <w:left w:val="nil"/>
              <w:bottom w:val="single" w:sz="4" w:space="0" w:color="auto"/>
              <w:right w:val="single" w:sz="4" w:space="0" w:color="auto"/>
            </w:tcBorders>
            <w:shd w:val="clear" w:color="auto" w:fill="auto"/>
            <w:noWrap/>
            <w:vAlign w:val="bottom"/>
            <w:hideMark/>
          </w:tcPr>
          <w:p w14:paraId="11B7DB71"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15.4  </w:t>
            </w:r>
          </w:p>
        </w:tc>
      </w:tr>
      <w:tr w:rsidR="0047351B" w:rsidRPr="0047351B" w14:paraId="5711D0D9" w14:textId="77777777" w:rsidTr="0047351B">
        <w:trPr>
          <w:trHeight w:val="304"/>
        </w:trPr>
        <w:tc>
          <w:tcPr>
            <w:tcW w:w="2388" w:type="dxa"/>
            <w:tcBorders>
              <w:top w:val="nil"/>
              <w:left w:val="single" w:sz="4" w:space="0" w:color="auto"/>
              <w:bottom w:val="single" w:sz="4" w:space="0" w:color="auto"/>
              <w:right w:val="single" w:sz="4" w:space="0" w:color="auto"/>
            </w:tcBorders>
            <w:shd w:val="clear" w:color="auto" w:fill="auto"/>
            <w:noWrap/>
            <w:vAlign w:val="bottom"/>
            <w:hideMark/>
          </w:tcPr>
          <w:p w14:paraId="64B04896" w14:textId="77777777" w:rsidR="0047351B" w:rsidRPr="0047351B" w:rsidRDefault="0047351B" w:rsidP="0047351B">
            <w:pPr>
              <w:spacing w:after="0" w:line="240" w:lineRule="auto"/>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   Sugar</w:t>
            </w:r>
          </w:p>
        </w:tc>
        <w:tc>
          <w:tcPr>
            <w:tcW w:w="837" w:type="dxa"/>
            <w:tcBorders>
              <w:top w:val="nil"/>
              <w:left w:val="nil"/>
              <w:bottom w:val="single" w:sz="4" w:space="0" w:color="auto"/>
              <w:right w:val="single" w:sz="4" w:space="0" w:color="auto"/>
            </w:tcBorders>
            <w:shd w:val="clear" w:color="auto" w:fill="auto"/>
            <w:noWrap/>
            <w:vAlign w:val="bottom"/>
            <w:hideMark/>
          </w:tcPr>
          <w:p w14:paraId="59DD8971"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4,949  </w:t>
            </w:r>
          </w:p>
        </w:tc>
        <w:tc>
          <w:tcPr>
            <w:tcW w:w="644" w:type="dxa"/>
            <w:tcBorders>
              <w:top w:val="nil"/>
              <w:left w:val="nil"/>
              <w:bottom w:val="single" w:sz="4" w:space="0" w:color="auto"/>
              <w:right w:val="single" w:sz="4" w:space="0" w:color="auto"/>
            </w:tcBorders>
            <w:shd w:val="clear" w:color="auto" w:fill="auto"/>
            <w:noWrap/>
            <w:vAlign w:val="bottom"/>
            <w:hideMark/>
          </w:tcPr>
          <w:p w14:paraId="22EEA3EC"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2.1  </w:t>
            </w:r>
          </w:p>
        </w:tc>
        <w:tc>
          <w:tcPr>
            <w:tcW w:w="837" w:type="dxa"/>
            <w:tcBorders>
              <w:top w:val="nil"/>
              <w:left w:val="nil"/>
              <w:bottom w:val="single" w:sz="4" w:space="0" w:color="auto"/>
              <w:right w:val="single" w:sz="4" w:space="0" w:color="auto"/>
            </w:tcBorders>
            <w:shd w:val="clear" w:color="auto" w:fill="auto"/>
            <w:noWrap/>
            <w:vAlign w:val="bottom"/>
            <w:hideMark/>
          </w:tcPr>
          <w:p w14:paraId="38134F7B"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6,810  </w:t>
            </w:r>
          </w:p>
        </w:tc>
        <w:tc>
          <w:tcPr>
            <w:tcW w:w="644" w:type="dxa"/>
            <w:tcBorders>
              <w:top w:val="nil"/>
              <w:left w:val="nil"/>
              <w:bottom w:val="single" w:sz="4" w:space="0" w:color="auto"/>
              <w:right w:val="single" w:sz="4" w:space="0" w:color="auto"/>
            </w:tcBorders>
            <w:shd w:val="clear" w:color="auto" w:fill="auto"/>
            <w:noWrap/>
            <w:vAlign w:val="bottom"/>
            <w:hideMark/>
          </w:tcPr>
          <w:p w14:paraId="57DCE4BE"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3.0  </w:t>
            </w:r>
          </w:p>
        </w:tc>
        <w:tc>
          <w:tcPr>
            <w:tcW w:w="837" w:type="dxa"/>
            <w:tcBorders>
              <w:top w:val="nil"/>
              <w:left w:val="nil"/>
              <w:bottom w:val="single" w:sz="4" w:space="0" w:color="auto"/>
              <w:right w:val="single" w:sz="4" w:space="0" w:color="auto"/>
            </w:tcBorders>
            <w:shd w:val="clear" w:color="auto" w:fill="auto"/>
            <w:noWrap/>
            <w:vAlign w:val="bottom"/>
            <w:hideMark/>
          </w:tcPr>
          <w:p w14:paraId="50403CAA"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7,273  </w:t>
            </w:r>
          </w:p>
        </w:tc>
        <w:tc>
          <w:tcPr>
            <w:tcW w:w="644" w:type="dxa"/>
            <w:tcBorders>
              <w:top w:val="nil"/>
              <w:left w:val="nil"/>
              <w:bottom w:val="single" w:sz="4" w:space="0" w:color="auto"/>
              <w:right w:val="single" w:sz="4" w:space="0" w:color="auto"/>
            </w:tcBorders>
            <w:shd w:val="clear" w:color="auto" w:fill="auto"/>
            <w:noWrap/>
            <w:vAlign w:val="bottom"/>
            <w:hideMark/>
          </w:tcPr>
          <w:p w14:paraId="4B643853"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4.1  </w:t>
            </w:r>
          </w:p>
        </w:tc>
        <w:tc>
          <w:tcPr>
            <w:tcW w:w="837" w:type="dxa"/>
            <w:tcBorders>
              <w:top w:val="nil"/>
              <w:left w:val="nil"/>
              <w:bottom w:val="single" w:sz="4" w:space="0" w:color="auto"/>
              <w:right w:val="single" w:sz="4" w:space="0" w:color="auto"/>
            </w:tcBorders>
            <w:shd w:val="clear" w:color="auto" w:fill="auto"/>
            <w:noWrap/>
            <w:vAlign w:val="bottom"/>
            <w:hideMark/>
          </w:tcPr>
          <w:p w14:paraId="5ED19793"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7,029  </w:t>
            </w:r>
          </w:p>
        </w:tc>
        <w:tc>
          <w:tcPr>
            <w:tcW w:w="644" w:type="dxa"/>
            <w:tcBorders>
              <w:top w:val="nil"/>
              <w:left w:val="nil"/>
              <w:bottom w:val="single" w:sz="4" w:space="0" w:color="auto"/>
              <w:right w:val="single" w:sz="4" w:space="0" w:color="auto"/>
            </w:tcBorders>
            <w:shd w:val="clear" w:color="auto" w:fill="auto"/>
            <w:noWrap/>
            <w:vAlign w:val="bottom"/>
            <w:hideMark/>
          </w:tcPr>
          <w:p w14:paraId="29B0D0EC"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3.3  </w:t>
            </w:r>
          </w:p>
        </w:tc>
        <w:tc>
          <w:tcPr>
            <w:tcW w:w="837" w:type="dxa"/>
            <w:tcBorders>
              <w:top w:val="nil"/>
              <w:left w:val="nil"/>
              <w:bottom w:val="single" w:sz="4" w:space="0" w:color="auto"/>
              <w:right w:val="single" w:sz="4" w:space="0" w:color="auto"/>
            </w:tcBorders>
            <w:shd w:val="clear" w:color="auto" w:fill="auto"/>
            <w:noWrap/>
            <w:vAlign w:val="bottom"/>
            <w:hideMark/>
          </w:tcPr>
          <w:p w14:paraId="7F4BC47F"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8,801  </w:t>
            </w:r>
          </w:p>
        </w:tc>
        <w:tc>
          <w:tcPr>
            <w:tcW w:w="644" w:type="dxa"/>
            <w:tcBorders>
              <w:top w:val="nil"/>
              <w:left w:val="nil"/>
              <w:bottom w:val="single" w:sz="4" w:space="0" w:color="auto"/>
              <w:right w:val="single" w:sz="4" w:space="0" w:color="auto"/>
            </w:tcBorders>
            <w:shd w:val="clear" w:color="auto" w:fill="auto"/>
            <w:noWrap/>
            <w:vAlign w:val="bottom"/>
            <w:hideMark/>
          </w:tcPr>
          <w:p w14:paraId="18BE4961" w14:textId="77777777" w:rsidR="0047351B" w:rsidRPr="0047351B" w:rsidRDefault="0047351B" w:rsidP="0047351B">
            <w:pPr>
              <w:spacing w:after="0" w:line="240" w:lineRule="auto"/>
              <w:jc w:val="right"/>
              <w:rPr>
                <w:rFonts w:ascii="Times New Roman" w:eastAsia="Times New Roman" w:hAnsi="Times New Roman"/>
                <w:color w:val="000000"/>
                <w:sz w:val="18"/>
                <w:szCs w:val="18"/>
                <w:lang w:val="en-MU" w:eastAsia="en-MU"/>
              </w:rPr>
            </w:pPr>
            <w:r w:rsidRPr="0047351B">
              <w:rPr>
                <w:rFonts w:ascii="Times New Roman" w:eastAsia="Times New Roman" w:hAnsi="Times New Roman"/>
                <w:color w:val="000000"/>
                <w:sz w:val="18"/>
                <w:szCs w:val="18"/>
                <w:lang w:val="en-MU" w:eastAsia="en-MU"/>
              </w:rPr>
              <w:t xml:space="preserve">2.7  </w:t>
            </w:r>
          </w:p>
        </w:tc>
      </w:tr>
    </w:tbl>
    <w:p w14:paraId="0B5112B7" w14:textId="78D861FA" w:rsidR="00BD19C6" w:rsidRDefault="00BD19C6" w:rsidP="007D6B20">
      <w:pPr>
        <w:pStyle w:val="ListParagraph"/>
        <w:spacing w:after="0"/>
        <w:ind w:left="0"/>
        <w:contextualSpacing w:val="0"/>
        <w:jc w:val="both"/>
        <w:rPr>
          <w:rFonts w:ascii="Times New Roman" w:hAnsi="Times New Roman"/>
          <w:b/>
        </w:rPr>
      </w:pPr>
    </w:p>
    <w:p w14:paraId="560F11C8" w14:textId="231A5938" w:rsidR="007D6B20" w:rsidRPr="007D6B20" w:rsidRDefault="00126ACD" w:rsidP="00271CD2">
      <w:pPr>
        <w:spacing w:line="360" w:lineRule="auto"/>
        <w:jc w:val="both"/>
        <w:rPr>
          <w:rFonts w:ascii="Times New Roman" w:hAnsi="Times New Roman"/>
          <w:b/>
          <w:sz w:val="24"/>
          <w:szCs w:val="24"/>
        </w:rPr>
      </w:pPr>
      <w:r w:rsidRPr="007B59D2">
        <w:rPr>
          <w:rFonts w:ascii="Times New Roman" w:hAnsi="Times New Roman"/>
          <w:i/>
          <w:sz w:val="20"/>
          <w:szCs w:val="20"/>
        </w:rPr>
        <w:t xml:space="preserve">Source: </w:t>
      </w:r>
      <w:r w:rsidR="007B59D2" w:rsidRPr="007B59D2">
        <w:rPr>
          <w:rFonts w:ascii="Times New Roman" w:hAnsi="Times New Roman"/>
          <w:i/>
          <w:sz w:val="20"/>
          <w:szCs w:val="20"/>
        </w:rPr>
        <w:t xml:space="preserve">Balance of payments, External Trade and National Accounts Estimates </w:t>
      </w:r>
      <w:r w:rsidR="00271CD2">
        <w:rPr>
          <w:rFonts w:ascii="Times New Roman" w:hAnsi="Times New Roman"/>
          <w:i/>
          <w:sz w:val="20"/>
          <w:szCs w:val="20"/>
        </w:rPr>
        <w:t xml:space="preserve">   </w:t>
      </w:r>
      <w:r w:rsidRPr="007B59D2">
        <w:rPr>
          <w:rFonts w:ascii="Times New Roman" w:hAnsi="Times New Roman"/>
          <w:i/>
          <w:sz w:val="20"/>
          <w:szCs w:val="20"/>
        </w:rPr>
        <w:t xml:space="preserve"> </w:t>
      </w:r>
      <w:r w:rsidR="007D6B20" w:rsidRPr="005C302D">
        <w:rPr>
          <w:rFonts w:ascii="Times New Roman" w:hAnsi="Times New Roman"/>
          <w:i/>
          <w:sz w:val="20"/>
          <w:szCs w:val="20"/>
          <w:vertAlign w:val="superscript"/>
        </w:rPr>
        <w:t>1</w:t>
      </w:r>
      <w:r w:rsidR="007D6B20" w:rsidRPr="00AD0BB6">
        <w:rPr>
          <w:rFonts w:ascii="Times New Roman" w:hAnsi="Times New Roman"/>
          <w:i/>
          <w:sz w:val="20"/>
          <w:szCs w:val="20"/>
        </w:rPr>
        <w:t>/Provisional</w:t>
      </w:r>
    </w:p>
    <w:p w14:paraId="402B02C1" w14:textId="44DD8612" w:rsidR="00DB4A1B" w:rsidRDefault="00DB4A1B" w:rsidP="00410493">
      <w:pPr>
        <w:jc w:val="both"/>
        <w:rPr>
          <w:rFonts w:ascii="Times New Roman" w:hAnsi="Times New Roman"/>
          <w:b/>
          <w:sz w:val="24"/>
          <w:szCs w:val="24"/>
        </w:rPr>
      </w:pPr>
    </w:p>
    <w:p w14:paraId="016D3A62" w14:textId="77777777" w:rsidR="00271CD2" w:rsidRDefault="00271CD2" w:rsidP="00410493">
      <w:pPr>
        <w:jc w:val="both"/>
        <w:rPr>
          <w:rFonts w:ascii="Times New Roman" w:hAnsi="Times New Roman"/>
          <w:b/>
          <w:sz w:val="24"/>
          <w:szCs w:val="24"/>
        </w:rPr>
      </w:pPr>
    </w:p>
    <w:p w14:paraId="36974D29" w14:textId="3FDDEF1D" w:rsidR="00410493" w:rsidRDefault="00410493" w:rsidP="00410493">
      <w:pPr>
        <w:jc w:val="both"/>
        <w:rPr>
          <w:rFonts w:ascii="Times New Roman" w:hAnsi="Times New Roman"/>
          <w:b/>
          <w:sz w:val="24"/>
          <w:szCs w:val="24"/>
        </w:rPr>
      </w:pPr>
      <w:r w:rsidRPr="00535EB9">
        <w:rPr>
          <w:rFonts w:ascii="Times New Roman" w:hAnsi="Times New Roman"/>
          <w:b/>
          <w:sz w:val="24"/>
          <w:szCs w:val="24"/>
        </w:rPr>
        <w:lastRenderedPageBreak/>
        <w:t xml:space="preserve">Chart </w:t>
      </w:r>
      <w:r>
        <w:rPr>
          <w:rFonts w:ascii="Times New Roman" w:hAnsi="Times New Roman"/>
          <w:b/>
          <w:sz w:val="24"/>
          <w:szCs w:val="24"/>
        </w:rPr>
        <w:t>3</w:t>
      </w:r>
      <w:r w:rsidRPr="00535EB9">
        <w:rPr>
          <w:rFonts w:ascii="Times New Roman" w:hAnsi="Times New Roman"/>
          <w:b/>
          <w:sz w:val="24"/>
          <w:szCs w:val="24"/>
        </w:rPr>
        <w:t>: Share of main export items in the total exports of goods and services, 201</w:t>
      </w:r>
      <w:r>
        <w:rPr>
          <w:rFonts w:ascii="Times New Roman" w:hAnsi="Times New Roman"/>
          <w:b/>
          <w:sz w:val="24"/>
          <w:szCs w:val="24"/>
        </w:rPr>
        <w:t>8</w:t>
      </w:r>
      <w:r w:rsidR="00201BAF">
        <w:rPr>
          <w:rFonts w:ascii="Times New Roman" w:hAnsi="Times New Roman"/>
          <w:b/>
          <w:sz w:val="24"/>
          <w:szCs w:val="24"/>
        </w:rPr>
        <w:t>-2022</w:t>
      </w:r>
    </w:p>
    <w:p w14:paraId="29FDAF9F" w14:textId="3CCEAAD9" w:rsidR="009952D0" w:rsidRDefault="009952D0" w:rsidP="00410493">
      <w:pPr>
        <w:jc w:val="both"/>
        <w:rPr>
          <w:rFonts w:ascii="Times New Roman" w:hAnsi="Times New Roman"/>
          <w:b/>
          <w:sz w:val="24"/>
          <w:szCs w:val="24"/>
        </w:rPr>
      </w:pPr>
      <w:r>
        <w:rPr>
          <w:noProof/>
        </w:rPr>
        <w:drawing>
          <wp:inline distT="0" distB="0" distL="0" distR="0" wp14:anchorId="5F7D1FB2" wp14:editId="165CE648">
            <wp:extent cx="5819775" cy="2305050"/>
            <wp:effectExtent l="0" t="0" r="9525" b="0"/>
            <wp:docPr id="1" name="Chart 1">
              <a:extLst xmlns:a="http://schemas.openxmlformats.org/drawingml/2006/main">
                <a:ext uri="{FF2B5EF4-FFF2-40B4-BE49-F238E27FC236}">
                  <a16:creationId xmlns:a16="http://schemas.microsoft.com/office/drawing/2014/main" id="{507DF337-2911-4BF3-B38B-15292899DE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9EB052" w14:textId="77777777" w:rsidR="00251075" w:rsidRPr="00251075" w:rsidRDefault="00251075" w:rsidP="00251075">
      <w:pPr>
        <w:spacing w:line="360" w:lineRule="auto"/>
        <w:jc w:val="both"/>
        <w:rPr>
          <w:rFonts w:ascii="Times New Roman" w:hAnsi="Times New Roman"/>
          <w:b/>
          <w:sz w:val="24"/>
          <w:szCs w:val="24"/>
        </w:rPr>
      </w:pPr>
      <w:r w:rsidRPr="00251075">
        <w:rPr>
          <w:rFonts w:ascii="Times New Roman" w:hAnsi="Times New Roman"/>
          <w:i/>
          <w:sz w:val="20"/>
          <w:szCs w:val="20"/>
        </w:rPr>
        <w:t xml:space="preserve">Source: Balance of payments, External Trade and National Accounts Estimates  </w:t>
      </w:r>
    </w:p>
    <w:p w14:paraId="6CCFCA07" w14:textId="1FB3FC45" w:rsidR="00410493" w:rsidRDefault="00410493" w:rsidP="00410493">
      <w:pPr>
        <w:pStyle w:val="ListParagraph"/>
        <w:numPr>
          <w:ilvl w:val="0"/>
          <w:numId w:val="5"/>
        </w:numPr>
        <w:jc w:val="both"/>
        <w:rPr>
          <w:rFonts w:ascii="Times New Roman" w:hAnsi="Times New Roman"/>
          <w:sz w:val="24"/>
          <w:szCs w:val="24"/>
        </w:rPr>
      </w:pPr>
      <w:r w:rsidRPr="00523FA2">
        <w:rPr>
          <w:rFonts w:ascii="Times New Roman" w:hAnsi="Times New Roman"/>
          <w:sz w:val="24"/>
          <w:szCs w:val="24"/>
        </w:rPr>
        <w:t>Tourism balance of trade, defined as tourism exports (locally produced goods and services purchased by non-resident visitors in the country) net of tourism imports (goods and services purchased by resident visitors outside the country) for the period 201</w:t>
      </w:r>
      <w:r w:rsidR="005326D4">
        <w:rPr>
          <w:rFonts w:ascii="Times New Roman" w:hAnsi="Times New Roman"/>
          <w:sz w:val="24"/>
          <w:szCs w:val="24"/>
        </w:rPr>
        <w:t>8</w:t>
      </w:r>
      <w:r w:rsidRPr="00523FA2">
        <w:rPr>
          <w:rFonts w:ascii="Times New Roman" w:hAnsi="Times New Roman"/>
          <w:sz w:val="24"/>
          <w:szCs w:val="24"/>
        </w:rPr>
        <w:t xml:space="preserve"> to 20</w:t>
      </w:r>
      <w:r w:rsidR="00852B0B">
        <w:rPr>
          <w:rFonts w:ascii="Times New Roman" w:hAnsi="Times New Roman"/>
          <w:sz w:val="24"/>
          <w:szCs w:val="24"/>
        </w:rPr>
        <w:t>22</w:t>
      </w:r>
      <w:r w:rsidRPr="00523FA2">
        <w:rPr>
          <w:rFonts w:ascii="Times New Roman" w:hAnsi="Times New Roman"/>
          <w:sz w:val="24"/>
          <w:szCs w:val="24"/>
        </w:rPr>
        <w:t xml:space="preserve"> is shown in Table </w:t>
      </w:r>
      <w:r w:rsidR="00A14137">
        <w:rPr>
          <w:rFonts w:ascii="Times New Roman" w:hAnsi="Times New Roman"/>
          <w:sz w:val="24"/>
          <w:szCs w:val="24"/>
        </w:rPr>
        <w:t>C</w:t>
      </w:r>
      <w:r w:rsidRPr="00523FA2">
        <w:rPr>
          <w:rFonts w:ascii="Times New Roman" w:hAnsi="Times New Roman"/>
          <w:sz w:val="24"/>
          <w:szCs w:val="24"/>
        </w:rPr>
        <w:t xml:space="preserve"> below.</w:t>
      </w:r>
    </w:p>
    <w:p w14:paraId="7A866141" w14:textId="77777777" w:rsidR="00410493" w:rsidRDefault="00410493" w:rsidP="00410493">
      <w:pPr>
        <w:pStyle w:val="ListParagraph"/>
        <w:ind w:left="0"/>
        <w:jc w:val="both"/>
        <w:rPr>
          <w:rFonts w:ascii="Times New Roman" w:hAnsi="Times New Roman"/>
          <w:sz w:val="24"/>
          <w:szCs w:val="24"/>
        </w:rPr>
      </w:pPr>
    </w:p>
    <w:p w14:paraId="104DFE6A" w14:textId="63F6D0D9" w:rsidR="00410493" w:rsidRPr="00535EB9" w:rsidRDefault="00201BAF" w:rsidP="00410493">
      <w:pPr>
        <w:pStyle w:val="ListParagraph"/>
        <w:numPr>
          <w:ilvl w:val="0"/>
          <w:numId w:val="5"/>
        </w:numPr>
        <w:jc w:val="both"/>
        <w:rPr>
          <w:rFonts w:ascii="Times New Roman" w:hAnsi="Times New Roman"/>
          <w:sz w:val="24"/>
          <w:szCs w:val="24"/>
        </w:rPr>
      </w:pPr>
      <w:r>
        <w:rPr>
          <w:rFonts w:ascii="Times New Roman" w:hAnsi="Times New Roman"/>
          <w:sz w:val="24"/>
          <w:szCs w:val="24"/>
        </w:rPr>
        <w:t>The</w:t>
      </w:r>
      <w:r w:rsidR="00410493" w:rsidRPr="00535EB9">
        <w:rPr>
          <w:rFonts w:ascii="Times New Roman" w:hAnsi="Times New Roman"/>
          <w:sz w:val="24"/>
          <w:szCs w:val="24"/>
        </w:rPr>
        <w:t xml:space="preserve"> tourism balance of trade for </w:t>
      </w:r>
      <w:r>
        <w:rPr>
          <w:rFonts w:ascii="Times New Roman" w:hAnsi="Times New Roman"/>
          <w:sz w:val="24"/>
          <w:szCs w:val="24"/>
        </w:rPr>
        <w:t>2018 was around Rs 5</w:t>
      </w:r>
      <w:r w:rsidR="00CB6671">
        <w:rPr>
          <w:rFonts w:ascii="Times New Roman" w:hAnsi="Times New Roman"/>
          <w:sz w:val="24"/>
          <w:szCs w:val="24"/>
        </w:rPr>
        <w:t>0.7</w:t>
      </w:r>
      <w:r>
        <w:rPr>
          <w:rFonts w:ascii="Times New Roman" w:hAnsi="Times New Roman"/>
          <w:sz w:val="24"/>
          <w:szCs w:val="24"/>
        </w:rPr>
        <w:t xml:space="preserve"> </w:t>
      </w:r>
      <w:r w:rsidR="00CB6671">
        <w:rPr>
          <w:rFonts w:ascii="Times New Roman" w:hAnsi="Times New Roman"/>
          <w:sz w:val="24"/>
          <w:szCs w:val="24"/>
        </w:rPr>
        <w:t>b</w:t>
      </w:r>
      <w:r>
        <w:rPr>
          <w:rFonts w:ascii="Times New Roman" w:hAnsi="Times New Roman"/>
          <w:sz w:val="24"/>
          <w:szCs w:val="24"/>
        </w:rPr>
        <w:t xml:space="preserve">illion, </w:t>
      </w:r>
      <w:r w:rsidR="00CB6671">
        <w:rPr>
          <w:rFonts w:ascii="Times New Roman" w:hAnsi="Times New Roman"/>
          <w:sz w:val="24"/>
          <w:szCs w:val="24"/>
        </w:rPr>
        <w:t>and</w:t>
      </w:r>
      <w:r w:rsidR="00410493" w:rsidRPr="00535EB9">
        <w:rPr>
          <w:rFonts w:ascii="Times New Roman" w:hAnsi="Times New Roman"/>
          <w:sz w:val="24"/>
          <w:szCs w:val="24"/>
        </w:rPr>
        <w:t xml:space="preserve"> </w:t>
      </w:r>
      <w:r w:rsidR="00CB6671">
        <w:rPr>
          <w:rFonts w:ascii="Times New Roman" w:hAnsi="Times New Roman"/>
          <w:sz w:val="24"/>
          <w:szCs w:val="24"/>
        </w:rPr>
        <w:t xml:space="preserve">a slight </w:t>
      </w:r>
      <w:r w:rsidR="00410493" w:rsidRPr="00535EB9">
        <w:rPr>
          <w:rFonts w:ascii="Times New Roman" w:hAnsi="Times New Roman"/>
          <w:sz w:val="24"/>
          <w:szCs w:val="24"/>
        </w:rPr>
        <w:t>decrease</w:t>
      </w:r>
      <w:r w:rsidR="00CB6671">
        <w:rPr>
          <w:rFonts w:ascii="Times New Roman" w:hAnsi="Times New Roman"/>
          <w:sz w:val="24"/>
          <w:szCs w:val="24"/>
        </w:rPr>
        <w:t xml:space="preserve"> was observed</w:t>
      </w:r>
      <w:r w:rsidR="00410493" w:rsidRPr="00535EB9">
        <w:rPr>
          <w:rFonts w:ascii="Times New Roman" w:hAnsi="Times New Roman"/>
          <w:sz w:val="24"/>
          <w:szCs w:val="24"/>
        </w:rPr>
        <w:t xml:space="preserve"> </w:t>
      </w:r>
      <w:r>
        <w:rPr>
          <w:rFonts w:ascii="Times New Roman" w:hAnsi="Times New Roman"/>
          <w:sz w:val="24"/>
          <w:szCs w:val="24"/>
        </w:rPr>
        <w:t>in 2019</w:t>
      </w:r>
      <w:r w:rsidR="00873C1B">
        <w:rPr>
          <w:rFonts w:ascii="Times New Roman" w:hAnsi="Times New Roman"/>
          <w:sz w:val="24"/>
          <w:szCs w:val="24"/>
        </w:rPr>
        <w:t>.</w:t>
      </w:r>
      <w:r w:rsidR="00F624CD">
        <w:rPr>
          <w:rFonts w:ascii="Times New Roman" w:hAnsi="Times New Roman"/>
          <w:sz w:val="24"/>
          <w:szCs w:val="24"/>
        </w:rPr>
        <w:t xml:space="preserve"> </w:t>
      </w:r>
      <w:r w:rsidR="00CB6671">
        <w:rPr>
          <w:rFonts w:ascii="Times New Roman" w:hAnsi="Times New Roman"/>
          <w:sz w:val="24"/>
          <w:szCs w:val="24"/>
        </w:rPr>
        <w:t>However, a s</w:t>
      </w:r>
      <w:r w:rsidR="00873C1B">
        <w:rPr>
          <w:rFonts w:ascii="Times New Roman" w:hAnsi="Times New Roman"/>
          <w:sz w:val="24"/>
          <w:szCs w:val="24"/>
        </w:rPr>
        <w:t xml:space="preserve">harp </w:t>
      </w:r>
      <w:r w:rsidR="00F624CD">
        <w:rPr>
          <w:rFonts w:ascii="Times New Roman" w:hAnsi="Times New Roman"/>
          <w:sz w:val="24"/>
          <w:szCs w:val="24"/>
        </w:rPr>
        <w:t>decrease</w:t>
      </w:r>
      <w:r w:rsidR="00873C1B">
        <w:rPr>
          <w:rFonts w:ascii="Times New Roman" w:hAnsi="Times New Roman"/>
          <w:sz w:val="24"/>
          <w:szCs w:val="24"/>
        </w:rPr>
        <w:t xml:space="preserve"> w</w:t>
      </w:r>
      <w:r w:rsidR="00CB6671">
        <w:rPr>
          <w:rFonts w:ascii="Times New Roman" w:hAnsi="Times New Roman"/>
          <w:sz w:val="24"/>
          <w:szCs w:val="24"/>
        </w:rPr>
        <w:t>as</w:t>
      </w:r>
      <w:r w:rsidR="00873C1B">
        <w:rPr>
          <w:rFonts w:ascii="Times New Roman" w:hAnsi="Times New Roman"/>
          <w:sz w:val="24"/>
          <w:szCs w:val="24"/>
        </w:rPr>
        <w:t xml:space="preserve"> noted in 2020 and 2021</w:t>
      </w:r>
      <w:r w:rsidR="00CB6671">
        <w:rPr>
          <w:rFonts w:ascii="Times New Roman" w:hAnsi="Times New Roman"/>
          <w:sz w:val="24"/>
          <w:szCs w:val="24"/>
        </w:rPr>
        <w:t>,</w:t>
      </w:r>
      <w:r w:rsidR="00873C1B">
        <w:rPr>
          <w:rFonts w:ascii="Times New Roman" w:hAnsi="Times New Roman"/>
          <w:sz w:val="24"/>
          <w:szCs w:val="24"/>
        </w:rPr>
        <w:t xml:space="preserve"> and i</w:t>
      </w:r>
      <w:r w:rsidR="00CB6671">
        <w:rPr>
          <w:rFonts w:ascii="Times New Roman" w:hAnsi="Times New Roman"/>
          <w:sz w:val="24"/>
          <w:szCs w:val="24"/>
        </w:rPr>
        <w:t>n</w:t>
      </w:r>
      <w:r w:rsidR="00873C1B">
        <w:rPr>
          <w:rFonts w:ascii="Times New Roman" w:hAnsi="Times New Roman"/>
          <w:sz w:val="24"/>
          <w:szCs w:val="24"/>
        </w:rPr>
        <w:t xml:space="preserve"> </w:t>
      </w:r>
      <w:r w:rsidR="00CB6671">
        <w:rPr>
          <w:rFonts w:ascii="Times New Roman" w:hAnsi="Times New Roman"/>
          <w:sz w:val="24"/>
          <w:szCs w:val="24"/>
        </w:rPr>
        <w:t>2022, the balance of trade in the tourism sector increased to Rs 53.9 billion.</w:t>
      </w:r>
    </w:p>
    <w:p w14:paraId="1B25EF78" w14:textId="02C4EE19" w:rsidR="00410493" w:rsidRDefault="00410493" w:rsidP="00410493">
      <w:pPr>
        <w:spacing w:after="0"/>
        <w:ind w:left="60"/>
        <w:jc w:val="both"/>
        <w:rPr>
          <w:rFonts w:ascii="Times New Roman" w:hAnsi="Times New Roman"/>
          <w:b/>
          <w:sz w:val="24"/>
          <w:szCs w:val="24"/>
        </w:rPr>
      </w:pPr>
      <w:r w:rsidRPr="00535EB9">
        <w:rPr>
          <w:rFonts w:ascii="Times New Roman" w:hAnsi="Times New Roman"/>
          <w:b/>
          <w:sz w:val="24"/>
          <w:szCs w:val="24"/>
        </w:rPr>
        <w:t xml:space="preserve">Table </w:t>
      </w:r>
      <w:r w:rsidR="00A14137">
        <w:rPr>
          <w:rFonts w:ascii="Times New Roman" w:hAnsi="Times New Roman"/>
          <w:b/>
          <w:sz w:val="24"/>
          <w:szCs w:val="24"/>
        </w:rPr>
        <w:t>C</w:t>
      </w:r>
      <w:r w:rsidRPr="00535EB9">
        <w:rPr>
          <w:rFonts w:ascii="Times New Roman" w:hAnsi="Times New Roman"/>
          <w:b/>
          <w:sz w:val="24"/>
          <w:szCs w:val="24"/>
        </w:rPr>
        <w:t>: Balance of trade of tourism sector, export-oriented enterprises, and total economy, 201</w:t>
      </w:r>
      <w:r w:rsidR="00DE54FC">
        <w:rPr>
          <w:rFonts w:ascii="Times New Roman" w:hAnsi="Times New Roman"/>
          <w:b/>
          <w:sz w:val="24"/>
          <w:szCs w:val="24"/>
        </w:rPr>
        <w:t>8</w:t>
      </w:r>
      <w:r w:rsidRPr="00535EB9">
        <w:rPr>
          <w:rFonts w:ascii="Times New Roman" w:hAnsi="Times New Roman"/>
          <w:b/>
          <w:sz w:val="24"/>
          <w:szCs w:val="24"/>
        </w:rPr>
        <w:t>-20</w:t>
      </w:r>
      <w:r w:rsidR="00DE54FC">
        <w:rPr>
          <w:rFonts w:ascii="Times New Roman" w:hAnsi="Times New Roman"/>
          <w:b/>
          <w:sz w:val="24"/>
          <w:szCs w:val="24"/>
        </w:rPr>
        <w:t>22</w:t>
      </w:r>
    </w:p>
    <w:tbl>
      <w:tblPr>
        <w:tblW w:w="9119" w:type="dxa"/>
        <w:tblLook w:val="04A0" w:firstRow="1" w:lastRow="0" w:firstColumn="1" w:lastColumn="0" w:noHBand="0" w:noVBand="1"/>
      </w:tblPr>
      <w:tblGrid>
        <w:gridCol w:w="4044"/>
        <w:gridCol w:w="1015"/>
        <w:gridCol w:w="1015"/>
        <w:gridCol w:w="1015"/>
        <w:gridCol w:w="1015"/>
        <w:gridCol w:w="1015"/>
      </w:tblGrid>
      <w:tr w:rsidR="007122A3" w:rsidRPr="004E0F17" w14:paraId="5265D115" w14:textId="77777777" w:rsidTr="007122A3">
        <w:trPr>
          <w:trHeight w:val="311"/>
        </w:trPr>
        <w:tc>
          <w:tcPr>
            <w:tcW w:w="4044" w:type="dxa"/>
            <w:tcBorders>
              <w:top w:val="nil"/>
              <w:left w:val="nil"/>
              <w:bottom w:val="nil"/>
              <w:right w:val="nil"/>
            </w:tcBorders>
            <w:shd w:val="clear" w:color="auto" w:fill="auto"/>
            <w:noWrap/>
            <w:vAlign w:val="bottom"/>
            <w:hideMark/>
          </w:tcPr>
          <w:p w14:paraId="5BAC4006" w14:textId="77777777" w:rsidR="004E0F17" w:rsidRPr="004E0F17" w:rsidRDefault="004E0F17" w:rsidP="004E0F17">
            <w:pPr>
              <w:spacing w:after="0" w:line="240" w:lineRule="auto"/>
              <w:rPr>
                <w:rFonts w:ascii="Times New Roman" w:eastAsia="Times New Roman" w:hAnsi="Times New Roman"/>
                <w:sz w:val="20"/>
                <w:szCs w:val="20"/>
                <w:lang w:val="en-MU" w:eastAsia="en-MU"/>
              </w:rPr>
            </w:pPr>
          </w:p>
        </w:tc>
        <w:tc>
          <w:tcPr>
            <w:tcW w:w="1015" w:type="dxa"/>
            <w:tcBorders>
              <w:top w:val="nil"/>
              <w:left w:val="nil"/>
              <w:bottom w:val="nil"/>
              <w:right w:val="nil"/>
            </w:tcBorders>
            <w:shd w:val="clear" w:color="auto" w:fill="auto"/>
            <w:noWrap/>
            <w:vAlign w:val="bottom"/>
            <w:hideMark/>
          </w:tcPr>
          <w:p w14:paraId="7A2110CD" w14:textId="77777777" w:rsidR="004E0F17" w:rsidRPr="004E0F17" w:rsidRDefault="004E0F17" w:rsidP="004E0F17">
            <w:pPr>
              <w:spacing w:after="0" w:line="240" w:lineRule="auto"/>
              <w:rPr>
                <w:rFonts w:ascii="Times New Roman" w:eastAsia="Times New Roman" w:hAnsi="Times New Roman"/>
                <w:sz w:val="20"/>
                <w:szCs w:val="20"/>
                <w:lang w:val="en-MU" w:eastAsia="en-MU"/>
              </w:rPr>
            </w:pPr>
          </w:p>
        </w:tc>
        <w:tc>
          <w:tcPr>
            <w:tcW w:w="1015" w:type="dxa"/>
            <w:tcBorders>
              <w:top w:val="nil"/>
              <w:left w:val="nil"/>
              <w:bottom w:val="nil"/>
              <w:right w:val="nil"/>
            </w:tcBorders>
            <w:shd w:val="clear" w:color="auto" w:fill="auto"/>
            <w:noWrap/>
            <w:vAlign w:val="bottom"/>
            <w:hideMark/>
          </w:tcPr>
          <w:p w14:paraId="618E7484" w14:textId="77777777" w:rsidR="004E0F17" w:rsidRPr="004E0F17" w:rsidRDefault="004E0F17" w:rsidP="004E0F17">
            <w:pPr>
              <w:spacing w:after="0" w:line="240" w:lineRule="auto"/>
              <w:rPr>
                <w:rFonts w:ascii="Times New Roman" w:eastAsia="Times New Roman" w:hAnsi="Times New Roman"/>
                <w:sz w:val="20"/>
                <w:szCs w:val="20"/>
                <w:lang w:val="en-MU" w:eastAsia="en-MU"/>
              </w:rPr>
            </w:pPr>
          </w:p>
        </w:tc>
        <w:tc>
          <w:tcPr>
            <w:tcW w:w="1015" w:type="dxa"/>
            <w:tcBorders>
              <w:top w:val="nil"/>
              <w:left w:val="nil"/>
              <w:bottom w:val="nil"/>
              <w:right w:val="nil"/>
            </w:tcBorders>
            <w:shd w:val="clear" w:color="auto" w:fill="auto"/>
            <w:noWrap/>
            <w:vAlign w:val="bottom"/>
            <w:hideMark/>
          </w:tcPr>
          <w:p w14:paraId="3118E976" w14:textId="77777777" w:rsidR="004E0F17" w:rsidRPr="004E0F17" w:rsidRDefault="004E0F17" w:rsidP="004E0F17">
            <w:pPr>
              <w:spacing w:after="0" w:line="240" w:lineRule="auto"/>
              <w:rPr>
                <w:rFonts w:ascii="Times New Roman" w:eastAsia="Times New Roman" w:hAnsi="Times New Roman"/>
                <w:sz w:val="20"/>
                <w:szCs w:val="20"/>
                <w:lang w:val="en-MU" w:eastAsia="en-MU"/>
              </w:rPr>
            </w:pPr>
          </w:p>
        </w:tc>
        <w:tc>
          <w:tcPr>
            <w:tcW w:w="1015" w:type="dxa"/>
            <w:tcBorders>
              <w:top w:val="nil"/>
              <w:left w:val="nil"/>
              <w:bottom w:val="nil"/>
              <w:right w:val="nil"/>
            </w:tcBorders>
            <w:shd w:val="clear" w:color="auto" w:fill="auto"/>
            <w:noWrap/>
            <w:vAlign w:val="bottom"/>
            <w:hideMark/>
          </w:tcPr>
          <w:p w14:paraId="23C110DC" w14:textId="77777777" w:rsidR="004E0F17" w:rsidRPr="004E0F17" w:rsidRDefault="004E0F17" w:rsidP="004E0F17">
            <w:pPr>
              <w:spacing w:after="0" w:line="240" w:lineRule="auto"/>
              <w:rPr>
                <w:rFonts w:ascii="Times New Roman" w:eastAsia="Times New Roman" w:hAnsi="Times New Roman"/>
                <w:sz w:val="20"/>
                <w:szCs w:val="20"/>
                <w:lang w:val="en-MU" w:eastAsia="en-MU"/>
              </w:rPr>
            </w:pPr>
          </w:p>
        </w:tc>
        <w:tc>
          <w:tcPr>
            <w:tcW w:w="1015" w:type="dxa"/>
            <w:tcBorders>
              <w:top w:val="nil"/>
              <w:left w:val="nil"/>
              <w:bottom w:val="nil"/>
              <w:right w:val="nil"/>
            </w:tcBorders>
            <w:shd w:val="clear" w:color="auto" w:fill="auto"/>
            <w:noWrap/>
            <w:vAlign w:val="bottom"/>
            <w:hideMark/>
          </w:tcPr>
          <w:p w14:paraId="40B09C37" w14:textId="77777777" w:rsidR="004E0F17" w:rsidRPr="004E0F17" w:rsidRDefault="004E0F17" w:rsidP="004E0F17">
            <w:pPr>
              <w:spacing w:after="0" w:line="240" w:lineRule="auto"/>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Rs Mn</w:t>
            </w:r>
          </w:p>
        </w:tc>
      </w:tr>
      <w:tr w:rsidR="007122A3" w:rsidRPr="004E0F17" w14:paraId="74907AE4" w14:textId="77777777" w:rsidTr="007122A3">
        <w:trPr>
          <w:trHeight w:val="263"/>
        </w:trPr>
        <w:tc>
          <w:tcPr>
            <w:tcW w:w="40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2EA12" w14:textId="77777777" w:rsidR="004E0F17" w:rsidRPr="004E0F17" w:rsidRDefault="004E0F17" w:rsidP="004E0F17">
            <w:pPr>
              <w:spacing w:after="0" w:line="240" w:lineRule="auto"/>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1BAA8D68" w14:textId="77777777" w:rsidR="004E0F17" w:rsidRPr="004E0F17" w:rsidRDefault="004E0F17" w:rsidP="004E0F17">
            <w:pPr>
              <w:spacing w:after="0" w:line="240" w:lineRule="auto"/>
              <w:jc w:val="center"/>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2018</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78FF9297" w14:textId="77777777" w:rsidR="004E0F17" w:rsidRPr="004E0F17" w:rsidRDefault="004E0F17" w:rsidP="004E0F17">
            <w:pPr>
              <w:spacing w:after="0" w:line="240" w:lineRule="auto"/>
              <w:jc w:val="center"/>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2019</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7FA79374" w14:textId="77777777" w:rsidR="004E0F17" w:rsidRPr="004E0F17" w:rsidRDefault="004E0F17" w:rsidP="004E0F17">
            <w:pPr>
              <w:spacing w:after="0" w:line="240" w:lineRule="auto"/>
              <w:jc w:val="center"/>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2020</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5AD0B8DB" w14:textId="77777777" w:rsidR="004E0F17" w:rsidRPr="004E0F17" w:rsidRDefault="004E0F17" w:rsidP="004E0F17">
            <w:pPr>
              <w:spacing w:after="0" w:line="240" w:lineRule="auto"/>
              <w:jc w:val="center"/>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2021</w:t>
            </w:r>
          </w:p>
        </w:tc>
        <w:tc>
          <w:tcPr>
            <w:tcW w:w="1015" w:type="dxa"/>
            <w:tcBorders>
              <w:top w:val="single" w:sz="4" w:space="0" w:color="auto"/>
              <w:left w:val="nil"/>
              <w:bottom w:val="single" w:sz="4" w:space="0" w:color="auto"/>
              <w:right w:val="single" w:sz="4" w:space="0" w:color="auto"/>
            </w:tcBorders>
            <w:shd w:val="clear" w:color="auto" w:fill="auto"/>
            <w:noWrap/>
            <w:vAlign w:val="bottom"/>
            <w:hideMark/>
          </w:tcPr>
          <w:p w14:paraId="1450A32C" w14:textId="346352BA" w:rsidR="004E0F17" w:rsidRPr="004E0F17" w:rsidRDefault="004E0F17" w:rsidP="004E0F17">
            <w:pPr>
              <w:spacing w:after="0" w:line="240" w:lineRule="auto"/>
              <w:jc w:val="center"/>
              <w:rPr>
                <w:rFonts w:ascii="Times New Roman" w:eastAsia="Times New Roman" w:hAnsi="Times New Roman"/>
                <w:b/>
                <w:bCs/>
                <w:color w:val="000000"/>
                <w:lang w:val="en-GB" w:eastAsia="en-MU"/>
              </w:rPr>
            </w:pPr>
            <w:r w:rsidRPr="004E0F17">
              <w:rPr>
                <w:rFonts w:ascii="Times New Roman" w:eastAsia="Times New Roman" w:hAnsi="Times New Roman"/>
                <w:b/>
                <w:bCs/>
                <w:color w:val="000000"/>
                <w:lang w:val="en-MU" w:eastAsia="en-MU"/>
              </w:rPr>
              <w:t>2022</w:t>
            </w:r>
            <w:r w:rsidRPr="004E0F17">
              <w:rPr>
                <w:rFonts w:ascii="Times New Roman" w:eastAsia="Times New Roman" w:hAnsi="Times New Roman"/>
                <w:b/>
                <w:bCs/>
                <w:color w:val="000000"/>
                <w:vertAlign w:val="superscript"/>
                <w:lang w:val="en-GB" w:eastAsia="en-MU"/>
              </w:rPr>
              <w:t>1</w:t>
            </w:r>
          </w:p>
        </w:tc>
      </w:tr>
      <w:tr w:rsidR="007122A3" w:rsidRPr="004E0F17" w14:paraId="4E4454D5" w14:textId="77777777" w:rsidTr="007122A3">
        <w:trPr>
          <w:trHeight w:val="263"/>
        </w:trPr>
        <w:tc>
          <w:tcPr>
            <w:tcW w:w="4044" w:type="dxa"/>
            <w:tcBorders>
              <w:top w:val="nil"/>
              <w:left w:val="single" w:sz="4" w:space="0" w:color="auto"/>
              <w:bottom w:val="nil"/>
              <w:right w:val="single" w:sz="4" w:space="0" w:color="auto"/>
            </w:tcBorders>
            <w:shd w:val="clear" w:color="auto" w:fill="auto"/>
            <w:noWrap/>
            <w:vAlign w:val="bottom"/>
            <w:hideMark/>
          </w:tcPr>
          <w:p w14:paraId="65C76799"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xml:space="preserve">Total exports of goods and services </w:t>
            </w:r>
          </w:p>
        </w:tc>
        <w:tc>
          <w:tcPr>
            <w:tcW w:w="1015" w:type="dxa"/>
            <w:tcBorders>
              <w:top w:val="nil"/>
              <w:left w:val="nil"/>
              <w:bottom w:val="nil"/>
              <w:right w:val="single" w:sz="4" w:space="0" w:color="auto"/>
            </w:tcBorders>
            <w:shd w:val="clear" w:color="auto" w:fill="auto"/>
            <w:noWrap/>
            <w:vAlign w:val="bottom"/>
            <w:hideMark/>
          </w:tcPr>
          <w:p w14:paraId="2DDE52A4"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230,503</w:t>
            </w:r>
          </w:p>
        </w:tc>
        <w:tc>
          <w:tcPr>
            <w:tcW w:w="1015" w:type="dxa"/>
            <w:tcBorders>
              <w:top w:val="nil"/>
              <w:left w:val="nil"/>
              <w:bottom w:val="nil"/>
              <w:right w:val="single" w:sz="4" w:space="0" w:color="auto"/>
            </w:tcBorders>
            <w:shd w:val="clear" w:color="auto" w:fill="auto"/>
            <w:noWrap/>
            <w:vAlign w:val="bottom"/>
            <w:hideMark/>
          </w:tcPr>
          <w:p w14:paraId="4515334C"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228,749</w:t>
            </w:r>
          </w:p>
        </w:tc>
        <w:tc>
          <w:tcPr>
            <w:tcW w:w="1015" w:type="dxa"/>
            <w:tcBorders>
              <w:top w:val="nil"/>
              <w:left w:val="nil"/>
              <w:bottom w:val="nil"/>
              <w:right w:val="single" w:sz="4" w:space="0" w:color="auto"/>
            </w:tcBorders>
            <w:shd w:val="clear" w:color="auto" w:fill="auto"/>
            <w:noWrap/>
            <w:vAlign w:val="bottom"/>
            <w:hideMark/>
          </w:tcPr>
          <w:p w14:paraId="595DBCA8"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176,631</w:t>
            </w:r>
          </w:p>
        </w:tc>
        <w:tc>
          <w:tcPr>
            <w:tcW w:w="1015" w:type="dxa"/>
            <w:tcBorders>
              <w:top w:val="nil"/>
              <w:left w:val="nil"/>
              <w:bottom w:val="nil"/>
              <w:right w:val="single" w:sz="4" w:space="0" w:color="auto"/>
            </w:tcBorders>
            <w:shd w:val="clear" w:color="auto" w:fill="auto"/>
            <w:noWrap/>
            <w:vAlign w:val="bottom"/>
            <w:hideMark/>
          </w:tcPr>
          <w:p w14:paraId="7C1B4EE5"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211,641</w:t>
            </w:r>
          </w:p>
        </w:tc>
        <w:tc>
          <w:tcPr>
            <w:tcW w:w="1015" w:type="dxa"/>
            <w:tcBorders>
              <w:top w:val="nil"/>
              <w:left w:val="nil"/>
              <w:bottom w:val="nil"/>
              <w:right w:val="single" w:sz="4" w:space="0" w:color="auto"/>
            </w:tcBorders>
            <w:shd w:val="clear" w:color="auto" w:fill="auto"/>
            <w:noWrap/>
            <w:vAlign w:val="bottom"/>
            <w:hideMark/>
          </w:tcPr>
          <w:p w14:paraId="3EAEAD8A"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324,181</w:t>
            </w:r>
          </w:p>
        </w:tc>
      </w:tr>
      <w:tr w:rsidR="007122A3" w:rsidRPr="004E0F17" w14:paraId="3D0D8B4A" w14:textId="77777777" w:rsidTr="007122A3">
        <w:trPr>
          <w:trHeight w:val="263"/>
        </w:trPr>
        <w:tc>
          <w:tcPr>
            <w:tcW w:w="4044" w:type="dxa"/>
            <w:tcBorders>
              <w:top w:val="nil"/>
              <w:left w:val="single" w:sz="4" w:space="0" w:color="auto"/>
              <w:bottom w:val="nil"/>
              <w:right w:val="single" w:sz="4" w:space="0" w:color="auto"/>
            </w:tcBorders>
            <w:shd w:val="clear" w:color="auto" w:fill="auto"/>
            <w:noWrap/>
            <w:vAlign w:val="bottom"/>
            <w:hideMark/>
          </w:tcPr>
          <w:p w14:paraId="2E775715" w14:textId="77777777" w:rsidR="004E0F17" w:rsidRPr="004E0F17" w:rsidRDefault="004E0F17" w:rsidP="004E0F17">
            <w:pPr>
              <w:spacing w:after="0" w:line="240" w:lineRule="auto"/>
              <w:rPr>
                <w:rFonts w:ascii="Times New Roman" w:eastAsia="Times New Roman" w:hAnsi="Times New Roman"/>
                <w:i/>
                <w:iCs/>
                <w:color w:val="000000"/>
                <w:lang w:val="en-MU" w:eastAsia="en-MU"/>
              </w:rPr>
            </w:pPr>
            <w:r w:rsidRPr="004E0F17">
              <w:rPr>
                <w:rFonts w:ascii="Times New Roman" w:eastAsia="Times New Roman" w:hAnsi="Times New Roman"/>
                <w:i/>
                <w:iCs/>
                <w:color w:val="000000"/>
                <w:lang w:val="en-MU" w:eastAsia="en-MU"/>
              </w:rPr>
              <w:t>of which</w:t>
            </w:r>
          </w:p>
        </w:tc>
        <w:tc>
          <w:tcPr>
            <w:tcW w:w="1015" w:type="dxa"/>
            <w:tcBorders>
              <w:top w:val="nil"/>
              <w:left w:val="nil"/>
              <w:bottom w:val="nil"/>
              <w:right w:val="single" w:sz="4" w:space="0" w:color="auto"/>
            </w:tcBorders>
            <w:shd w:val="clear" w:color="auto" w:fill="auto"/>
            <w:noWrap/>
            <w:vAlign w:val="bottom"/>
            <w:hideMark/>
          </w:tcPr>
          <w:p w14:paraId="33548317" w14:textId="77777777" w:rsidR="004E0F17" w:rsidRPr="004E0F17" w:rsidRDefault="004E0F17" w:rsidP="004E0F17">
            <w:pPr>
              <w:spacing w:after="0" w:line="240" w:lineRule="auto"/>
              <w:jc w:val="center"/>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4C35E79D" w14:textId="77777777" w:rsidR="004E0F17" w:rsidRPr="004E0F17" w:rsidRDefault="004E0F17" w:rsidP="004E0F17">
            <w:pPr>
              <w:spacing w:after="0" w:line="240" w:lineRule="auto"/>
              <w:jc w:val="center"/>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4B035F35" w14:textId="77777777" w:rsidR="004E0F17" w:rsidRPr="004E0F17" w:rsidRDefault="004E0F17" w:rsidP="004E0F17">
            <w:pPr>
              <w:spacing w:after="0" w:line="240" w:lineRule="auto"/>
              <w:jc w:val="center"/>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5B6840AE" w14:textId="77777777" w:rsidR="004E0F17" w:rsidRPr="004E0F17" w:rsidRDefault="004E0F17" w:rsidP="004E0F17">
            <w:pPr>
              <w:spacing w:after="0" w:line="240" w:lineRule="auto"/>
              <w:jc w:val="center"/>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4986378A" w14:textId="77777777" w:rsidR="004E0F17" w:rsidRPr="004E0F17" w:rsidRDefault="004E0F17" w:rsidP="004E0F17">
            <w:pPr>
              <w:spacing w:after="0" w:line="240" w:lineRule="auto"/>
              <w:jc w:val="center"/>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w:t>
            </w:r>
          </w:p>
        </w:tc>
      </w:tr>
      <w:tr w:rsidR="007122A3" w:rsidRPr="004E0F17" w14:paraId="70C59D3D" w14:textId="77777777" w:rsidTr="007122A3">
        <w:trPr>
          <w:trHeight w:val="263"/>
        </w:trPr>
        <w:tc>
          <w:tcPr>
            <w:tcW w:w="4044" w:type="dxa"/>
            <w:tcBorders>
              <w:top w:val="nil"/>
              <w:left w:val="single" w:sz="4" w:space="0" w:color="auto"/>
              <w:bottom w:val="nil"/>
              <w:right w:val="single" w:sz="4" w:space="0" w:color="auto"/>
            </w:tcBorders>
            <w:shd w:val="clear" w:color="auto" w:fill="auto"/>
            <w:noWrap/>
            <w:vAlign w:val="bottom"/>
            <w:hideMark/>
          </w:tcPr>
          <w:p w14:paraId="4BA56DC6" w14:textId="77777777" w:rsidR="004E0F17" w:rsidRPr="004E0F17" w:rsidRDefault="004E0F17" w:rsidP="004E0F17">
            <w:pPr>
              <w:spacing w:after="0" w:line="240" w:lineRule="auto"/>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xml:space="preserve">  Tourism sector</w:t>
            </w:r>
          </w:p>
        </w:tc>
        <w:tc>
          <w:tcPr>
            <w:tcW w:w="1015" w:type="dxa"/>
            <w:tcBorders>
              <w:top w:val="nil"/>
              <w:left w:val="nil"/>
              <w:bottom w:val="nil"/>
              <w:right w:val="single" w:sz="4" w:space="0" w:color="auto"/>
            </w:tcBorders>
            <w:shd w:val="clear" w:color="auto" w:fill="auto"/>
            <w:noWrap/>
            <w:vAlign w:val="bottom"/>
            <w:hideMark/>
          </w:tcPr>
          <w:p w14:paraId="2471213E"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73,212</w:t>
            </w:r>
          </w:p>
        </w:tc>
        <w:tc>
          <w:tcPr>
            <w:tcW w:w="1015" w:type="dxa"/>
            <w:tcBorders>
              <w:top w:val="nil"/>
              <w:left w:val="nil"/>
              <w:bottom w:val="nil"/>
              <w:right w:val="single" w:sz="4" w:space="0" w:color="auto"/>
            </w:tcBorders>
            <w:shd w:val="clear" w:color="auto" w:fill="auto"/>
            <w:noWrap/>
            <w:vAlign w:val="bottom"/>
            <w:hideMark/>
          </w:tcPr>
          <w:p w14:paraId="231518F9"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71,821</w:t>
            </w:r>
          </w:p>
        </w:tc>
        <w:tc>
          <w:tcPr>
            <w:tcW w:w="1015" w:type="dxa"/>
            <w:tcBorders>
              <w:top w:val="nil"/>
              <w:left w:val="nil"/>
              <w:bottom w:val="nil"/>
              <w:right w:val="single" w:sz="4" w:space="0" w:color="auto"/>
            </w:tcBorders>
            <w:shd w:val="clear" w:color="auto" w:fill="auto"/>
            <w:noWrap/>
            <w:vAlign w:val="bottom"/>
            <w:hideMark/>
          </w:tcPr>
          <w:p w14:paraId="7B6BCCF0"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19,598</w:t>
            </w:r>
          </w:p>
        </w:tc>
        <w:tc>
          <w:tcPr>
            <w:tcW w:w="1015" w:type="dxa"/>
            <w:tcBorders>
              <w:top w:val="nil"/>
              <w:left w:val="nil"/>
              <w:bottom w:val="nil"/>
              <w:right w:val="single" w:sz="4" w:space="0" w:color="auto"/>
            </w:tcBorders>
            <w:shd w:val="clear" w:color="auto" w:fill="auto"/>
            <w:noWrap/>
            <w:vAlign w:val="bottom"/>
            <w:hideMark/>
          </w:tcPr>
          <w:p w14:paraId="71A21423"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16,449</w:t>
            </w:r>
          </w:p>
        </w:tc>
        <w:tc>
          <w:tcPr>
            <w:tcW w:w="1015" w:type="dxa"/>
            <w:tcBorders>
              <w:top w:val="nil"/>
              <w:left w:val="nil"/>
              <w:bottom w:val="nil"/>
              <w:right w:val="single" w:sz="4" w:space="0" w:color="auto"/>
            </w:tcBorders>
            <w:shd w:val="clear" w:color="auto" w:fill="auto"/>
            <w:noWrap/>
            <w:vAlign w:val="bottom"/>
            <w:hideMark/>
          </w:tcPr>
          <w:p w14:paraId="71EB73C7"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73,060</w:t>
            </w:r>
          </w:p>
        </w:tc>
      </w:tr>
      <w:tr w:rsidR="007122A3" w:rsidRPr="004E0F17" w14:paraId="05D528EF" w14:textId="77777777" w:rsidTr="007122A3">
        <w:trPr>
          <w:trHeight w:val="80"/>
        </w:trPr>
        <w:tc>
          <w:tcPr>
            <w:tcW w:w="4044" w:type="dxa"/>
            <w:tcBorders>
              <w:top w:val="nil"/>
              <w:left w:val="single" w:sz="4" w:space="0" w:color="auto"/>
              <w:bottom w:val="nil"/>
              <w:right w:val="single" w:sz="4" w:space="0" w:color="auto"/>
            </w:tcBorders>
            <w:shd w:val="clear" w:color="auto" w:fill="auto"/>
            <w:noWrap/>
            <w:vAlign w:val="bottom"/>
            <w:hideMark/>
          </w:tcPr>
          <w:p w14:paraId="682E286A" w14:textId="77777777" w:rsidR="004E0F17" w:rsidRPr="004E0F17" w:rsidRDefault="004E0F17" w:rsidP="004E0F17">
            <w:pPr>
              <w:spacing w:after="0" w:line="240" w:lineRule="auto"/>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xml:space="preserve">  Export-oriented enterprises</w:t>
            </w:r>
          </w:p>
        </w:tc>
        <w:tc>
          <w:tcPr>
            <w:tcW w:w="1015" w:type="dxa"/>
            <w:tcBorders>
              <w:top w:val="nil"/>
              <w:left w:val="nil"/>
              <w:bottom w:val="nil"/>
              <w:right w:val="single" w:sz="4" w:space="0" w:color="auto"/>
            </w:tcBorders>
            <w:shd w:val="clear" w:color="auto" w:fill="auto"/>
            <w:noWrap/>
            <w:vAlign w:val="bottom"/>
            <w:hideMark/>
          </w:tcPr>
          <w:p w14:paraId="4DD16311"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43,311</w:t>
            </w:r>
          </w:p>
        </w:tc>
        <w:tc>
          <w:tcPr>
            <w:tcW w:w="1015" w:type="dxa"/>
            <w:tcBorders>
              <w:top w:val="nil"/>
              <w:left w:val="nil"/>
              <w:bottom w:val="nil"/>
              <w:right w:val="single" w:sz="4" w:space="0" w:color="auto"/>
            </w:tcBorders>
            <w:shd w:val="clear" w:color="auto" w:fill="auto"/>
            <w:noWrap/>
            <w:vAlign w:val="bottom"/>
            <w:hideMark/>
          </w:tcPr>
          <w:p w14:paraId="74D266FA"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42,319</w:t>
            </w:r>
          </w:p>
        </w:tc>
        <w:tc>
          <w:tcPr>
            <w:tcW w:w="1015" w:type="dxa"/>
            <w:tcBorders>
              <w:top w:val="nil"/>
              <w:left w:val="nil"/>
              <w:bottom w:val="nil"/>
              <w:right w:val="single" w:sz="4" w:space="0" w:color="auto"/>
            </w:tcBorders>
            <w:shd w:val="clear" w:color="auto" w:fill="auto"/>
            <w:noWrap/>
            <w:vAlign w:val="bottom"/>
            <w:hideMark/>
          </w:tcPr>
          <w:p w14:paraId="46C582ED"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37,289</w:t>
            </w:r>
          </w:p>
        </w:tc>
        <w:tc>
          <w:tcPr>
            <w:tcW w:w="1015" w:type="dxa"/>
            <w:tcBorders>
              <w:top w:val="nil"/>
              <w:left w:val="nil"/>
              <w:bottom w:val="nil"/>
              <w:right w:val="single" w:sz="4" w:space="0" w:color="auto"/>
            </w:tcBorders>
            <w:shd w:val="clear" w:color="auto" w:fill="auto"/>
            <w:noWrap/>
            <w:vAlign w:val="bottom"/>
            <w:hideMark/>
          </w:tcPr>
          <w:p w14:paraId="223C8C8D"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42,657</w:t>
            </w:r>
          </w:p>
        </w:tc>
        <w:tc>
          <w:tcPr>
            <w:tcW w:w="1015" w:type="dxa"/>
            <w:tcBorders>
              <w:top w:val="nil"/>
              <w:left w:val="nil"/>
              <w:bottom w:val="nil"/>
              <w:right w:val="single" w:sz="4" w:space="0" w:color="auto"/>
            </w:tcBorders>
            <w:shd w:val="clear" w:color="auto" w:fill="auto"/>
            <w:noWrap/>
            <w:vAlign w:val="bottom"/>
            <w:hideMark/>
          </w:tcPr>
          <w:p w14:paraId="07E8B785"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49,918</w:t>
            </w:r>
          </w:p>
        </w:tc>
      </w:tr>
      <w:tr w:rsidR="007122A3" w:rsidRPr="004E0F17" w14:paraId="07523D03" w14:textId="77777777" w:rsidTr="007122A3">
        <w:trPr>
          <w:trHeight w:val="263"/>
        </w:trPr>
        <w:tc>
          <w:tcPr>
            <w:tcW w:w="4044" w:type="dxa"/>
            <w:tcBorders>
              <w:top w:val="single" w:sz="4" w:space="0" w:color="auto"/>
              <w:left w:val="single" w:sz="4" w:space="0" w:color="auto"/>
              <w:bottom w:val="nil"/>
              <w:right w:val="single" w:sz="4" w:space="0" w:color="auto"/>
            </w:tcBorders>
            <w:shd w:val="clear" w:color="auto" w:fill="auto"/>
            <w:noWrap/>
            <w:vAlign w:val="bottom"/>
            <w:hideMark/>
          </w:tcPr>
          <w:p w14:paraId="5D901477"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xml:space="preserve">Total imports of goods and services </w:t>
            </w:r>
          </w:p>
        </w:tc>
        <w:tc>
          <w:tcPr>
            <w:tcW w:w="1015" w:type="dxa"/>
            <w:tcBorders>
              <w:top w:val="single" w:sz="4" w:space="0" w:color="auto"/>
              <w:left w:val="nil"/>
              <w:bottom w:val="nil"/>
              <w:right w:val="single" w:sz="4" w:space="0" w:color="auto"/>
            </w:tcBorders>
            <w:shd w:val="clear" w:color="auto" w:fill="auto"/>
            <w:noWrap/>
            <w:vAlign w:val="bottom"/>
            <w:hideMark/>
          </w:tcPr>
          <w:p w14:paraId="7B6E098B"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259,979</w:t>
            </w:r>
          </w:p>
        </w:tc>
        <w:tc>
          <w:tcPr>
            <w:tcW w:w="1015" w:type="dxa"/>
            <w:tcBorders>
              <w:top w:val="single" w:sz="4" w:space="0" w:color="auto"/>
              <w:left w:val="nil"/>
              <w:bottom w:val="nil"/>
              <w:right w:val="single" w:sz="4" w:space="0" w:color="auto"/>
            </w:tcBorders>
            <w:shd w:val="clear" w:color="auto" w:fill="auto"/>
            <w:noWrap/>
            <w:vAlign w:val="bottom"/>
            <w:hideMark/>
          </w:tcPr>
          <w:p w14:paraId="4771246A"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265,399</w:t>
            </w:r>
          </w:p>
        </w:tc>
        <w:tc>
          <w:tcPr>
            <w:tcW w:w="1015" w:type="dxa"/>
            <w:tcBorders>
              <w:top w:val="single" w:sz="4" w:space="0" w:color="auto"/>
              <w:left w:val="nil"/>
              <w:bottom w:val="nil"/>
              <w:right w:val="single" w:sz="4" w:space="0" w:color="auto"/>
            </w:tcBorders>
            <w:shd w:val="clear" w:color="auto" w:fill="auto"/>
            <w:noWrap/>
            <w:vAlign w:val="bottom"/>
            <w:hideMark/>
          </w:tcPr>
          <w:p w14:paraId="5A8EC75B"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208,640</w:t>
            </w:r>
          </w:p>
        </w:tc>
        <w:tc>
          <w:tcPr>
            <w:tcW w:w="1015" w:type="dxa"/>
            <w:tcBorders>
              <w:top w:val="single" w:sz="4" w:space="0" w:color="auto"/>
              <w:left w:val="nil"/>
              <w:bottom w:val="nil"/>
              <w:right w:val="single" w:sz="4" w:space="0" w:color="auto"/>
            </w:tcBorders>
            <w:shd w:val="clear" w:color="auto" w:fill="auto"/>
            <w:noWrap/>
            <w:vAlign w:val="bottom"/>
            <w:hideMark/>
          </w:tcPr>
          <w:p w14:paraId="3282C786"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257,590</w:t>
            </w:r>
          </w:p>
        </w:tc>
        <w:tc>
          <w:tcPr>
            <w:tcW w:w="1015" w:type="dxa"/>
            <w:tcBorders>
              <w:top w:val="single" w:sz="4" w:space="0" w:color="auto"/>
              <w:left w:val="nil"/>
              <w:bottom w:val="nil"/>
              <w:right w:val="single" w:sz="4" w:space="0" w:color="auto"/>
            </w:tcBorders>
            <w:shd w:val="clear" w:color="auto" w:fill="auto"/>
            <w:noWrap/>
            <w:vAlign w:val="bottom"/>
            <w:hideMark/>
          </w:tcPr>
          <w:p w14:paraId="5E2D34DF"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359,158</w:t>
            </w:r>
          </w:p>
        </w:tc>
      </w:tr>
      <w:tr w:rsidR="007122A3" w:rsidRPr="004E0F17" w14:paraId="12033058" w14:textId="77777777" w:rsidTr="007122A3">
        <w:trPr>
          <w:trHeight w:val="263"/>
        </w:trPr>
        <w:tc>
          <w:tcPr>
            <w:tcW w:w="4044" w:type="dxa"/>
            <w:tcBorders>
              <w:top w:val="nil"/>
              <w:left w:val="single" w:sz="4" w:space="0" w:color="auto"/>
              <w:bottom w:val="nil"/>
              <w:right w:val="single" w:sz="4" w:space="0" w:color="auto"/>
            </w:tcBorders>
            <w:shd w:val="clear" w:color="auto" w:fill="auto"/>
            <w:noWrap/>
            <w:vAlign w:val="bottom"/>
            <w:hideMark/>
          </w:tcPr>
          <w:p w14:paraId="78FB4213" w14:textId="77777777" w:rsidR="004E0F17" w:rsidRPr="004E0F17" w:rsidRDefault="004E0F17" w:rsidP="004E0F17">
            <w:pPr>
              <w:spacing w:after="0" w:line="240" w:lineRule="auto"/>
              <w:rPr>
                <w:rFonts w:ascii="Times New Roman" w:eastAsia="Times New Roman" w:hAnsi="Times New Roman"/>
                <w:i/>
                <w:iCs/>
                <w:color w:val="000000"/>
                <w:lang w:val="en-MU" w:eastAsia="en-MU"/>
              </w:rPr>
            </w:pPr>
            <w:r w:rsidRPr="004E0F17">
              <w:rPr>
                <w:rFonts w:ascii="Times New Roman" w:eastAsia="Times New Roman" w:hAnsi="Times New Roman"/>
                <w:i/>
                <w:iCs/>
                <w:color w:val="000000"/>
                <w:lang w:val="en-MU" w:eastAsia="en-MU"/>
              </w:rPr>
              <w:t>of which</w:t>
            </w:r>
          </w:p>
        </w:tc>
        <w:tc>
          <w:tcPr>
            <w:tcW w:w="1015" w:type="dxa"/>
            <w:tcBorders>
              <w:top w:val="nil"/>
              <w:left w:val="nil"/>
              <w:bottom w:val="nil"/>
              <w:right w:val="single" w:sz="4" w:space="0" w:color="auto"/>
            </w:tcBorders>
            <w:shd w:val="clear" w:color="auto" w:fill="auto"/>
            <w:noWrap/>
            <w:vAlign w:val="bottom"/>
            <w:hideMark/>
          </w:tcPr>
          <w:p w14:paraId="5A22D6A0"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05909E8E"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181F6CAE"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08990071"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70B2AF7D"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w:t>
            </w:r>
          </w:p>
        </w:tc>
      </w:tr>
      <w:tr w:rsidR="007122A3" w:rsidRPr="004E0F17" w14:paraId="534FEE81" w14:textId="77777777" w:rsidTr="007122A3">
        <w:trPr>
          <w:trHeight w:val="263"/>
        </w:trPr>
        <w:tc>
          <w:tcPr>
            <w:tcW w:w="4044" w:type="dxa"/>
            <w:tcBorders>
              <w:top w:val="nil"/>
              <w:left w:val="single" w:sz="4" w:space="0" w:color="auto"/>
              <w:bottom w:val="nil"/>
              <w:right w:val="single" w:sz="4" w:space="0" w:color="auto"/>
            </w:tcBorders>
            <w:shd w:val="clear" w:color="auto" w:fill="auto"/>
            <w:noWrap/>
            <w:vAlign w:val="bottom"/>
            <w:hideMark/>
          </w:tcPr>
          <w:p w14:paraId="1F626308" w14:textId="77777777" w:rsidR="004E0F17" w:rsidRPr="004E0F17" w:rsidRDefault="004E0F17" w:rsidP="004E0F17">
            <w:pPr>
              <w:spacing w:after="0" w:line="240" w:lineRule="auto"/>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xml:space="preserve">  Tourism sector</w:t>
            </w:r>
          </w:p>
        </w:tc>
        <w:tc>
          <w:tcPr>
            <w:tcW w:w="1015" w:type="dxa"/>
            <w:tcBorders>
              <w:top w:val="nil"/>
              <w:left w:val="nil"/>
              <w:bottom w:val="nil"/>
              <w:right w:val="single" w:sz="4" w:space="0" w:color="auto"/>
            </w:tcBorders>
            <w:shd w:val="clear" w:color="auto" w:fill="auto"/>
            <w:noWrap/>
            <w:vAlign w:val="bottom"/>
            <w:hideMark/>
          </w:tcPr>
          <w:p w14:paraId="1C7DF330"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22,488</w:t>
            </w:r>
          </w:p>
        </w:tc>
        <w:tc>
          <w:tcPr>
            <w:tcW w:w="1015" w:type="dxa"/>
            <w:tcBorders>
              <w:top w:val="nil"/>
              <w:left w:val="nil"/>
              <w:bottom w:val="nil"/>
              <w:right w:val="single" w:sz="4" w:space="0" w:color="auto"/>
            </w:tcBorders>
            <w:shd w:val="clear" w:color="auto" w:fill="auto"/>
            <w:noWrap/>
            <w:vAlign w:val="bottom"/>
            <w:hideMark/>
          </w:tcPr>
          <w:p w14:paraId="26E744A4"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23,298</w:t>
            </w:r>
          </w:p>
        </w:tc>
        <w:tc>
          <w:tcPr>
            <w:tcW w:w="1015" w:type="dxa"/>
            <w:tcBorders>
              <w:top w:val="nil"/>
              <w:left w:val="nil"/>
              <w:bottom w:val="nil"/>
              <w:right w:val="single" w:sz="4" w:space="0" w:color="auto"/>
            </w:tcBorders>
            <w:shd w:val="clear" w:color="auto" w:fill="auto"/>
            <w:noWrap/>
            <w:vAlign w:val="bottom"/>
            <w:hideMark/>
          </w:tcPr>
          <w:p w14:paraId="11411701"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8,560</w:t>
            </w:r>
          </w:p>
        </w:tc>
        <w:tc>
          <w:tcPr>
            <w:tcW w:w="1015" w:type="dxa"/>
            <w:tcBorders>
              <w:top w:val="nil"/>
              <w:left w:val="nil"/>
              <w:bottom w:val="nil"/>
              <w:right w:val="single" w:sz="4" w:space="0" w:color="auto"/>
            </w:tcBorders>
            <w:shd w:val="clear" w:color="auto" w:fill="auto"/>
            <w:noWrap/>
            <w:vAlign w:val="bottom"/>
            <w:hideMark/>
          </w:tcPr>
          <w:p w14:paraId="091C4986"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5,982</w:t>
            </w:r>
          </w:p>
        </w:tc>
        <w:tc>
          <w:tcPr>
            <w:tcW w:w="1015" w:type="dxa"/>
            <w:tcBorders>
              <w:top w:val="nil"/>
              <w:left w:val="nil"/>
              <w:bottom w:val="nil"/>
              <w:right w:val="single" w:sz="4" w:space="0" w:color="auto"/>
            </w:tcBorders>
            <w:shd w:val="clear" w:color="auto" w:fill="auto"/>
            <w:noWrap/>
            <w:vAlign w:val="bottom"/>
            <w:hideMark/>
          </w:tcPr>
          <w:p w14:paraId="1D3D4A16"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19,175</w:t>
            </w:r>
          </w:p>
        </w:tc>
      </w:tr>
      <w:tr w:rsidR="007122A3" w:rsidRPr="004E0F17" w14:paraId="4EB93CDE" w14:textId="77777777" w:rsidTr="007122A3">
        <w:trPr>
          <w:trHeight w:val="85"/>
        </w:trPr>
        <w:tc>
          <w:tcPr>
            <w:tcW w:w="4044" w:type="dxa"/>
            <w:tcBorders>
              <w:top w:val="nil"/>
              <w:left w:val="single" w:sz="4" w:space="0" w:color="auto"/>
              <w:bottom w:val="nil"/>
              <w:right w:val="single" w:sz="4" w:space="0" w:color="auto"/>
            </w:tcBorders>
            <w:shd w:val="clear" w:color="auto" w:fill="auto"/>
            <w:noWrap/>
            <w:vAlign w:val="bottom"/>
            <w:hideMark/>
          </w:tcPr>
          <w:p w14:paraId="3C7DB3C3" w14:textId="77777777" w:rsidR="004E0F17" w:rsidRPr="004E0F17" w:rsidRDefault="004E0F17" w:rsidP="004E0F17">
            <w:pPr>
              <w:spacing w:after="0" w:line="240" w:lineRule="auto"/>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xml:space="preserve">  Export-oriented enterprises</w:t>
            </w:r>
          </w:p>
        </w:tc>
        <w:tc>
          <w:tcPr>
            <w:tcW w:w="1015" w:type="dxa"/>
            <w:tcBorders>
              <w:top w:val="nil"/>
              <w:left w:val="nil"/>
              <w:bottom w:val="nil"/>
              <w:right w:val="single" w:sz="4" w:space="0" w:color="auto"/>
            </w:tcBorders>
            <w:shd w:val="clear" w:color="auto" w:fill="auto"/>
            <w:noWrap/>
            <w:vAlign w:val="bottom"/>
            <w:hideMark/>
          </w:tcPr>
          <w:p w14:paraId="3D662512"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25,929</w:t>
            </w:r>
          </w:p>
        </w:tc>
        <w:tc>
          <w:tcPr>
            <w:tcW w:w="1015" w:type="dxa"/>
            <w:tcBorders>
              <w:top w:val="nil"/>
              <w:left w:val="nil"/>
              <w:bottom w:val="nil"/>
              <w:right w:val="single" w:sz="4" w:space="0" w:color="auto"/>
            </w:tcBorders>
            <w:shd w:val="clear" w:color="auto" w:fill="auto"/>
            <w:noWrap/>
            <w:vAlign w:val="bottom"/>
            <w:hideMark/>
          </w:tcPr>
          <w:p w14:paraId="12A8E63A"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24,645</w:t>
            </w:r>
          </w:p>
        </w:tc>
        <w:tc>
          <w:tcPr>
            <w:tcW w:w="1015" w:type="dxa"/>
            <w:tcBorders>
              <w:top w:val="nil"/>
              <w:left w:val="nil"/>
              <w:bottom w:val="nil"/>
              <w:right w:val="single" w:sz="4" w:space="0" w:color="auto"/>
            </w:tcBorders>
            <w:shd w:val="clear" w:color="auto" w:fill="auto"/>
            <w:noWrap/>
            <w:vAlign w:val="bottom"/>
            <w:hideMark/>
          </w:tcPr>
          <w:p w14:paraId="74950BDE"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19,629</w:t>
            </w:r>
          </w:p>
        </w:tc>
        <w:tc>
          <w:tcPr>
            <w:tcW w:w="1015" w:type="dxa"/>
            <w:tcBorders>
              <w:top w:val="nil"/>
              <w:left w:val="nil"/>
              <w:bottom w:val="nil"/>
              <w:right w:val="single" w:sz="4" w:space="0" w:color="auto"/>
            </w:tcBorders>
            <w:shd w:val="clear" w:color="auto" w:fill="auto"/>
            <w:noWrap/>
            <w:vAlign w:val="bottom"/>
            <w:hideMark/>
          </w:tcPr>
          <w:p w14:paraId="14F54AD2"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25,673</w:t>
            </w:r>
          </w:p>
        </w:tc>
        <w:tc>
          <w:tcPr>
            <w:tcW w:w="1015" w:type="dxa"/>
            <w:tcBorders>
              <w:top w:val="nil"/>
              <w:left w:val="nil"/>
              <w:bottom w:val="nil"/>
              <w:right w:val="single" w:sz="4" w:space="0" w:color="auto"/>
            </w:tcBorders>
            <w:shd w:val="clear" w:color="auto" w:fill="auto"/>
            <w:noWrap/>
            <w:vAlign w:val="bottom"/>
            <w:hideMark/>
          </w:tcPr>
          <w:p w14:paraId="214427D8"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33,466</w:t>
            </w:r>
          </w:p>
        </w:tc>
      </w:tr>
      <w:tr w:rsidR="007122A3" w:rsidRPr="004E0F17" w14:paraId="68E12E55" w14:textId="77777777" w:rsidTr="007122A3">
        <w:trPr>
          <w:trHeight w:val="263"/>
        </w:trPr>
        <w:tc>
          <w:tcPr>
            <w:tcW w:w="4044" w:type="dxa"/>
            <w:tcBorders>
              <w:top w:val="single" w:sz="4" w:space="0" w:color="auto"/>
              <w:left w:val="single" w:sz="4" w:space="0" w:color="auto"/>
              <w:bottom w:val="nil"/>
              <w:right w:val="single" w:sz="4" w:space="0" w:color="auto"/>
            </w:tcBorders>
            <w:shd w:val="clear" w:color="auto" w:fill="auto"/>
            <w:noWrap/>
            <w:vAlign w:val="bottom"/>
            <w:hideMark/>
          </w:tcPr>
          <w:p w14:paraId="336101B7"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Balance of trade (Goods and services)</w:t>
            </w:r>
          </w:p>
        </w:tc>
        <w:tc>
          <w:tcPr>
            <w:tcW w:w="1015" w:type="dxa"/>
            <w:tcBorders>
              <w:top w:val="single" w:sz="4" w:space="0" w:color="auto"/>
              <w:left w:val="nil"/>
              <w:bottom w:val="nil"/>
              <w:right w:val="single" w:sz="4" w:space="0" w:color="auto"/>
            </w:tcBorders>
            <w:shd w:val="clear" w:color="auto" w:fill="auto"/>
            <w:noWrap/>
            <w:vAlign w:val="bottom"/>
            <w:hideMark/>
          </w:tcPr>
          <w:p w14:paraId="2B8BA6FE"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-29,476</w:t>
            </w:r>
          </w:p>
        </w:tc>
        <w:tc>
          <w:tcPr>
            <w:tcW w:w="1015" w:type="dxa"/>
            <w:tcBorders>
              <w:top w:val="single" w:sz="4" w:space="0" w:color="auto"/>
              <w:left w:val="nil"/>
              <w:bottom w:val="nil"/>
              <w:right w:val="single" w:sz="4" w:space="0" w:color="auto"/>
            </w:tcBorders>
            <w:shd w:val="clear" w:color="auto" w:fill="auto"/>
            <w:noWrap/>
            <w:vAlign w:val="bottom"/>
            <w:hideMark/>
          </w:tcPr>
          <w:p w14:paraId="27922C20"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-36,650</w:t>
            </w:r>
          </w:p>
        </w:tc>
        <w:tc>
          <w:tcPr>
            <w:tcW w:w="1015" w:type="dxa"/>
            <w:tcBorders>
              <w:top w:val="single" w:sz="4" w:space="0" w:color="auto"/>
              <w:left w:val="nil"/>
              <w:bottom w:val="nil"/>
              <w:right w:val="single" w:sz="4" w:space="0" w:color="auto"/>
            </w:tcBorders>
            <w:shd w:val="clear" w:color="auto" w:fill="auto"/>
            <w:noWrap/>
            <w:vAlign w:val="bottom"/>
            <w:hideMark/>
          </w:tcPr>
          <w:p w14:paraId="2DB396E7"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-32,009</w:t>
            </w:r>
          </w:p>
        </w:tc>
        <w:tc>
          <w:tcPr>
            <w:tcW w:w="1015" w:type="dxa"/>
            <w:tcBorders>
              <w:top w:val="single" w:sz="4" w:space="0" w:color="auto"/>
              <w:left w:val="nil"/>
              <w:bottom w:val="nil"/>
              <w:right w:val="single" w:sz="4" w:space="0" w:color="auto"/>
            </w:tcBorders>
            <w:shd w:val="clear" w:color="auto" w:fill="auto"/>
            <w:noWrap/>
            <w:vAlign w:val="bottom"/>
            <w:hideMark/>
          </w:tcPr>
          <w:p w14:paraId="5DB0D623"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-45,949</w:t>
            </w:r>
          </w:p>
        </w:tc>
        <w:tc>
          <w:tcPr>
            <w:tcW w:w="1015" w:type="dxa"/>
            <w:tcBorders>
              <w:top w:val="single" w:sz="4" w:space="0" w:color="auto"/>
              <w:left w:val="nil"/>
              <w:bottom w:val="nil"/>
              <w:right w:val="single" w:sz="4" w:space="0" w:color="auto"/>
            </w:tcBorders>
            <w:shd w:val="clear" w:color="auto" w:fill="auto"/>
            <w:noWrap/>
            <w:vAlign w:val="bottom"/>
            <w:hideMark/>
          </w:tcPr>
          <w:p w14:paraId="6413DBB9" w14:textId="77777777" w:rsidR="004E0F17" w:rsidRPr="004E0F17" w:rsidRDefault="004E0F17" w:rsidP="004E0F17">
            <w:pPr>
              <w:spacing w:after="0" w:line="240" w:lineRule="auto"/>
              <w:jc w:val="right"/>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-34,977</w:t>
            </w:r>
          </w:p>
        </w:tc>
      </w:tr>
      <w:tr w:rsidR="007122A3" w:rsidRPr="004E0F17" w14:paraId="7969CBF2" w14:textId="77777777" w:rsidTr="007122A3">
        <w:trPr>
          <w:trHeight w:val="263"/>
        </w:trPr>
        <w:tc>
          <w:tcPr>
            <w:tcW w:w="4044" w:type="dxa"/>
            <w:tcBorders>
              <w:top w:val="nil"/>
              <w:left w:val="single" w:sz="4" w:space="0" w:color="auto"/>
              <w:bottom w:val="nil"/>
              <w:right w:val="single" w:sz="4" w:space="0" w:color="auto"/>
            </w:tcBorders>
            <w:shd w:val="clear" w:color="auto" w:fill="auto"/>
            <w:noWrap/>
            <w:vAlign w:val="bottom"/>
            <w:hideMark/>
          </w:tcPr>
          <w:p w14:paraId="21BB62D3" w14:textId="77777777" w:rsidR="004E0F17" w:rsidRPr="004E0F17" w:rsidRDefault="004E0F17" w:rsidP="004E0F17">
            <w:pPr>
              <w:spacing w:after="0" w:line="240" w:lineRule="auto"/>
              <w:rPr>
                <w:rFonts w:ascii="Times New Roman" w:eastAsia="Times New Roman" w:hAnsi="Times New Roman"/>
                <w:i/>
                <w:iCs/>
                <w:color w:val="000000"/>
                <w:lang w:val="en-MU" w:eastAsia="en-MU"/>
              </w:rPr>
            </w:pPr>
            <w:r w:rsidRPr="004E0F17">
              <w:rPr>
                <w:rFonts w:ascii="Times New Roman" w:eastAsia="Times New Roman" w:hAnsi="Times New Roman"/>
                <w:i/>
                <w:iCs/>
                <w:color w:val="000000"/>
                <w:lang w:val="en-MU" w:eastAsia="en-MU"/>
              </w:rPr>
              <w:t>of which</w:t>
            </w:r>
          </w:p>
        </w:tc>
        <w:tc>
          <w:tcPr>
            <w:tcW w:w="1015" w:type="dxa"/>
            <w:tcBorders>
              <w:top w:val="nil"/>
              <w:left w:val="nil"/>
              <w:bottom w:val="nil"/>
              <w:right w:val="single" w:sz="4" w:space="0" w:color="auto"/>
            </w:tcBorders>
            <w:shd w:val="clear" w:color="auto" w:fill="auto"/>
            <w:noWrap/>
            <w:vAlign w:val="bottom"/>
            <w:hideMark/>
          </w:tcPr>
          <w:p w14:paraId="2CCAFA5E"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01F3A718"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7B5DE702"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5C7426C5"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w:t>
            </w:r>
          </w:p>
        </w:tc>
        <w:tc>
          <w:tcPr>
            <w:tcW w:w="1015" w:type="dxa"/>
            <w:tcBorders>
              <w:top w:val="nil"/>
              <w:left w:val="nil"/>
              <w:bottom w:val="nil"/>
              <w:right w:val="single" w:sz="4" w:space="0" w:color="auto"/>
            </w:tcBorders>
            <w:shd w:val="clear" w:color="auto" w:fill="auto"/>
            <w:noWrap/>
            <w:vAlign w:val="bottom"/>
            <w:hideMark/>
          </w:tcPr>
          <w:p w14:paraId="6F004BD3" w14:textId="77777777" w:rsidR="004E0F17" w:rsidRPr="004E0F17" w:rsidRDefault="004E0F17" w:rsidP="004E0F17">
            <w:pPr>
              <w:spacing w:after="0" w:line="240" w:lineRule="auto"/>
              <w:rPr>
                <w:rFonts w:ascii="Times New Roman" w:eastAsia="Times New Roman" w:hAnsi="Times New Roman"/>
                <w:b/>
                <w:bCs/>
                <w:color w:val="000000"/>
                <w:lang w:val="en-MU" w:eastAsia="en-MU"/>
              </w:rPr>
            </w:pPr>
            <w:r w:rsidRPr="004E0F17">
              <w:rPr>
                <w:rFonts w:ascii="Times New Roman" w:eastAsia="Times New Roman" w:hAnsi="Times New Roman"/>
                <w:b/>
                <w:bCs/>
                <w:color w:val="000000"/>
                <w:lang w:val="en-MU" w:eastAsia="en-MU"/>
              </w:rPr>
              <w:t> </w:t>
            </w:r>
          </w:p>
        </w:tc>
      </w:tr>
      <w:tr w:rsidR="007122A3" w:rsidRPr="004E0F17" w14:paraId="1EA0318C" w14:textId="77777777" w:rsidTr="007122A3">
        <w:trPr>
          <w:trHeight w:val="263"/>
        </w:trPr>
        <w:tc>
          <w:tcPr>
            <w:tcW w:w="4044" w:type="dxa"/>
            <w:tcBorders>
              <w:top w:val="nil"/>
              <w:left w:val="single" w:sz="4" w:space="0" w:color="auto"/>
              <w:bottom w:val="nil"/>
              <w:right w:val="single" w:sz="4" w:space="0" w:color="auto"/>
            </w:tcBorders>
            <w:shd w:val="clear" w:color="auto" w:fill="auto"/>
            <w:noWrap/>
            <w:vAlign w:val="bottom"/>
            <w:hideMark/>
          </w:tcPr>
          <w:p w14:paraId="6AC1EB23" w14:textId="77777777" w:rsidR="004E0F17" w:rsidRPr="004E0F17" w:rsidRDefault="004E0F17" w:rsidP="004E0F17">
            <w:pPr>
              <w:spacing w:after="0" w:line="240" w:lineRule="auto"/>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xml:space="preserve">  Tourism sector</w:t>
            </w:r>
          </w:p>
        </w:tc>
        <w:tc>
          <w:tcPr>
            <w:tcW w:w="1015" w:type="dxa"/>
            <w:tcBorders>
              <w:top w:val="nil"/>
              <w:left w:val="nil"/>
              <w:bottom w:val="nil"/>
              <w:right w:val="single" w:sz="4" w:space="0" w:color="auto"/>
            </w:tcBorders>
            <w:shd w:val="clear" w:color="auto" w:fill="auto"/>
            <w:noWrap/>
            <w:vAlign w:val="bottom"/>
            <w:hideMark/>
          </w:tcPr>
          <w:p w14:paraId="2C669108"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50,724</w:t>
            </w:r>
          </w:p>
        </w:tc>
        <w:tc>
          <w:tcPr>
            <w:tcW w:w="1015" w:type="dxa"/>
            <w:tcBorders>
              <w:top w:val="nil"/>
              <w:left w:val="nil"/>
              <w:bottom w:val="nil"/>
              <w:right w:val="single" w:sz="4" w:space="0" w:color="auto"/>
            </w:tcBorders>
            <w:shd w:val="clear" w:color="auto" w:fill="auto"/>
            <w:noWrap/>
            <w:vAlign w:val="bottom"/>
            <w:hideMark/>
          </w:tcPr>
          <w:p w14:paraId="75D6A849"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48,523</w:t>
            </w:r>
          </w:p>
        </w:tc>
        <w:tc>
          <w:tcPr>
            <w:tcW w:w="1015" w:type="dxa"/>
            <w:tcBorders>
              <w:top w:val="nil"/>
              <w:left w:val="nil"/>
              <w:bottom w:val="nil"/>
              <w:right w:val="single" w:sz="4" w:space="0" w:color="auto"/>
            </w:tcBorders>
            <w:shd w:val="clear" w:color="auto" w:fill="auto"/>
            <w:noWrap/>
            <w:vAlign w:val="bottom"/>
            <w:hideMark/>
          </w:tcPr>
          <w:p w14:paraId="4702E431"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11,038</w:t>
            </w:r>
          </w:p>
        </w:tc>
        <w:tc>
          <w:tcPr>
            <w:tcW w:w="1015" w:type="dxa"/>
            <w:tcBorders>
              <w:top w:val="nil"/>
              <w:left w:val="nil"/>
              <w:bottom w:val="nil"/>
              <w:right w:val="single" w:sz="4" w:space="0" w:color="auto"/>
            </w:tcBorders>
            <w:shd w:val="clear" w:color="auto" w:fill="auto"/>
            <w:noWrap/>
            <w:vAlign w:val="bottom"/>
            <w:hideMark/>
          </w:tcPr>
          <w:p w14:paraId="54F90663"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10,467</w:t>
            </w:r>
          </w:p>
        </w:tc>
        <w:tc>
          <w:tcPr>
            <w:tcW w:w="1015" w:type="dxa"/>
            <w:tcBorders>
              <w:top w:val="nil"/>
              <w:left w:val="nil"/>
              <w:bottom w:val="nil"/>
              <w:right w:val="single" w:sz="4" w:space="0" w:color="auto"/>
            </w:tcBorders>
            <w:shd w:val="clear" w:color="auto" w:fill="auto"/>
            <w:noWrap/>
            <w:vAlign w:val="bottom"/>
            <w:hideMark/>
          </w:tcPr>
          <w:p w14:paraId="7076F4F4"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53,885</w:t>
            </w:r>
          </w:p>
        </w:tc>
      </w:tr>
      <w:tr w:rsidR="007122A3" w:rsidRPr="004E0F17" w14:paraId="5A4A60E9" w14:textId="77777777" w:rsidTr="007122A3">
        <w:trPr>
          <w:trHeight w:val="80"/>
        </w:trPr>
        <w:tc>
          <w:tcPr>
            <w:tcW w:w="4044" w:type="dxa"/>
            <w:tcBorders>
              <w:top w:val="nil"/>
              <w:left w:val="single" w:sz="4" w:space="0" w:color="auto"/>
              <w:bottom w:val="single" w:sz="4" w:space="0" w:color="auto"/>
              <w:right w:val="single" w:sz="4" w:space="0" w:color="auto"/>
            </w:tcBorders>
            <w:shd w:val="clear" w:color="auto" w:fill="auto"/>
            <w:noWrap/>
            <w:vAlign w:val="bottom"/>
            <w:hideMark/>
          </w:tcPr>
          <w:p w14:paraId="029999E9" w14:textId="77777777" w:rsidR="004E0F17" w:rsidRPr="004E0F17" w:rsidRDefault="004E0F17" w:rsidP="004E0F17">
            <w:pPr>
              <w:spacing w:after="0" w:line="240" w:lineRule="auto"/>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 xml:space="preserve">  Export-oriented enterprises</w:t>
            </w:r>
          </w:p>
        </w:tc>
        <w:tc>
          <w:tcPr>
            <w:tcW w:w="1015" w:type="dxa"/>
            <w:tcBorders>
              <w:top w:val="nil"/>
              <w:left w:val="nil"/>
              <w:bottom w:val="single" w:sz="4" w:space="0" w:color="auto"/>
              <w:right w:val="single" w:sz="4" w:space="0" w:color="auto"/>
            </w:tcBorders>
            <w:shd w:val="clear" w:color="auto" w:fill="auto"/>
            <w:noWrap/>
            <w:vAlign w:val="bottom"/>
            <w:hideMark/>
          </w:tcPr>
          <w:p w14:paraId="59B22F26"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17,382</w:t>
            </w:r>
          </w:p>
        </w:tc>
        <w:tc>
          <w:tcPr>
            <w:tcW w:w="1015" w:type="dxa"/>
            <w:tcBorders>
              <w:top w:val="nil"/>
              <w:left w:val="nil"/>
              <w:bottom w:val="single" w:sz="4" w:space="0" w:color="auto"/>
              <w:right w:val="single" w:sz="4" w:space="0" w:color="auto"/>
            </w:tcBorders>
            <w:shd w:val="clear" w:color="auto" w:fill="auto"/>
            <w:noWrap/>
            <w:vAlign w:val="bottom"/>
            <w:hideMark/>
          </w:tcPr>
          <w:p w14:paraId="23C7A4CB"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17,674</w:t>
            </w:r>
          </w:p>
        </w:tc>
        <w:tc>
          <w:tcPr>
            <w:tcW w:w="1015" w:type="dxa"/>
            <w:tcBorders>
              <w:top w:val="nil"/>
              <w:left w:val="nil"/>
              <w:bottom w:val="single" w:sz="4" w:space="0" w:color="auto"/>
              <w:right w:val="single" w:sz="4" w:space="0" w:color="auto"/>
            </w:tcBorders>
            <w:shd w:val="clear" w:color="auto" w:fill="auto"/>
            <w:noWrap/>
            <w:vAlign w:val="bottom"/>
            <w:hideMark/>
          </w:tcPr>
          <w:p w14:paraId="3D09BE03"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17,660</w:t>
            </w:r>
          </w:p>
        </w:tc>
        <w:tc>
          <w:tcPr>
            <w:tcW w:w="1015" w:type="dxa"/>
            <w:tcBorders>
              <w:top w:val="nil"/>
              <w:left w:val="nil"/>
              <w:bottom w:val="single" w:sz="4" w:space="0" w:color="auto"/>
              <w:right w:val="single" w:sz="4" w:space="0" w:color="auto"/>
            </w:tcBorders>
            <w:shd w:val="clear" w:color="auto" w:fill="auto"/>
            <w:noWrap/>
            <w:vAlign w:val="bottom"/>
            <w:hideMark/>
          </w:tcPr>
          <w:p w14:paraId="39CB50C2"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16,984</w:t>
            </w:r>
          </w:p>
        </w:tc>
        <w:tc>
          <w:tcPr>
            <w:tcW w:w="1015" w:type="dxa"/>
            <w:tcBorders>
              <w:top w:val="nil"/>
              <w:left w:val="nil"/>
              <w:bottom w:val="single" w:sz="4" w:space="0" w:color="auto"/>
              <w:right w:val="single" w:sz="4" w:space="0" w:color="auto"/>
            </w:tcBorders>
            <w:shd w:val="clear" w:color="auto" w:fill="auto"/>
            <w:noWrap/>
            <w:vAlign w:val="bottom"/>
            <w:hideMark/>
          </w:tcPr>
          <w:p w14:paraId="47E5E9E2" w14:textId="77777777" w:rsidR="004E0F17" w:rsidRPr="004E0F17" w:rsidRDefault="004E0F17" w:rsidP="004E0F17">
            <w:pPr>
              <w:spacing w:after="0" w:line="240" w:lineRule="auto"/>
              <w:jc w:val="right"/>
              <w:rPr>
                <w:rFonts w:ascii="Times New Roman" w:eastAsia="Times New Roman" w:hAnsi="Times New Roman"/>
                <w:color w:val="000000"/>
                <w:lang w:val="en-MU" w:eastAsia="en-MU"/>
              </w:rPr>
            </w:pPr>
            <w:r w:rsidRPr="004E0F17">
              <w:rPr>
                <w:rFonts w:ascii="Times New Roman" w:eastAsia="Times New Roman" w:hAnsi="Times New Roman"/>
                <w:color w:val="000000"/>
                <w:lang w:val="en-MU" w:eastAsia="en-MU"/>
              </w:rPr>
              <w:t>16,452</w:t>
            </w:r>
          </w:p>
        </w:tc>
      </w:tr>
    </w:tbl>
    <w:p w14:paraId="267EDD4F" w14:textId="6B953947" w:rsidR="00410493" w:rsidRPr="001D1290" w:rsidRDefault="001D1290" w:rsidP="004E0F17">
      <w:pPr>
        <w:spacing w:line="360" w:lineRule="auto"/>
        <w:jc w:val="both"/>
        <w:rPr>
          <w:rFonts w:ascii="Times New Roman" w:hAnsi="Times New Roman"/>
          <w:i/>
          <w:sz w:val="20"/>
          <w:szCs w:val="20"/>
        </w:rPr>
      </w:pPr>
      <w:r w:rsidRPr="00251075">
        <w:rPr>
          <w:rFonts w:ascii="Times New Roman" w:hAnsi="Times New Roman"/>
          <w:i/>
          <w:sz w:val="20"/>
          <w:szCs w:val="20"/>
        </w:rPr>
        <w:t xml:space="preserve">Source: Balance of payments, External Trade and National Accounts Estimates </w:t>
      </w:r>
      <w:r w:rsidR="00271CD2">
        <w:rPr>
          <w:rFonts w:ascii="Times New Roman" w:hAnsi="Times New Roman"/>
          <w:i/>
          <w:sz w:val="20"/>
          <w:szCs w:val="20"/>
        </w:rPr>
        <w:t xml:space="preserve">    </w:t>
      </w:r>
      <w:r w:rsidRPr="00251075">
        <w:rPr>
          <w:rFonts w:ascii="Times New Roman" w:hAnsi="Times New Roman"/>
          <w:i/>
          <w:sz w:val="20"/>
          <w:szCs w:val="20"/>
        </w:rPr>
        <w:t xml:space="preserve"> </w:t>
      </w:r>
      <w:r w:rsidR="00410493" w:rsidRPr="001D1290">
        <w:rPr>
          <w:rFonts w:ascii="Times New Roman" w:hAnsi="Times New Roman"/>
          <w:i/>
          <w:sz w:val="20"/>
          <w:szCs w:val="20"/>
          <w:vertAlign w:val="superscript"/>
        </w:rPr>
        <w:t>1</w:t>
      </w:r>
      <w:r w:rsidR="00410493" w:rsidRPr="001D1290">
        <w:rPr>
          <w:rFonts w:ascii="Times New Roman" w:hAnsi="Times New Roman"/>
          <w:i/>
          <w:sz w:val="20"/>
          <w:szCs w:val="20"/>
        </w:rPr>
        <w:t xml:space="preserve"> Provisional</w:t>
      </w:r>
    </w:p>
    <w:p w14:paraId="5E9A075F" w14:textId="298A0E69" w:rsidR="006E31F1" w:rsidRPr="00C660C2" w:rsidRDefault="006E31F1" w:rsidP="006E31F1">
      <w:pPr>
        <w:pStyle w:val="BodyText"/>
        <w:spacing w:after="120" w:line="276" w:lineRule="auto"/>
        <w:rPr>
          <w:b/>
          <w:sz w:val="24"/>
          <w:szCs w:val="24"/>
        </w:rPr>
      </w:pPr>
      <w:r w:rsidRPr="00C660C2">
        <w:rPr>
          <w:b/>
          <w:sz w:val="24"/>
          <w:szCs w:val="24"/>
        </w:rPr>
        <w:t xml:space="preserve">Contribution </w:t>
      </w:r>
      <w:r>
        <w:rPr>
          <w:b/>
          <w:sz w:val="24"/>
          <w:szCs w:val="24"/>
        </w:rPr>
        <w:t xml:space="preserve">of </w:t>
      </w:r>
      <w:r w:rsidR="00F22F10">
        <w:rPr>
          <w:b/>
          <w:sz w:val="24"/>
          <w:szCs w:val="24"/>
          <w:lang w:val="en-GB"/>
        </w:rPr>
        <w:t xml:space="preserve">the </w:t>
      </w:r>
      <w:r>
        <w:rPr>
          <w:b/>
          <w:sz w:val="24"/>
          <w:szCs w:val="24"/>
        </w:rPr>
        <w:t>tourism sector</w:t>
      </w:r>
    </w:p>
    <w:p w14:paraId="3B71F384" w14:textId="28835A53" w:rsidR="00FA609A" w:rsidRDefault="006E31F1" w:rsidP="006E31F1">
      <w:pPr>
        <w:pStyle w:val="BodyText"/>
        <w:tabs>
          <w:tab w:val="left" w:pos="90"/>
        </w:tabs>
        <w:spacing w:after="120" w:line="276" w:lineRule="auto"/>
        <w:rPr>
          <w:b/>
          <w:sz w:val="24"/>
          <w:szCs w:val="24"/>
          <w:lang w:val="en-GB"/>
        </w:rPr>
      </w:pPr>
      <w:r>
        <w:rPr>
          <w:b/>
          <w:sz w:val="24"/>
          <w:szCs w:val="24"/>
        </w:rPr>
        <w:t xml:space="preserve">Table </w:t>
      </w:r>
      <w:r w:rsidR="00A14137">
        <w:rPr>
          <w:b/>
          <w:sz w:val="24"/>
          <w:szCs w:val="24"/>
          <w:lang w:val="en-GB"/>
        </w:rPr>
        <w:t>D</w:t>
      </w:r>
      <w:r>
        <w:rPr>
          <w:b/>
          <w:sz w:val="24"/>
          <w:szCs w:val="24"/>
        </w:rPr>
        <w:t xml:space="preserve">: Contribution of </w:t>
      </w:r>
      <w:r w:rsidR="00F22F10">
        <w:rPr>
          <w:b/>
          <w:sz w:val="24"/>
          <w:szCs w:val="24"/>
          <w:lang w:val="en-GB"/>
        </w:rPr>
        <w:t xml:space="preserve">the </w:t>
      </w:r>
      <w:r>
        <w:rPr>
          <w:b/>
          <w:sz w:val="24"/>
          <w:szCs w:val="24"/>
        </w:rPr>
        <w:t>tourism sector to the economy</w:t>
      </w:r>
      <w:r w:rsidR="00FA609A">
        <w:rPr>
          <w:b/>
          <w:sz w:val="24"/>
          <w:szCs w:val="24"/>
          <w:lang w:val="en-GB"/>
        </w:rPr>
        <w:t>,</w:t>
      </w:r>
      <w:r w:rsidR="00F22F10">
        <w:rPr>
          <w:b/>
          <w:sz w:val="24"/>
          <w:szCs w:val="24"/>
          <w:lang w:val="en-GB"/>
        </w:rPr>
        <w:t xml:space="preserve"> </w:t>
      </w:r>
      <w:r w:rsidR="00FA609A">
        <w:rPr>
          <w:b/>
          <w:sz w:val="24"/>
          <w:szCs w:val="24"/>
          <w:lang w:val="en-GB"/>
        </w:rPr>
        <w:t>2018-2022</w:t>
      </w:r>
    </w:p>
    <w:tbl>
      <w:tblPr>
        <w:tblW w:w="9445" w:type="dxa"/>
        <w:tblLook w:val="04A0" w:firstRow="1" w:lastRow="0" w:firstColumn="1" w:lastColumn="0" w:noHBand="0" w:noVBand="1"/>
      </w:tblPr>
      <w:tblGrid>
        <w:gridCol w:w="1445"/>
        <w:gridCol w:w="711"/>
        <w:gridCol w:w="896"/>
        <w:gridCol w:w="711"/>
        <w:gridCol w:w="896"/>
        <w:gridCol w:w="711"/>
        <w:gridCol w:w="896"/>
        <w:gridCol w:w="711"/>
        <w:gridCol w:w="896"/>
        <w:gridCol w:w="711"/>
        <w:gridCol w:w="896"/>
      </w:tblGrid>
      <w:tr w:rsidR="00271CD2" w:rsidRPr="00704433" w14:paraId="4CD3ECF6" w14:textId="77777777" w:rsidTr="00CB7A8D">
        <w:trPr>
          <w:trHeight w:val="313"/>
        </w:trPr>
        <w:tc>
          <w:tcPr>
            <w:tcW w:w="1445"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5C05A96" w14:textId="77777777" w:rsidR="00704433" w:rsidRPr="00704433" w:rsidRDefault="00704433" w:rsidP="00704433">
            <w:pPr>
              <w:spacing w:after="0" w:line="240" w:lineRule="auto"/>
              <w:jc w:val="center"/>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w:t>
            </w:r>
          </w:p>
        </w:tc>
        <w:tc>
          <w:tcPr>
            <w:tcW w:w="16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600249"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2018</w:t>
            </w:r>
          </w:p>
        </w:tc>
        <w:tc>
          <w:tcPr>
            <w:tcW w:w="16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44838A"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2019</w:t>
            </w:r>
          </w:p>
        </w:tc>
        <w:tc>
          <w:tcPr>
            <w:tcW w:w="16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76F084"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2020</w:t>
            </w:r>
          </w:p>
        </w:tc>
        <w:tc>
          <w:tcPr>
            <w:tcW w:w="160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9F5D850"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2021</w:t>
            </w:r>
          </w:p>
        </w:tc>
        <w:tc>
          <w:tcPr>
            <w:tcW w:w="16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784AA2"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2022</w:t>
            </w:r>
            <w:r w:rsidRPr="00704433">
              <w:rPr>
                <w:rFonts w:ascii="Times New Roman" w:eastAsia="Times New Roman" w:hAnsi="Times New Roman"/>
                <w:b/>
                <w:bCs/>
                <w:color w:val="000000"/>
                <w:sz w:val="18"/>
                <w:szCs w:val="18"/>
                <w:vertAlign w:val="superscript"/>
                <w:lang w:val="en-MU" w:eastAsia="en-MU"/>
              </w:rPr>
              <w:t>1</w:t>
            </w:r>
          </w:p>
        </w:tc>
      </w:tr>
      <w:tr w:rsidR="00271CD2" w:rsidRPr="00704433" w14:paraId="2CD5E099" w14:textId="77777777" w:rsidTr="00CB7A8D">
        <w:trPr>
          <w:trHeight w:val="601"/>
        </w:trPr>
        <w:tc>
          <w:tcPr>
            <w:tcW w:w="1445" w:type="dxa"/>
            <w:vMerge/>
            <w:tcBorders>
              <w:top w:val="single" w:sz="4" w:space="0" w:color="auto"/>
              <w:left w:val="single" w:sz="4" w:space="0" w:color="auto"/>
              <w:bottom w:val="single" w:sz="4" w:space="0" w:color="000000"/>
              <w:right w:val="single" w:sz="4" w:space="0" w:color="auto"/>
            </w:tcBorders>
            <w:vAlign w:val="center"/>
            <w:hideMark/>
          </w:tcPr>
          <w:p w14:paraId="79367779" w14:textId="77777777" w:rsidR="00704433" w:rsidRPr="00704433" w:rsidRDefault="00704433" w:rsidP="00704433">
            <w:pPr>
              <w:spacing w:after="0" w:line="240" w:lineRule="auto"/>
              <w:rPr>
                <w:rFonts w:ascii="Times New Roman" w:eastAsia="Times New Roman" w:hAnsi="Times New Roman"/>
                <w:color w:val="000000"/>
                <w:sz w:val="18"/>
                <w:szCs w:val="18"/>
                <w:lang w:val="en-MU" w:eastAsia="en-MU"/>
              </w:rPr>
            </w:pPr>
          </w:p>
        </w:tc>
        <w:tc>
          <w:tcPr>
            <w:tcW w:w="708" w:type="dxa"/>
            <w:tcBorders>
              <w:top w:val="nil"/>
              <w:left w:val="nil"/>
              <w:bottom w:val="nil"/>
              <w:right w:val="single" w:sz="4" w:space="0" w:color="auto"/>
            </w:tcBorders>
            <w:shd w:val="clear" w:color="auto" w:fill="auto"/>
            <w:noWrap/>
            <w:vAlign w:val="center"/>
            <w:hideMark/>
          </w:tcPr>
          <w:p w14:paraId="3992628E"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Value</w:t>
            </w:r>
          </w:p>
        </w:tc>
        <w:tc>
          <w:tcPr>
            <w:tcW w:w="891" w:type="dxa"/>
            <w:tcBorders>
              <w:top w:val="nil"/>
              <w:left w:val="nil"/>
              <w:bottom w:val="nil"/>
              <w:right w:val="single" w:sz="4" w:space="0" w:color="auto"/>
            </w:tcBorders>
            <w:shd w:val="clear" w:color="auto" w:fill="auto"/>
            <w:vAlign w:val="center"/>
            <w:hideMark/>
          </w:tcPr>
          <w:p w14:paraId="3FDBB655"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 of total economy</w:t>
            </w:r>
          </w:p>
        </w:tc>
        <w:tc>
          <w:tcPr>
            <w:tcW w:w="708" w:type="dxa"/>
            <w:tcBorders>
              <w:top w:val="nil"/>
              <w:left w:val="nil"/>
              <w:bottom w:val="nil"/>
              <w:right w:val="single" w:sz="4" w:space="0" w:color="auto"/>
            </w:tcBorders>
            <w:shd w:val="clear" w:color="auto" w:fill="auto"/>
            <w:noWrap/>
            <w:vAlign w:val="center"/>
            <w:hideMark/>
          </w:tcPr>
          <w:p w14:paraId="6AEE9F10"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Value</w:t>
            </w:r>
          </w:p>
        </w:tc>
        <w:tc>
          <w:tcPr>
            <w:tcW w:w="891" w:type="dxa"/>
            <w:tcBorders>
              <w:top w:val="nil"/>
              <w:left w:val="nil"/>
              <w:bottom w:val="nil"/>
              <w:right w:val="single" w:sz="4" w:space="0" w:color="auto"/>
            </w:tcBorders>
            <w:shd w:val="clear" w:color="auto" w:fill="auto"/>
            <w:vAlign w:val="center"/>
            <w:hideMark/>
          </w:tcPr>
          <w:p w14:paraId="5F590DE4"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 of total economy</w:t>
            </w:r>
          </w:p>
        </w:tc>
        <w:tc>
          <w:tcPr>
            <w:tcW w:w="708" w:type="dxa"/>
            <w:tcBorders>
              <w:top w:val="nil"/>
              <w:left w:val="nil"/>
              <w:bottom w:val="nil"/>
              <w:right w:val="single" w:sz="4" w:space="0" w:color="auto"/>
            </w:tcBorders>
            <w:shd w:val="clear" w:color="auto" w:fill="auto"/>
            <w:noWrap/>
            <w:vAlign w:val="center"/>
            <w:hideMark/>
          </w:tcPr>
          <w:p w14:paraId="7676BF03"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Value</w:t>
            </w:r>
          </w:p>
        </w:tc>
        <w:tc>
          <w:tcPr>
            <w:tcW w:w="891" w:type="dxa"/>
            <w:tcBorders>
              <w:top w:val="nil"/>
              <w:left w:val="nil"/>
              <w:bottom w:val="nil"/>
              <w:right w:val="single" w:sz="4" w:space="0" w:color="auto"/>
            </w:tcBorders>
            <w:shd w:val="clear" w:color="auto" w:fill="auto"/>
            <w:vAlign w:val="center"/>
            <w:hideMark/>
          </w:tcPr>
          <w:p w14:paraId="448AD877"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 of total economy</w:t>
            </w:r>
          </w:p>
        </w:tc>
        <w:tc>
          <w:tcPr>
            <w:tcW w:w="708" w:type="dxa"/>
            <w:tcBorders>
              <w:top w:val="nil"/>
              <w:left w:val="nil"/>
              <w:bottom w:val="nil"/>
              <w:right w:val="single" w:sz="4" w:space="0" w:color="auto"/>
            </w:tcBorders>
            <w:shd w:val="clear" w:color="auto" w:fill="auto"/>
            <w:noWrap/>
            <w:vAlign w:val="center"/>
            <w:hideMark/>
          </w:tcPr>
          <w:p w14:paraId="1D9F292B"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Value</w:t>
            </w:r>
          </w:p>
        </w:tc>
        <w:tc>
          <w:tcPr>
            <w:tcW w:w="891" w:type="dxa"/>
            <w:tcBorders>
              <w:top w:val="nil"/>
              <w:left w:val="nil"/>
              <w:bottom w:val="nil"/>
              <w:right w:val="single" w:sz="4" w:space="0" w:color="auto"/>
            </w:tcBorders>
            <w:shd w:val="clear" w:color="auto" w:fill="auto"/>
            <w:vAlign w:val="center"/>
            <w:hideMark/>
          </w:tcPr>
          <w:p w14:paraId="7DFB2B96"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 of total economy</w:t>
            </w:r>
          </w:p>
        </w:tc>
        <w:tc>
          <w:tcPr>
            <w:tcW w:w="708" w:type="dxa"/>
            <w:tcBorders>
              <w:top w:val="nil"/>
              <w:left w:val="nil"/>
              <w:bottom w:val="nil"/>
              <w:right w:val="single" w:sz="4" w:space="0" w:color="auto"/>
            </w:tcBorders>
            <w:shd w:val="clear" w:color="auto" w:fill="auto"/>
            <w:noWrap/>
            <w:vAlign w:val="center"/>
            <w:hideMark/>
          </w:tcPr>
          <w:p w14:paraId="27C418F2"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Value</w:t>
            </w:r>
          </w:p>
        </w:tc>
        <w:tc>
          <w:tcPr>
            <w:tcW w:w="891" w:type="dxa"/>
            <w:tcBorders>
              <w:top w:val="nil"/>
              <w:left w:val="nil"/>
              <w:bottom w:val="nil"/>
              <w:right w:val="single" w:sz="4" w:space="0" w:color="auto"/>
            </w:tcBorders>
            <w:shd w:val="clear" w:color="auto" w:fill="auto"/>
            <w:vAlign w:val="center"/>
            <w:hideMark/>
          </w:tcPr>
          <w:p w14:paraId="28FDD4B5" w14:textId="77777777" w:rsidR="00704433" w:rsidRPr="00704433" w:rsidRDefault="00704433" w:rsidP="00704433">
            <w:pPr>
              <w:spacing w:after="0" w:line="240" w:lineRule="auto"/>
              <w:jc w:val="center"/>
              <w:rPr>
                <w:rFonts w:ascii="Times New Roman" w:eastAsia="Times New Roman" w:hAnsi="Times New Roman"/>
                <w:b/>
                <w:bCs/>
                <w:color w:val="000000"/>
                <w:sz w:val="18"/>
                <w:szCs w:val="18"/>
                <w:lang w:val="en-MU" w:eastAsia="en-MU"/>
              </w:rPr>
            </w:pPr>
            <w:r w:rsidRPr="00704433">
              <w:rPr>
                <w:rFonts w:ascii="Times New Roman" w:eastAsia="Times New Roman" w:hAnsi="Times New Roman"/>
                <w:b/>
                <w:bCs/>
                <w:color w:val="000000"/>
                <w:sz w:val="18"/>
                <w:szCs w:val="18"/>
                <w:lang w:val="en-MU" w:eastAsia="en-MU"/>
              </w:rPr>
              <w:t>% of total economy</w:t>
            </w:r>
          </w:p>
        </w:tc>
      </w:tr>
      <w:tr w:rsidR="00271CD2" w:rsidRPr="00704433" w14:paraId="31921945" w14:textId="77777777" w:rsidTr="00CB7A8D">
        <w:trPr>
          <w:trHeight w:val="3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241613F1" w14:textId="77777777" w:rsidR="00704433" w:rsidRPr="00704433" w:rsidRDefault="00704433" w:rsidP="00704433">
            <w:pPr>
              <w:spacing w:after="0" w:line="240" w:lineRule="auto"/>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Employment</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E07CD87"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76,860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0C64B11A"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13.4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0DEAEC12"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83,774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086F15CE"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14.4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8A43A35"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75,165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3F59C9D6"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13.7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72A0F4A0"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58,784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23D58ED2"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11.4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2D4C8F5"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68,037  </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14:paraId="482E4176"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12.4  </w:t>
            </w:r>
          </w:p>
        </w:tc>
      </w:tr>
      <w:tr w:rsidR="00271CD2" w:rsidRPr="00704433" w14:paraId="722D7F8D" w14:textId="77777777" w:rsidTr="00CB7A8D">
        <w:trPr>
          <w:trHeight w:val="355"/>
        </w:trPr>
        <w:tc>
          <w:tcPr>
            <w:tcW w:w="1445" w:type="dxa"/>
            <w:tcBorders>
              <w:top w:val="nil"/>
              <w:left w:val="single" w:sz="4" w:space="0" w:color="auto"/>
              <w:bottom w:val="single" w:sz="4" w:space="0" w:color="auto"/>
              <w:right w:val="single" w:sz="4" w:space="0" w:color="auto"/>
            </w:tcBorders>
            <w:shd w:val="clear" w:color="auto" w:fill="auto"/>
            <w:noWrap/>
            <w:vAlign w:val="bottom"/>
            <w:hideMark/>
          </w:tcPr>
          <w:p w14:paraId="5CE0BEFD" w14:textId="77777777" w:rsidR="000F32F3" w:rsidRDefault="00704433" w:rsidP="00704433">
            <w:pPr>
              <w:spacing w:after="0" w:line="240" w:lineRule="auto"/>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Value Added</w:t>
            </w:r>
          </w:p>
          <w:p w14:paraId="4CE037E5" w14:textId="3FACA272" w:rsidR="00704433" w:rsidRPr="00704433" w:rsidRDefault="00704433" w:rsidP="00704433">
            <w:pPr>
              <w:spacing w:after="0" w:line="240" w:lineRule="auto"/>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 (Rs. Mn)</w:t>
            </w:r>
          </w:p>
        </w:tc>
        <w:tc>
          <w:tcPr>
            <w:tcW w:w="708" w:type="dxa"/>
            <w:tcBorders>
              <w:top w:val="nil"/>
              <w:left w:val="nil"/>
              <w:bottom w:val="single" w:sz="4" w:space="0" w:color="auto"/>
              <w:right w:val="single" w:sz="4" w:space="0" w:color="auto"/>
            </w:tcBorders>
            <w:shd w:val="clear" w:color="auto" w:fill="auto"/>
            <w:noWrap/>
            <w:vAlign w:val="bottom"/>
            <w:hideMark/>
          </w:tcPr>
          <w:p w14:paraId="50CD1F23"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40,273  </w:t>
            </w:r>
          </w:p>
        </w:tc>
        <w:tc>
          <w:tcPr>
            <w:tcW w:w="891" w:type="dxa"/>
            <w:tcBorders>
              <w:top w:val="nil"/>
              <w:left w:val="nil"/>
              <w:bottom w:val="single" w:sz="4" w:space="0" w:color="auto"/>
              <w:right w:val="single" w:sz="4" w:space="0" w:color="auto"/>
            </w:tcBorders>
            <w:shd w:val="clear" w:color="auto" w:fill="auto"/>
            <w:noWrap/>
            <w:vAlign w:val="bottom"/>
            <w:hideMark/>
          </w:tcPr>
          <w:p w14:paraId="68305E79"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9.3  </w:t>
            </w:r>
          </w:p>
        </w:tc>
        <w:tc>
          <w:tcPr>
            <w:tcW w:w="708" w:type="dxa"/>
            <w:tcBorders>
              <w:top w:val="nil"/>
              <w:left w:val="nil"/>
              <w:bottom w:val="single" w:sz="4" w:space="0" w:color="auto"/>
              <w:right w:val="single" w:sz="4" w:space="0" w:color="auto"/>
            </w:tcBorders>
            <w:shd w:val="clear" w:color="auto" w:fill="auto"/>
            <w:noWrap/>
            <w:vAlign w:val="bottom"/>
            <w:hideMark/>
          </w:tcPr>
          <w:p w14:paraId="22A54337"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40,944  </w:t>
            </w:r>
          </w:p>
        </w:tc>
        <w:tc>
          <w:tcPr>
            <w:tcW w:w="891" w:type="dxa"/>
            <w:tcBorders>
              <w:top w:val="nil"/>
              <w:left w:val="nil"/>
              <w:bottom w:val="single" w:sz="4" w:space="0" w:color="auto"/>
              <w:right w:val="single" w:sz="4" w:space="0" w:color="auto"/>
            </w:tcBorders>
            <w:shd w:val="clear" w:color="auto" w:fill="auto"/>
            <w:noWrap/>
            <w:vAlign w:val="bottom"/>
            <w:hideMark/>
          </w:tcPr>
          <w:p w14:paraId="3910671A"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9.2  </w:t>
            </w:r>
          </w:p>
        </w:tc>
        <w:tc>
          <w:tcPr>
            <w:tcW w:w="708" w:type="dxa"/>
            <w:tcBorders>
              <w:top w:val="nil"/>
              <w:left w:val="nil"/>
              <w:bottom w:val="single" w:sz="4" w:space="0" w:color="auto"/>
              <w:right w:val="single" w:sz="4" w:space="0" w:color="auto"/>
            </w:tcBorders>
            <w:shd w:val="clear" w:color="auto" w:fill="auto"/>
            <w:noWrap/>
            <w:vAlign w:val="bottom"/>
            <w:hideMark/>
          </w:tcPr>
          <w:p w14:paraId="45502D48"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10,646  </w:t>
            </w:r>
          </w:p>
        </w:tc>
        <w:tc>
          <w:tcPr>
            <w:tcW w:w="891" w:type="dxa"/>
            <w:tcBorders>
              <w:top w:val="nil"/>
              <w:left w:val="nil"/>
              <w:bottom w:val="single" w:sz="4" w:space="0" w:color="auto"/>
              <w:right w:val="single" w:sz="4" w:space="0" w:color="auto"/>
            </w:tcBorders>
            <w:shd w:val="clear" w:color="auto" w:fill="auto"/>
            <w:noWrap/>
            <w:vAlign w:val="bottom"/>
            <w:hideMark/>
          </w:tcPr>
          <w:p w14:paraId="2FE5FF05"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2.7  </w:t>
            </w:r>
          </w:p>
        </w:tc>
        <w:tc>
          <w:tcPr>
            <w:tcW w:w="708" w:type="dxa"/>
            <w:tcBorders>
              <w:top w:val="nil"/>
              <w:left w:val="nil"/>
              <w:bottom w:val="single" w:sz="4" w:space="0" w:color="auto"/>
              <w:right w:val="single" w:sz="4" w:space="0" w:color="auto"/>
            </w:tcBorders>
            <w:shd w:val="clear" w:color="auto" w:fill="auto"/>
            <w:noWrap/>
            <w:vAlign w:val="bottom"/>
            <w:hideMark/>
          </w:tcPr>
          <w:p w14:paraId="257530D2"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9,761  </w:t>
            </w:r>
          </w:p>
        </w:tc>
        <w:tc>
          <w:tcPr>
            <w:tcW w:w="891" w:type="dxa"/>
            <w:tcBorders>
              <w:top w:val="nil"/>
              <w:left w:val="nil"/>
              <w:bottom w:val="single" w:sz="4" w:space="0" w:color="auto"/>
              <w:right w:val="single" w:sz="4" w:space="0" w:color="auto"/>
            </w:tcBorders>
            <w:shd w:val="clear" w:color="auto" w:fill="auto"/>
            <w:noWrap/>
            <w:vAlign w:val="bottom"/>
            <w:hideMark/>
          </w:tcPr>
          <w:p w14:paraId="1BDE9F24"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2.3  </w:t>
            </w:r>
          </w:p>
        </w:tc>
        <w:tc>
          <w:tcPr>
            <w:tcW w:w="708" w:type="dxa"/>
            <w:tcBorders>
              <w:top w:val="nil"/>
              <w:left w:val="nil"/>
              <w:bottom w:val="single" w:sz="4" w:space="0" w:color="auto"/>
              <w:right w:val="single" w:sz="4" w:space="0" w:color="auto"/>
            </w:tcBorders>
            <w:shd w:val="clear" w:color="auto" w:fill="auto"/>
            <w:noWrap/>
            <w:vAlign w:val="bottom"/>
            <w:hideMark/>
          </w:tcPr>
          <w:p w14:paraId="468BDA0E"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43,028  </w:t>
            </w:r>
          </w:p>
        </w:tc>
        <w:tc>
          <w:tcPr>
            <w:tcW w:w="891" w:type="dxa"/>
            <w:tcBorders>
              <w:top w:val="nil"/>
              <w:left w:val="nil"/>
              <w:bottom w:val="single" w:sz="4" w:space="0" w:color="auto"/>
              <w:right w:val="single" w:sz="4" w:space="0" w:color="auto"/>
            </w:tcBorders>
            <w:shd w:val="clear" w:color="auto" w:fill="auto"/>
            <w:noWrap/>
            <w:vAlign w:val="bottom"/>
            <w:hideMark/>
          </w:tcPr>
          <w:p w14:paraId="7E392AD7" w14:textId="77777777" w:rsidR="00704433" w:rsidRPr="00704433" w:rsidRDefault="00704433" w:rsidP="00704433">
            <w:pPr>
              <w:spacing w:after="0" w:line="240" w:lineRule="auto"/>
              <w:jc w:val="right"/>
              <w:rPr>
                <w:rFonts w:ascii="Times New Roman" w:eastAsia="Times New Roman" w:hAnsi="Times New Roman"/>
                <w:color w:val="000000"/>
                <w:sz w:val="18"/>
                <w:szCs w:val="18"/>
                <w:lang w:val="en-MU" w:eastAsia="en-MU"/>
              </w:rPr>
            </w:pPr>
            <w:r w:rsidRPr="00704433">
              <w:rPr>
                <w:rFonts w:ascii="Times New Roman" w:eastAsia="Times New Roman" w:hAnsi="Times New Roman"/>
                <w:color w:val="000000"/>
                <w:sz w:val="18"/>
                <w:szCs w:val="18"/>
                <w:lang w:val="en-MU" w:eastAsia="en-MU"/>
              </w:rPr>
              <w:t xml:space="preserve">8.6  </w:t>
            </w:r>
          </w:p>
        </w:tc>
      </w:tr>
    </w:tbl>
    <w:p w14:paraId="1570A133" w14:textId="231C919B" w:rsidR="008676EC" w:rsidRDefault="008676EC" w:rsidP="008676EC">
      <w:pPr>
        <w:spacing w:after="0"/>
        <w:ind w:left="60"/>
        <w:jc w:val="both"/>
        <w:rPr>
          <w:rFonts w:ascii="Times New Roman" w:hAnsi="Times New Roman"/>
          <w:i/>
          <w:sz w:val="20"/>
          <w:szCs w:val="20"/>
        </w:rPr>
      </w:pPr>
      <w:r w:rsidRPr="005E2E98">
        <w:rPr>
          <w:rFonts w:ascii="Times New Roman" w:hAnsi="Times New Roman"/>
          <w:i/>
          <w:sz w:val="20"/>
          <w:szCs w:val="20"/>
          <w:vertAlign w:val="superscript"/>
        </w:rPr>
        <w:t>1</w:t>
      </w:r>
      <w:r w:rsidRPr="005E2E98">
        <w:rPr>
          <w:rFonts w:ascii="Times New Roman" w:hAnsi="Times New Roman"/>
          <w:i/>
          <w:sz w:val="20"/>
          <w:szCs w:val="20"/>
        </w:rPr>
        <w:t xml:space="preserve"> Provisional</w:t>
      </w:r>
    </w:p>
    <w:p w14:paraId="7D33C1EF" w14:textId="4A562644" w:rsidR="00E56153" w:rsidRPr="00E53B6A" w:rsidRDefault="006E31F1" w:rsidP="001B614C">
      <w:pPr>
        <w:pStyle w:val="BodyText"/>
        <w:numPr>
          <w:ilvl w:val="0"/>
          <w:numId w:val="5"/>
        </w:numPr>
        <w:tabs>
          <w:tab w:val="left" w:pos="90"/>
        </w:tabs>
        <w:spacing w:after="120" w:line="276" w:lineRule="auto"/>
        <w:rPr>
          <w:b/>
          <w:sz w:val="24"/>
          <w:szCs w:val="24"/>
        </w:rPr>
      </w:pPr>
      <w:r w:rsidRPr="00E53B6A">
        <w:rPr>
          <w:sz w:val="24"/>
          <w:szCs w:val="24"/>
        </w:rPr>
        <w:lastRenderedPageBreak/>
        <w:t>In the year 201</w:t>
      </w:r>
      <w:r w:rsidRPr="00E53B6A">
        <w:rPr>
          <w:sz w:val="24"/>
          <w:szCs w:val="24"/>
          <w:lang w:val="en-GB"/>
        </w:rPr>
        <w:t>8</w:t>
      </w:r>
      <w:r w:rsidRPr="00E53B6A">
        <w:rPr>
          <w:sz w:val="24"/>
          <w:szCs w:val="24"/>
        </w:rPr>
        <w:t xml:space="preserve">, </w:t>
      </w:r>
      <w:r w:rsidR="00F22F10" w:rsidRPr="00E53B6A">
        <w:rPr>
          <w:sz w:val="24"/>
          <w:szCs w:val="24"/>
          <w:lang w:val="en-GB"/>
        </w:rPr>
        <w:t xml:space="preserve">the </w:t>
      </w:r>
      <w:r w:rsidRPr="00E53B6A">
        <w:rPr>
          <w:sz w:val="24"/>
          <w:szCs w:val="24"/>
        </w:rPr>
        <w:t xml:space="preserve">tourism sector generated Rs </w:t>
      </w:r>
      <w:r w:rsidR="00873C1B" w:rsidRPr="00E53B6A">
        <w:rPr>
          <w:sz w:val="24"/>
          <w:szCs w:val="24"/>
          <w:lang w:val="en-GB"/>
        </w:rPr>
        <w:t>40,273</w:t>
      </w:r>
      <w:r w:rsidRPr="00E53B6A">
        <w:rPr>
          <w:sz w:val="24"/>
          <w:szCs w:val="24"/>
          <w:lang w:val="en-GB"/>
        </w:rPr>
        <w:t xml:space="preserve"> </w:t>
      </w:r>
      <w:r w:rsidRPr="00E53B6A">
        <w:rPr>
          <w:sz w:val="24"/>
          <w:szCs w:val="24"/>
        </w:rPr>
        <w:t>million as direct value added. This represented 9.</w:t>
      </w:r>
      <w:r w:rsidR="00873C1B" w:rsidRPr="00E53B6A">
        <w:rPr>
          <w:sz w:val="24"/>
          <w:szCs w:val="24"/>
          <w:lang w:val="en-GB"/>
        </w:rPr>
        <w:t>3</w:t>
      </w:r>
      <w:r w:rsidRPr="00E53B6A">
        <w:rPr>
          <w:sz w:val="24"/>
          <w:szCs w:val="24"/>
        </w:rPr>
        <w:t xml:space="preserve">% of </w:t>
      </w:r>
      <w:r w:rsidR="00D70E04">
        <w:rPr>
          <w:sz w:val="24"/>
          <w:szCs w:val="24"/>
          <w:lang w:val="en-GB"/>
        </w:rPr>
        <w:t xml:space="preserve">the </w:t>
      </w:r>
      <w:r w:rsidRPr="00E53B6A">
        <w:rPr>
          <w:sz w:val="24"/>
          <w:szCs w:val="24"/>
        </w:rPr>
        <w:t>GDP</w:t>
      </w:r>
      <w:r w:rsidR="00D70E04">
        <w:rPr>
          <w:sz w:val="24"/>
          <w:szCs w:val="24"/>
          <w:lang w:val="en-GB"/>
        </w:rPr>
        <w:t xml:space="preserve"> which was valued at Rs 435,376 million</w:t>
      </w:r>
      <w:r w:rsidRPr="00E53B6A">
        <w:rPr>
          <w:sz w:val="24"/>
          <w:szCs w:val="24"/>
        </w:rPr>
        <w:t>.</w:t>
      </w:r>
      <w:r w:rsidR="007664F8" w:rsidRPr="00E53B6A">
        <w:rPr>
          <w:sz w:val="24"/>
          <w:szCs w:val="24"/>
          <w:lang w:val="en-GB"/>
        </w:rPr>
        <w:t xml:space="preserve"> </w:t>
      </w:r>
    </w:p>
    <w:p w14:paraId="3D28D1B4" w14:textId="72EF79A1" w:rsidR="00E56153" w:rsidRPr="00E53B6A" w:rsidRDefault="006E31F1" w:rsidP="002D1A1D">
      <w:pPr>
        <w:pStyle w:val="BodyText"/>
        <w:numPr>
          <w:ilvl w:val="0"/>
          <w:numId w:val="5"/>
        </w:numPr>
        <w:tabs>
          <w:tab w:val="left" w:pos="90"/>
        </w:tabs>
        <w:spacing w:after="120" w:line="276" w:lineRule="auto"/>
        <w:rPr>
          <w:b/>
          <w:sz w:val="24"/>
          <w:szCs w:val="24"/>
        </w:rPr>
      </w:pPr>
      <w:r w:rsidRPr="00E53B6A">
        <w:rPr>
          <w:sz w:val="24"/>
          <w:szCs w:val="24"/>
        </w:rPr>
        <w:t xml:space="preserve">For the year under review, direct tourism employment stood at </w:t>
      </w:r>
      <w:r w:rsidRPr="00E53B6A">
        <w:rPr>
          <w:sz w:val="24"/>
          <w:szCs w:val="24"/>
          <w:lang w:val="en-GB"/>
        </w:rPr>
        <w:t>7</w:t>
      </w:r>
      <w:r w:rsidR="00FA609A" w:rsidRPr="00E53B6A">
        <w:rPr>
          <w:sz w:val="24"/>
          <w:szCs w:val="24"/>
          <w:lang w:val="en-GB"/>
        </w:rPr>
        <w:t>6</w:t>
      </w:r>
      <w:r w:rsidRPr="00E53B6A">
        <w:rPr>
          <w:sz w:val="24"/>
          <w:szCs w:val="24"/>
          <w:lang w:val="en-GB"/>
        </w:rPr>
        <w:t>,</w:t>
      </w:r>
      <w:r w:rsidR="00FA609A" w:rsidRPr="00E53B6A">
        <w:rPr>
          <w:sz w:val="24"/>
          <w:szCs w:val="24"/>
          <w:lang w:val="en-GB"/>
        </w:rPr>
        <w:t>860</w:t>
      </w:r>
      <w:r w:rsidRPr="00E53B6A">
        <w:rPr>
          <w:sz w:val="24"/>
          <w:szCs w:val="24"/>
        </w:rPr>
        <w:t xml:space="preserve">, representing </w:t>
      </w:r>
      <w:r w:rsidRPr="00E53B6A">
        <w:rPr>
          <w:sz w:val="24"/>
          <w:szCs w:val="24"/>
          <w:lang w:val="en-GB"/>
        </w:rPr>
        <w:t>13.</w:t>
      </w:r>
      <w:r w:rsidR="00FA609A" w:rsidRPr="00E53B6A">
        <w:rPr>
          <w:sz w:val="24"/>
          <w:szCs w:val="24"/>
          <w:lang w:val="en-GB"/>
        </w:rPr>
        <w:t>4</w:t>
      </w:r>
      <w:r w:rsidRPr="00E53B6A">
        <w:rPr>
          <w:sz w:val="24"/>
          <w:szCs w:val="24"/>
        </w:rPr>
        <w:t>% of total employment</w:t>
      </w:r>
      <w:r w:rsidR="00D70E04">
        <w:rPr>
          <w:sz w:val="24"/>
          <w:szCs w:val="24"/>
          <w:lang w:val="en-GB"/>
        </w:rPr>
        <w:t xml:space="preserve"> which </w:t>
      </w:r>
      <w:r w:rsidR="00D9291D">
        <w:rPr>
          <w:sz w:val="24"/>
          <w:szCs w:val="24"/>
          <w:lang w:val="en-GB"/>
        </w:rPr>
        <w:t>was</w:t>
      </w:r>
      <w:r w:rsidR="00D70E04">
        <w:rPr>
          <w:sz w:val="24"/>
          <w:szCs w:val="24"/>
          <w:lang w:val="en-GB"/>
        </w:rPr>
        <w:t xml:space="preserve"> 573,100</w:t>
      </w:r>
      <w:r w:rsidRPr="00E53B6A">
        <w:rPr>
          <w:sz w:val="24"/>
          <w:szCs w:val="24"/>
        </w:rPr>
        <w:t xml:space="preserve">. Among those working in the tourism sector, </w:t>
      </w:r>
      <w:r w:rsidRPr="00E53B6A">
        <w:rPr>
          <w:sz w:val="24"/>
          <w:szCs w:val="24"/>
          <w:lang w:val="en-GB"/>
        </w:rPr>
        <w:t>3</w:t>
      </w:r>
      <w:r w:rsidR="00FA609A" w:rsidRPr="00E53B6A">
        <w:rPr>
          <w:sz w:val="24"/>
          <w:szCs w:val="24"/>
          <w:lang w:val="en-GB"/>
        </w:rPr>
        <w:t>5</w:t>
      </w:r>
      <w:r w:rsidRPr="00E53B6A">
        <w:rPr>
          <w:sz w:val="24"/>
          <w:szCs w:val="24"/>
        </w:rPr>
        <w:t xml:space="preserve">% were employed in the </w:t>
      </w:r>
      <w:r w:rsidR="000F32F3">
        <w:rPr>
          <w:sz w:val="24"/>
          <w:szCs w:val="24"/>
          <w:lang w:val="en-GB"/>
        </w:rPr>
        <w:t>“</w:t>
      </w:r>
      <w:r w:rsidRPr="00E53B6A">
        <w:rPr>
          <w:sz w:val="24"/>
          <w:szCs w:val="24"/>
        </w:rPr>
        <w:t>Accommodation Services</w:t>
      </w:r>
      <w:r w:rsidR="000F32F3">
        <w:rPr>
          <w:sz w:val="24"/>
          <w:szCs w:val="24"/>
          <w:lang w:val="en-GB"/>
        </w:rPr>
        <w:t>”</w:t>
      </w:r>
      <w:r w:rsidRPr="00E53B6A">
        <w:rPr>
          <w:sz w:val="24"/>
          <w:szCs w:val="24"/>
        </w:rPr>
        <w:t xml:space="preserve"> industry</w:t>
      </w:r>
      <w:r w:rsidR="00D70E04">
        <w:rPr>
          <w:sz w:val="24"/>
          <w:szCs w:val="24"/>
          <w:lang w:val="en-GB"/>
        </w:rPr>
        <w:t xml:space="preserve"> and 20% were in the “Food and beverage serving</w:t>
      </w:r>
      <w:r w:rsidR="003856AF">
        <w:rPr>
          <w:sz w:val="24"/>
          <w:szCs w:val="24"/>
          <w:lang w:val="en-GB"/>
        </w:rPr>
        <w:t>”</w:t>
      </w:r>
      <w:r w:rsidR="00D70E04">
        <w:rPr>
          <w:sz w:val="24"/>
          <w:szCs w:val="24"/>
          <w:lang w:val="en-GB"/>
        </w:rPr>
        <w:t xml:space="preserve"> industry</w:t>
      </w:r>
      <w:r w:rsidRPr="00E53B6A">
        <w:rPr>
          <w:sz w:val="24"/>
          <w:szCs w:val="24"/>
        </w:rPr>
        <w:t xml:space="preserve">. </w:t>
      </w:r>
    </w:p>
    <w:p w14:paraId="2AF4E90F" w14:textId="3BB1D8E9" w:rsidR="00C009B7" w:rsidRPr="004D32CD" w:rsidRDefault="00C009B7" w:rsidP="00431267">
      <w:pPr>
        <w:pStyle w:val="BodyText"/>
        <w:numPr>
          <w:ilvl w:val="0"/>
          <w:numId w:val="5"/>
        </w:numPr>
        <w:tabs>
          <w:tab w:val="left" w:pos="90"/>
        </w:tabs>
        <w:spacing w:after="120" w:line="276" w:lineRule="auto"/>
        <w:rPr>
          <w:b/>
          <w:sz w:val="24"/>
          <w:szCs w:val="24"/>
        </w:rPr>
      </w:pPr>
      <w:r>
        <w:rPr>
          <w:sz w:val="24"/>
          <w:szCs w:val="24"/>
          <w:lang w:val="en-GB"/>
        </w:rPr>
        <w:t xml:space="preserve">Chart </w:t>
      </w:r>
      <w:r w:rsidR="00DF7E84">
        <w:rPr>
          <w:sz w:val="24"/>
          <w:szCs w:val="24"/>
          <w:lang w:val="en-GB"/>
        </w:rPr>
        <w:t>4</w:t>
      </w:r>
      <w:r>
        <w:rPr>
          <w:sz w:val="24"/>
          <w:szCs w:val="24"/>
          <w:lang w:val="en-GB"/>
        </w:rPr>
        <w:t xml:space="preserve"> shows the percentage distribution of direct tourism employment in various </w:t>
      </w:r>
      <w:r w:rsidR="00F22F10">
        <w:rPr>
          <w:sz w:val="24"/>
          <w:szCs w:val="24"/>
          <w:lang w:val="en-GB"/>
        </w:rPr>
        <w:t>industries</w:t>
      </w:r>
      <w:r>
        <w:rPr>
          <w:sz w:val="24"/>
          <w:szCs w:val="24"/>
          <w:lang w:val="en-GB"/>
        </w:rPr>
        <w:t>.</w:t>
      </w:r>
    </w:p>
    <w:p w14:paraId="238983D6" w14:textId="12E2D447" w:rsidR="00C009B7" w:rsidRDefault="00C009B7" w:rsidP="00C009B7">
      <w:pPr>
        <w:pStyle w:val="BodyText"/>
        <w:tabs>
          <w:tab w:val="left" w:pos="90"/>
        </w:tabs>
        <w:spacing w:after="120" w:line="276" w:lineRule="auto"/>
        <w:ind w:left="60"/>
        <w:rPr>
          <w:b/>
          <w:bCs/>
          <w:sz w:val="24"/>
          <w:szCs w:val="24"/>
          <w:lang w:val="en-GB"/>
        </w:rPr>
      </w:pPr>
      <w:r w:rsidRPr="00C009B7">
        <w:rPr>
          <w:b/>
          <w:bCs/>
          <w:sz w:val="24"/>
          <w:szCs w:val="24"/>
          <w:lang w:val="en-GB"/>
        </w:rPr>
        <w:t xml:space="preserve">Chart </w:t>
      </w:r>
      <w:r w:rsidR="00DF7E84">
        <w:rPr>
          <w:b/>
          <w:bCs/>
          <w:sz w:val="24"/>
          <w:szCs w:val="24"/>
          <w:lang w:val="en-GB"/>
        </w:rPr>
        <w:t>4</w:t>
      </w:r>
      <w:r w:rsidRPr="00C009B7">
        <w:rPr>
          <w:b/>
          <w:bCs/>
          <w:sz w:val="24"/>
          <w:szCs w:val="24"/>
          <w:lang w:val="en-GB"/>
        </w:rPr>
        <w:t>: Percentage distribution of direct tourism employment</w:t>
      </w:r>
      <w:r>
        <w:rPr>
          <w:b/>
          <w:bCs/>
          <w:sz w:val="24"/>
          <w:szCs w:val="24"/>
          <w:lang w:val="en-GB"/>
        </w:rPr>
        <w:t>, 2018</w:t>
      </w:r>
    </w:p>
    <w:p w14:paraId="6A7484EA" w14:textId="673B95CE" w:rsidR="00A40F19" w:rsidRDefault="00A40F19" w:rsidP="00C009B7">
      <w:pPr>
        <w:pStyle w:val="BodyText"/>
        <w:tabs>
          <w:tab w:val="left" w:pos="90"/>
        </w:tabs>
        <w:spacing w:after="120" w:line="276" w:lineRule="auto"/>
        <w:ind w:left="60"/>
        <w:rPr>
          <w:b/>
          <w:bCs/>
          <w:sz w:val="24"/>
          <w:szCs w:val="24"/>
          <w:lang w:val="en-GB"/>
        </w:rPr>
      </w:pPr>
      <w:r>
        <w:rPr>
          <w:noProof/>
        </w:rPr>
        <w:drawing>
          <wp:inline distT="0" distB="0" distL="0" distR="0" wp14:anchorId="73EEEC67" wp14:editId="7A024A30">
            <wp:extent cx="5913755" cy="3248025"/>
            <wp:effectExtent l="0" t="0" r="10795" b="9525"/>
            <wp:docPr id="488425" name="Chart 488425">
              <a:extLst xmlns:a="http://schemas.openxmlformats.org/drawingml/2006/main">
                <a:ext uri="{FF2B5EF4-FFF2-40B4-BE49-F238E27FC236}">
                  <a16:creationId xmlns:a16="http://schemas.microsoft.com/office/drawing/2014/main" id="{C9536B25-913B-48A9-AA76-DC62CBC379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2E3D57" w14:textId="72868006" w:rsidR="00126ACD" w:rsidRPr="007537AE" w:rsidRDefault="00126ACD" w:rsidP="00126ACD">
      <w:pPr>
        <w:spacing w:line="360" w:lineRule="auto"/>
        <w:jc w:val="both"/>
        <w:rPr>
          <w:rFonts w:ascii="Times New Roman" w:hAnsi="Times New Roman"/>
          <w:b/>
          <w:sz w:val="24"/>
          <w:szCs w:val="24"/>
        </w:rPr>
      </w:pPr>
      <w:r w:rsidRPr="004A46A8">
        <w:rPr>
          <w:rFonts w:ascii="Times New Roman" w:hAnsi="Times New Roman"/>
          <w:i/>
          <w:sz w:val="20"/>
          <w:szCs w:val="20"/>
        </w:rPr>
        <w:t>Source: 201</w:t>
      </w:r>
      <w:r>
        <w:rPr>
          <w:rFonts w:ascii="Times New Roman" w:hAnsi="Times New Roman"/>
          <w:i/>
          <w:sz w:val="20"/>
          <w:szCs w:val="20"/>
        </w:rPr>
        <w:t xml:space="preserve">8 Survey of Inbound, </w:t>
      </w:r>
      <w:r w:rsidRPr="004A46A8">
        <w:rPr>
          <w:rFonts w:ascii="Times New Roman" w:hAnsi="Times New Roman"/>
          <w:i/>
          <w:sz w:val="20"/>
          <w:szCs w:val="20"/>
        </w:rPr>
        <w:t>Outbound</w:t>
      </w:r>
      <w:r>
        <w:rPr>
          <w:rFonts w:ascii="Times New Roman" w:hAnsi="Times New Roman"/>
          <w:i/>
          <w:sz w:val="20"/>
          <w:szCs w:val="20"/>
        </w:rPr>
        <w:t>,</w:t>
      </w:r>
      <w:r w:rsidRPr="004A46A8">
        <w:rPr>
          <w:rFonts w:ascii="Times New Roman" w:hAnsi="Times New Roman"/>
          <w:i/>
          <w:sz w:val="20"/>
          <w:szCs w:val="20"/>
        </w:rPr>
        <w:t xml:space="preserve"> </w:t>
      </w:r>
      <w:r>
        <w:rPr>
          <w:rFonts w:ascii="Times New Roman" w:hAnsi="Times New Roman"/>
          <w:i/>
          <w:sz w:val="20"/>
          <w:szCs w:val="20"/>
        </w:rPr>
        <w:t xml:space="preserve">and Domestic </w:t>
      </w:r>
      <w:r w:rsidRPr="004A46A8">
        <w:rPr>
          <w:rFonts w:ascii="Times New Roman" w:hAnsi="Times New Roman"/>
          <w:i/>
          <w:sz w:val="20"/>
          <w:szCs w:val="20"/>
        </w:rPr>
        <w:t xml:space="preserve">Tourism </w:t>
      </w:r>
    </w:p>
    <w:p w14:paraId="7F662995" w14:textId="77777777" w:rsidR="00957115" w:rsidRDefault="00957115" w:rsidP="00AB2255">
      <w:pPr>
        <w:pStyle w:val="BodyText"/>
        <w:spacing w:line="276" w:lineRule="auto"/>
        <w:rPr>
          <w:b/>
          <w:sz w:val="24"/>
          <w:szCs w:val="24"/>
        </w:rPr>
      </w:pPr>
    </w:p>
    <w:p w14:paraId="40525EA8" w14:textId="77777777" w:rsidR="00957115" w:rsidRDefault="00957115" w:rsidP="00AB2255">
      <w:pPr>
        <w:pStyle w:val="BodyText"/>
        <w:spacing w:line="276" w:lineRule="auto"/>
        <w:rPr>
          <w:b/>
          <w:sz w:val="24"/>
          <w:szCs w:val="24"/>
        </w:rPr>
      </w:pPr>
    </w:p>
    <w:p w14:paraId="0FE2CDF4" w14:textId="77777777" w:rsidR="00957115" w:rsidRDefault="00957115" w:rsidP="00AB2255">
      <w:pPr>
        <w:pStyle w:val="BodyText"/>
        <w:spacing w:line="276" w:lineRule="auto"/>
        <w:rPr>
          <w:b/>
          <w:sz w:val="24"/>
          <w:szCs w:val="24"/>
        </w:rPr>
      </w:pPr>
    </w:p>
    <w:p w14:paraId="07F182BB" w14:textId="33063317" w:rsidR="00AB2255" w:rsidRPr="00535EB9" w:rsidRDefault="00AB2255" w:rsidP="00AB2255">
      <w:pPr>
        <w:pStyle w:val="BodyText"/>
        <w:spacing w:line="276" w:lineRule="auto"/>
        <w:rPr>
          <w:b/>
          <w:sz w:val="24"/>
          <w:szCs w:val="24"/>
        </w:rPr>
      </w:pPr>
      <w:r w:rsidRPr="00535EB9">
        <w:rPr>
          <w:b/>
          <w:sz w:val="24"/>
          <w:szCs w:val="24"/>
        </w:rPr>
        <w:t>Statistics Mauritius</w:t>
      </w:r>
    </w:p>
    <w:p w14:paraId="5730EE17" w14:textId="556E1DEE" w:rsidR="00AB2255" w:rsidRPr="00535EB9" w:rsidRDefault="00AB2255" w:rsidP="00AB2255">
      <w:pPr>
        <w:pStyle w:val="BodyText"/>
        <w:spacing w:line="276" w:lineRule="auto"/>
        <w:rPr>
          <w:b/>
          <w:sz w:val="24"/>
          <w:szCs w:val="24"/>
        </w:rPr>
      </w:pPr>
      <w:r w:rsidRPr="00535EB9">
        <w:rPr>
          <w:b/>
          <w:sz w:val="24"/>
          <w:szCs w:val="24"/>
        </w:rPr>
        <w:t>Ministry of Finance and Economic Development</w:t>
      </w:r>
    </w:p>
    <w:p w14:paraId="0B2ABE01" w14:textId="66027CF8" w:rsidR="00AB2255" w:rsidRPr="00535EB9" w:rsidRDefault="00AB2255" w:rsidP="00AB2255">
      <w:pPr>
        <w:pStyle w:val="BodyText"/>
        <w:spacing w:line="276" w:lineRule="auto"/>
        <w:rPr>
          <w:b/>
          <w:sz w:val="24"/>
          <w:szCs w:val="24"/>
          <w:lang w:val="fr-FR"/>
        </w:rPr>
      </w:pPr>
      <w:r w:rsidRPr="00535EB9">
        <w:rPr>
          <w:b/>
          <w:sz w:val="24"/>
          <w:szCs w:val="24"/>
          <w:lang w:val="fr-FR"/>
        </w:rPr>
        <w:t>Port Louis</w:t>
      </w:r>
    </w:p>
    <w:p w14:paraId="1A75E411" w14:textId="53579DBA" w:rsidR="00AB2255" w:rsidRDefault="00CD46DC" w:rsidP="00D805D3">
      <w:pPr>
        <w:pStyle w:val="BodyText"/>
        <w:tabs>
          <w:tab w:val="left" w:pos="1875"/>
        </w:tabs>
        <w:spacing w:line="276" w:lineRule="auto"/>
        <w:rPr>
          <w:b/>
          <w:sz w:val="24"/>
          <w:szCs w:val="24"/>
          <w:lang w:val="fr-FR"/>
        </w:rPr>
      </w:pPr>
      <w:r>
        <w:rPr>
          <w:b/>
          <w:sz w:val="24"/>
          <w:szCs w:val="24"/>
          <w:lang w:val="fr-FR"/>
        </w:rPr>
        <w:t>August</w:t>
      </w:r>
      <w:r w:rsidR="00CF4A50">
        <w:rPr>
          <w:b/>
          <w:sz w:val="24"/>
          <w:szCs w:val="24"/>
          <w:lang w:val="fr-FR"/>
        </w:rPr>
        <w:t xml:space="preserve"> 2023</w:t>
      </w:r>
      <w:r w:rsidR="00D805D3">
        <w:rPr>
          <w:b/>
          <w:sz w:val="24"/>
          <w:szCs w:val="24"/>
          <w:lang w:val="fr-FR"/>
        </w:rPr>
        <w:tab/>
      </w:r>
    </w:p>
    <w:p w14:paraId="1F8058BF" w14:textId="0B24BBA4" w:rsidR="00AB2255" w:rsidRPr="00535EB9" w:rsidRDefault="00AB2255" w:rsidP="00AB2255">
      <w:pPr>
        <w:pStyle w:val="BodyText"/>
        <w:spacing w:line="276" w:lineRule="auto"/>
        <w:rPr>
          <w:sz w:val="24"/>
          <w:szCs w:val="24"/>
          <w:lang w:val="fr-FR"/>
        </w:rPr>
      </w:pPr>
    </w:p>
    <w:p w14:paraId="19D95E6C" w14:textId="73280DBB" w:rsidR="00AB2255" w:rsidRPr="00535EB9" w:rsidRDefault="00AB2255" w:rsidP="00AB2255">
      <w:pPr>
        <w:pStyle w:val="BodyText"/>
        <w:spacing w:line="276" w:lineRule="auto"/>
        <w:rPr>
          <w:sz w:val="24"/>
          <w:szCs w:val="24"/>
          <w:lang w:val="fr-FR"/>
        </w:rPr>
      </w:pPr>
    </w:p>
    <w:p w14:paraId="43081034" w14:textId="7AE767CA" w:rsidR="00A844B7" w:rsidRPr="00535EB9" w:rsidRDefault="00F25FDB" w:rsidP="005F7F9C">
      <w:pPr>
        <w:ind w:left="360"/>
        <w:jc w:val="both"/>
        <w:rPr>
          <w:rFonts w:ascii="Times New Roman" w:hAnsi="Times New Roman"/>
          <w:sz w:val="24"/>
          <w:szCs w:val="24"/>
          <w:lang w:val="fr-FR"/>
        </w:rPr>
      </w:pPr>
      <w:r w:rsidRPr="00535EB9">
        <w:rPr>
          <w:noProof/>
          <w:sz w:val="24"/>
          <w:szCs w:val="24"/>
        </w:rPr>
        <mc:AlternateContent>
          <mc:Choice Requires="wps">
            <w:drawing>
              <wp:anchor distT="0" distB="0" distL="114300" distR="114300" simplePos="0" relativeHeight="251657728" behindDoc="0" locked="0" layoutInCell="0" allowOverlap="1" wp14:anchorId="4F1074CD" wp14:editId="1BB2AC5A">
                <wp:simplePos x="0" y="0"/>
                <wp:positionH relativeFrom="column">
                  <wp:posOffset>1395095</wp:posOffset>
                </wp:positionH>
                <wp:positionV relativeFrom="paragraph">
                  <wp:posOffset>5081</wp:posOffset>
                </wp:positionV>
                <wp:extent cx="3390900" cy="2057400"/>
                <wp:effectExtent l="0" t="0" r="19050" b="1905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2057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0764F60F" w14:textId="77777777" w:rsidR="004E037B" w:rsidRPr="00E56153" w:rsidRDefault="004E037B" w:rsidP="00AB2255">
                            <w:pPr>
                              <w:jc w:val="center"/>
                              <w:rPr>
                                <w:rFonts w:ascii="Times New Roman" w:hAnsi="Times New Roman"/>
                                <w:b/>
                              </w:rPr>
                            </w:pPr>
                            <w:r w:rsidRPr="00E56153">
                              <w:rPr>
                                <w:rFonts w:ascii="Times New Roman" w:hAnsi="Times New Roman"/>
                                <w:b/>
                              </w:rPr>
                              <w:t>Contact person</w:t>
                            </w:r>
                          </w:p>
                          <w:p w14:paraId="4740477C" w14:textId="64FCEE50" w:rsidR="004E037B" w:rsidRPr="00E56153" w:rsidRDefault="004E037B" w:rsidP="00AB2255">
                            <w:pPr>
                              <w:ind w:firstLine="720"/>
                              <w:rPr>
                                <w:rFonts w:ascii="Times New Roman" w:hAnsi="Times New Roman"/>
                              </w:rPr>
                            </w:pPr>
                            <w:r w:rsidRPr="00E56153">
                              <w:rPr>
                                <w:rFonts w:ascii="Times New Roman" w:hAnsi="Times New Roman"/>
                              </w:rPr>
                              <w:t>M</w:t>
                            </w:r>
                            <w:r w:rsidR="00BD3CFA" w:rsidRPr="00E56153">
                              <w:rPr>
                                <w:rFonts w:ascii="Times New Roman" w:hAnsi="Times New Roman"/>
                              </w:rPr>
                              <w:t>s</w:t>
                            </w:r>
                            <w:r w:rsidRPr="00E56153">
                              <w:rPr>
                                <w:rFonts w:ascii="Times New Roman" w:hAnsi="Times New Roman"/>
                              </w:rPr>
                              <w:t xml:space="preserve">. </w:t>
                            </w:r>
                            <w:r w:rsidR="00C94FD6">
                              <w:rPr>
                                <w:rFonts w:ascii="Times New Roman" w:hAnsi="Times New Roman"/>
                              </w:rPr>
                              <w:t>D</w:t>
                            </w:r>
                            <w:r w:rsidRPr="00E56153">
                              <w:rPr>
                                <w:rFonts w:ascii="Times New Roman" w:hAnsi="Times New Roman"/>
                              </w:rPr>
                              <w:t xml:space="preserve">. </w:t>
                            </w:r>
                            <w:r w:rsidR="00C94FD6">
                              <w:rPr>
                                <w:rFonts w:ascii="Times New Roman" w:hAnsi="Times New Roman"/>
                              </w:rPr>
                              <w:t>Ramphul</w:t>
                            </w:r>
                            <w:r w:rsidRPr="00E56153">
                              <w:rPr>
                                <w:rFonts w:ascii="Times New Roman" w:hAnsi="Times New Roman"/>
                              </w:rPr>
                              <w:t xml:space="preserve">, </w:t>
                            </w:r>
                            <w:r w:rsidR="00C94FD6">
                              <w:rPr>
                                <w:rFonts w:ascii="Times New Roman" w:hAnsi="Times New Roman"/>
                              </w:rPr>
                              <w:t>Statistician/Senior Statistician</w:t>
                            </w:r>
                          </w:p>
                          <w:p w14:paraId="599B6A51" w14:textId="7A25D246" w:rsidR="00DD021D" w:rsidRPr="00E56153" w:rsidRDefault="00DD021D" w:rsidP="00AB2255">
                            <w:pPr>
                              <w:ind w:firstLine="720"/>
                              <w:rPr>
                                <w:rFonts w:ascii="Times New Roman" w:hAnsi="Times New Roman"/>
                              </w:rPr>
                            </w:pPr>
                            <w:r w:rsidRPr="00E56153">
                              <w:rPr>
                                <w:rFonts w:ascii="Times New Roman" w:hAnsi="Times New Roman"/>
                              </w:rPr>
                              <w:t>Ms. S</w:t>
                            </w:r>
                            <w:r w:rsidR="00BE2DB3" w:rsidRPr="00E56153">
                              <w:rPr>
                                <w:rFonts w:ascii="Times New Roman" w:hAnsi="Times New Roman"/>
                              </w:rPr>
                              <w:t>.</w:t>
                            </w:r>
                            <w:r w:rsidRPr="00E56153">
                              <w:rPr>
                                <w:rFonts w:ascii="Times New Roman" w:hAnsi="Times New Roman"/>
                              </w:rPr>
                              <w:t xml:space="preserve"> Papiah, SO/SSO </w:t>
                            </w:r>
                          </w:p>
                          <w:p w14:paraId="08033611" w14:textId="77777777" w:rsidR="004557C3" w:rsidRPr="00E56153" w:rsidRDefault="004557C3" w:rsidP="004557C3">
                            <w:pPr>
                              <w:ind w:firstLine="720"/>
                              <w:rPr>
                                <w:rFonts w:ascii="Times New Roman" w:hAnsi="Times New Roman"/>
                              </w:rPr>
                            </w:pPr>
                            <w:r w:rsidRPr="00E56153">
                              <w:rPr>
                                <w:rFonts w:ascii="Times New Roman" w:hAnsi="Times New Roman"/>
                              </w:rPr>
                              <w:t>Statistics Mauritius</w:t>
                            </w:r>
                          </w:p>
                          <w:p w14:paraId="7E3DF1BB" w14:textId="619D80CA" w:rsidR="007B653B" w:rsidRPr="00E56153" w:rsidRDefault="00BD3CFA" w:rsidP="00AB2255">
                            <w:pPr>
                              <w:ind w:firstLine="720"/>
                              <w:rPr>
                                <w:rFonts w:ascii="Times New Roman" w:hAnsi="Times New Roman"/>
                              </w:rPr>
                            </w:pPr>
                            <w:r w:rsidRPr="00E56153">
                              <w:rPr>
                                <w:rFonts w:ascii="Times New Roman" w:hAnsi="Times New Roman"/>
                              </w:rPr>
                              <w:t xml:space="preserve">LIC </w:t>
                            </w:r>
                            <w:r w:rsidR="007B653B" w:rsidRPr="00E56153">
                              <w:rPr>
                                <w:rFonts w:ascii="Times New Roman" w:hAnsi="Times New Roman"/>
                              </w:rPr>
                              <w:t xml:space="preserve">Centre, John Kennedy </w:t>
                            </w:r>
                            <w:r w:rsidR="00D805D3" w:rsidRPr="00E56153">
                              <w:rPr>
                                <w:rFonts w:ascii="Times New Roman" w:hAnsi="Times New Roman"/>
                              </w:rPr>
                              <w:t>S</w:t>
                            </w:r>
                            <w:r w:rsidR="007B653B" w:rsidRPr="00E56153">
                              <w:rPr>
                                <w:rFonts w:ascii="Times New Roman" w:hAnsi="Times New Roman"/>
                              </w:rPr>
                              <w:t>treet, Port Louis</w:t>
                            </w:r>
                          </w:p>
                          <w:p w14:paraId="296F7EAF" w14:textId="77777777" w:rsidR="004E037B" w:rsidRPr="00E56153" w:rsidRDefault="004E037B" w:rsidP="00AB2255">
                            <w:pPr>
                              <w:ind w:firstLine="720"/>
                              <w:rPr>
                                <w:rFonts w:ascii="Times New Roman" w:hAnsi="Times New Roman"/>
                                <w:color w:val="FF0000"/>
                              </w:rPr>
                            </w:pPr>
                            <w:r w:rsidRPr="00E56153">
                              <w:rPr>
                                <w:rFonts w:ascii="Times New Roman" w:hAnsi="Times New Roman"/>
                              </w:rPr>
                              <w:t xml:space="preserve">Tel: (230) </w:t>
                            </w:r>
                            <w:r w:rsidR="00BD3CFA" w:rsidRPr="00E56153">
                              <w:rPr>
                                <w:rFonts w:ascii="Times New Roman" w:hAnsi="Times New Roman"/>
                              </w:rPr>
                              <w:t>208-1800</w:t>
                            </w:r>
                            <w:r w:rsidRPr="00E56153">
                              <w:rPr>
                                <w:rFonts w:ascii="Times New Roman" w:hAnsi="Times New Roman"/>
                              </w:rPr>
                              <w:t xml:space="preserve">, Fax: (230) </w:t>
                            </w:r>
                            <w:r w:rsidR="00BD3CFA" w:rsidRPr="00E56153">
                              <w:rPr>
                                <w:rFonts w:ascii="Times New Roman" w:hAnsi="Times New Roman"/>
                              </w:rPr>
                              <w:t>211-4150</w:t>
                            </w:r>
                          </w:p>
                          <w:p w14:paraId="355BBAD8" w14:textId="0236D5CA" w:rsidR="004E037B" w:rsidRPr="00E56153" w:rsidRDefault="004E037B" w:rsidP="00AB2255">
                            <w:pPr>
                              <w:ind w:firstLine="720"/>
                              <w:rPr>
                                <w:rFonts w:ascii="Times New Roman" w:hAnsi="Times New Roman"/>
                              </w:rPr>
                            </w:pPr>
                            <w:r w:rsidRPr="00E56153">
                              <w:rPr>
                                <w:rFonts w:ascii="Times New Roman" w:hAnsi="Times New Roman"/>
                              </w:rPr>
                              <w:t xml:space="preserve">Email: </w:t>
                            </w:r>
                            <w:hyperlink r:id="rId16" w:history="1">
                              <w:r w:rsidR="00CD46DC" w:rsidRPr="007862E4">
                                <w:rPr>
                                  <w:rStyle w:val="Hyperlink"/>
                                  <w:rFonts w:ascii="Times New Roman" w:hAnsi="Times New Roman"/>
                                </w:rPr>
                                <w:t>dramphul@govmu.org</w:t>
                              </w:r>
                            </w:hyperlink>
                          </w:p>
                          <w:p w14:paraId="1B1BBDF2" w14:textId="77777777" w:rsidR="00BD3CFA" w:rsidRPr="00F26661" w:rsidRDefault="00BD3CFA" w:rsidP="00AB2255">
                            <w:pPr>
                              <w:ind w:firstLine="720"/>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074CD" id="_x0000_t202" coordsize="21600,21600" o:spt="202" path="m,l,21600r21600,l21600,xe">
                <v:stroke joinstyle="miter"/>
                <v:path gradientshapeok="t" o:connecttype="rect"/>
              </v:shapetype>
              <v:shape id="Text Box 3" o:spid="_x0000_s1026" type="#_x0000_t202" style="position:absolute;left:0;text-align:left;margin-left:109.85pt;margin-top:.4pt;width:267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" o:allowincell="f" filled="f" fillcolor="silver">
                <v:textbox>
                  <w:txbxContent>
                    <w:p w14:paraId="0764F60F" w14:textId="77777777" w:rsidR="004E037B" w:rsidRPr="00E56153" w:rsidRDefault="004E037B" w:rsidP="00AB2255">
                      <w:pPr>
                        <w:jc w:val="center"/>
                        <w:rPr>
                          <w:rFonts w:ascii="Times New Roman" w:hAnsi="Times New Roman"/>
                          <w:b/>
                        </w:rPr>
                      </w:pPr>
                      <w:r w:rsidRPr="00E56153">
                        <w:rPr>
                          <w:rFonts w:ascii="Times New Roman" w:hAnsi="Times New Roman"/>
                          <w:b/>
                        </w:rPr>
                        <w:t>Contact person</w:t>
                      </w:r>
                    </w:p>
                    <w:p w14:paraId="4740477C" w14:textId="64FCEE50" w:rsidR="004E037B" w:rsidRPr="00E56153" w:rsidRDefault="004E037B" w:rsidP="00AB2255">
                      <w:pPr>
                        <w:ind w:firstLine="720"/>
                        <w:rPr>
                          <w:rFonts w:ascii="Times New Roman" w:hAnsi="Times New Roman"/>
                        </w:rPr>
                      </w:pPr>
                      <w:r w:rsidRPr="00E56153">
                        <w:rPr>
                          <w:rFonts w:ascii="Times New Roman" w:hAnsi="Times New Roman"/>
                        </w:rPr>
                        <w:t>M</w:t>
                      </w:r>
                      <w:r w:rsidR="00BD3CFA" w:rsidRPr="00E56153">
                        <w:rPr>
                          <w:rFonts w:ascii="Times New Roman" w:hAnsi="Times New Roman"/>
                        </w:rPr>
                        <w:t>s</w:t>
                      </w:r>
                      <w:r w:rsidRPr="00E56153">
                        <w:rPr>
                          <w:rFonts w:ascii="Times New Roman" w:hAnsi="Times New Roman"/>
                        </w:rPr>
                        <w:t xml:space="preserve">. </w:t>
                      </w:r>
                      <w:r w:rsidR="00C94FD6">
                        <w:rPr>
                          <w:rFonts w:ascii="Times New Roman" w:hAnsi="Times New Roman"/>
                        </w:rPr>
                        <w:t>D</w:t>
                      </w:r>
                      <w:r w:rsidRPr="00E56153">
                        <w:rPr>
                          <w:rFonts w:ascii="Times New Roman" w:hAnsi="Times New Roman"/>
                        </w:rPr>
                        <w:t xml:space="preserve">. </w:t>
                      </w:r>
                      <w:r w:rsidR="00C94FD6">
                        <w:rPr>
                          <w:rFonts w:ascii="Times New Roman" w:hAnsi="Times New Roman"/>
                        </w:rPr>
                        <w:t>Ramphul</w:t>
                      </w:r>
                      <w:r w:rsidRPr="00E56153">
                        <w:rPr>
                          <w:rFonts w:ascii="Times New Roman" w:hAnsi="Times New Roman"/>
                        </w:rPr>
                        <w:t xml:space="preserve">, </w:t>
                      </w:r>
                      <w:r w:rsidR="00C94FD6">
                        <w:rPr>
                          <w:rFonts w:ascii="Times New Roman" w:hAnsi="Times New Roman"/>
                        </w:rPr>
                        <w:t>Statistician/Senior Statistician</w:t>
                      </w:r>
                    </w:p>
                    <w:p w14:paraId="599B6A51" w14:textId="7A25D246" w:rsidR="00DD021D" w:rsidRPr="00E56153" w:rsidRDefault="00DD021D" w:rsidP="00AB2255">
                      <w:pPr>
                        <w:ind w:firstLine="720"/>
                        <w:rPr>
                          <w:rFonts w:ascii="Times New Roman" w:hAnsi="Times New Roman"/>
                        </w:rPr>
                      </w:pPr>
                      <w:r w:rsidRPr="00E56153">
                        <w:rPr>
                          <w:rFonts w:ascii="Times New Roman" w:hAnsi="Times New Roman"/>
                        </w:rPr>
                        <w:t>Ms. S</w:t>
                      </w:r>
                      <w:r w:rsidR="00BE2DB3" w:rsidRPr="00E56153">
                        <w:rPr>
                          <w:rFonts w:ascii="Times New Roman" w:hAnsi="Times New Roman"/>
                        </w:rPr>
                        <w:t>.</w:t>
                      </w:r>
                      <w:r w:rsidRPr="00E56153">
                        <w:rPr>
                          <w:rFonts w:ascii="Times New Roman" w:hAnsi="Times New Roman"/>
                        </w:rPr>
                        <w:t xml:space="preserve"> Papiah, SO/SSO </w:t>
                      </w:r>
                    </w:p>
                    <w:p w14:paraId="08033611" w14:textId="77777777" w:rsidR="004557C3" w:rsidRPr="00E56153" w:rsidRDefault="004557C3" w:rsidP="004557C3">
                      <w:pPr>
                        <w:ind w:firstLine="720"/>
                        <w:rPr>
                          <w:rFonts w:ascii="Times New Roman" w:hAnsi="Times New Roman"/>
                        </w:rPr>
                      </w:pPr>
                      <w:r w:rsidRPr="00E56153">
                        <w:rPr>
                          <w:rFonts w:ascii="Times New Roman" w:hAnsi="Times New Roman"/>
                        </w:rPr>
                        <w:t>Statistics Mauritius</w:t>
                      </w:r>
                    </w:p>
                    <w:p w14:paraId="7E3DF1BB" w14:textId="619D80CA" w:rsidR="007B653B" w:rsidRPr="00E56153" w:rsidRDefault="00BD3CFA" w:rsidP="00AB2255">
                      <w:pPr>
                        <w:ind w:firstLine="720"/>
                        <w:rPr>
                          <w:rFonts w:ascii="Times New Roman" w:hAnsi="Times New Roman"/>
                        </w:rPr>
                      </w:pPr>
                      <w:r w:rsidRPr="00E56153">
                        <w:rPr>
                          <w:rFonts w:ascii="Times New Roman" w:hAnsi="Times New Roman"/>
                        </w:rPr>
                        <w:t xml:space="preserve">LIC </w:t>
                      </w:r>
                      <w:r w:rsidR="007B653B" w:rsidRPr="00E56153">
                        <w:rPr>
                          <w:rFonts w:ascii="Times New Roman" w:hAnsi="Times New Roman"/>
                        </w:rPr>
                        <w:t xml:space="preserve">Centre, John Kennedy </w:t>
                      </w:r>
                      <w:r w:rsidR="00D805D3" w:rsidRPr="00E56153">
                        <w:rPr>
                          <w:rFonts w:ascii="Times New Roman" w:hAnsi="Times New Roman"/>
                        </w:rPr>
                        <w:t>S</w:t>
                      </w:r>
                      <w:r w:rsidR="007B653B" w:rsidRPr="00E56153">
                        <w:rPr>
                          <w:rFonts w:ascii="Times New Roman" w:hAnsi="Times New Roman"/>
                        </w:rPr>
                        <w:t>treet, Port Louis</w:t>
                      </w:r>
                    </w:p>
                    <w:p w14:paraId="296F7EAF" w14:textId="77777777" w:rsidR="004E037B" w:rsidRPr="00E56153" w:rsidRDefault="004E037B" w:rsidP="00AB2255">
                      <w:pPr>
                        <w:ind w:firstLine="720"/>
                        <w:rPr>
                          <w:rFonts w:ascii="Times New Roman" w:hAnsi="Times New Roman"/>
                          <w:color w:val="FF0000"/>
                        </w:rPr>
                      </w:pPr>
                      <w:r w:rsidRPr="00E56153">
                        <w:rPr>
                          <w:rFonts w:ascii="Times New Roman" w:hAnsi="Times New Roman"/>
                        </w:rPr>
                        <w:t xml:space="preserve">Tel: (230) </w:t>
                      </w:r>
                      <w:r w:rsidR="00BD3CFA" w:rsidRPr="00E56153">
                        <w:rPr>
                          <w:rFonts w:ascii="Times New Roman" w:hAnsi="Times New Roman"/>
                        </w:rPr>
                        <w:t>208-1800</w:t>
                      </w:r>
                      <w:r w:rsidRPr="00E56153">
                        <w:rPr>
                          <w:rFonts w:ascii="Times New Roman" w:hAnsi="Times New Roman"/>
                        </w:rPr>
                        <w:t xml:space="preserve">, Fax: (230) </w:t>
                      </w:r>
                      <w:r w:rsidR="00BD3CFA" w:rsidRPr="00E56153">
                        <w:rPr>
                          <w:rFonts w:ascii="Times New Roman" w:hAnsi="Times New Roman"/>
                        </w:rPr>
                        <w:t>211-4150</w:t>
                      </w:r>
                    </w:p>
                    <w:p w14:paraId="355BBAD8" w14:textId="0236D5CA" w:rsidR="004E037B" w:rsidRPr="00E56153" w:rsidRDefault="004E037B" w:rsidP="00AB2255">
                      <w:pPr>
                        <w:ind w:firstLine="720"/>
                        <w:rPr>
                          <w:rFonts w:ascii="Times New Roman" w:hAnsi="Times New Roman"/>
                        </w:rPr>
                      </w:pPr>
                      <w:r w:rsidRPr="00E56153">
                        <w:rPr>
                          <w:rFonts w:ascii="Times New Roman" w:hAnsi="Times New Roman"/>
                        </w:rPr>
                        <w:t xml:space="preserve">Email: </w:t>
                      </w:r>
                      <w:hyperlink r:id="rId17" w:history="1">
                        <w:r w:rsidR="00CD46DC" w:rsidRPr="007862E4">
                          <w:rPr>
                            <w:rStyle w:val="Hyperlink"/>
                            <w:rFonts w:ascii="Times New Roman" w:hAnsi="Times New Roman"/>
                          </w:rPr>
                          <w:t>dramphul@govmu.org</w:t>
                        </w:r>
                      </w:hyperlink>
                    </w:p>
                    <w:p w14:paraId="1B1BBDF2" w14:textId="77777777" w:rsidR="00BD3CFA" w:rsidRPr="00F26661" w:rsidRDefault="00BD3CFA" w:rsidP="00AB2255">
                      <w:pPr>
                        <w:ind w:firstLine="720"/>
                        <w:rPr>
                          <w:rFonts w:ascii="Times New Roman" w:hAnsi="Times New Roman"/>
                          <w:sz w:val="24"/>
                          <w:szCs w:val="24"/>
                        </w:rPr>
                      </w:pPr>
                    </w:p>
                  </w:txbxContent>
                </v:textbox>
              </v:shape>
            </w:pict>
          </mc:Fallback>
        </mc:AlternateContent>
      </w:r>
    </w:p>
    <w:p w14:paraId="276272DC" w14:textId="5D50AC1B" w:rsidR="006F3170" w:rsidRPr="00535EB9" w:rsidRDefault="006F3170" w:rsidP="005F7F9C">
      <w:pPr>
        <w:ind w:left="360"/>
        <w:jc w:val="both"/>
        <w:rPr>
          <w:rFonts w:ascii="Times New Roman" w:hAnsi="Times New Roman"/>
          <w:sz w:val="24"/>
          <w:szCs w:val="24"/>
          <w:lang w:val="fr-FR"/>
        </w:rPr>
      </w:pPr>
    </w:p>
    <w:p w14:paraId="7C06F419" w14:textId="77777777" w:rsidR="009542ED" w:rsidRDefault="009542ED" w:rsidP="008C1543">
      <w:pPr>
        <w:ind w:left="7920"/>
        <w:rPr>
          <w:rFonts w:ascii="Times New Roman" w:hAnsi="Times New Roman"/>
          <w:b/>
          <w:sz w:val="24"/>
          <w:szCs w:val="24"/>
          <w:lang w:val="fr-FR"/>
        </w:rPr>
      </w:pPr>
    </w:p>
    <w:p w14:paraId="7C5A36AD" w14:textId="77777777" w:rsidR="009542ED" w:rsidRDefault="009542ED" w:rsidP="008C1543">
      <w:pPr>
        <w:ind w:left="7920"/>
        <w:rPr>
          <w:rFonts w:ascii="Times New Roman" w:hAnsi="Times New Roman"/>
          <w:b/>
          <w:sz w:val="24"/>
          <w:szCs w:val="24"/>
          <w:lang w:val="fr-FR"/>
        </w:rPr>
      </w:pPr>
    </w:p>
    <w:p w14:paraId="457C8A99" w14:textId="77777777" w:rsidR="00957115" w:rsidRDefault="00957115" w:rsidP="008C1543">
      <w:pPr>
        <w:ind w:left="7920"/>
        <w:rPr>
          <w:rFonts w:ascii="Times New Roman" w:hAnsi="Times New Roman"/>
          <w:b/>
          <w:sz w:val="24"/>
          <w:szCs w:val="24"/>
          <w:lang w:val="fr-FR"/>
        </w:rPr>
      </w:pPr>
    </w:p>
    <w:p w14:paraId="3E9B3709" w14:textId="77777777" w:rsidR="00957115" w:rsidRDefault="00957115" w:rsidP="008C1543">
      <w:pPr>
        <w:ind w:left="7920"/>
        <w:rPr>
          <w:rFonts w:ascii="Times New Roman" w:hAnsi="Times New Roman"/>
          <w:b/>
          <w:sz w:val="24"/>
          <w:szCs w:val="24"/>
          <w:lang w:val="fr-FR"/>
        </w:rPr>
      </w:pPr>
    </w:p>
    <w:p w14:paraId="512B3207" w14:textId="77777777" w:rsidR="00957115" w:rsidRDefault="00957115" w:rsidP="008C1543">
      <w:pPr>
        <w:ind w:left="7920"/>
        <w:rPr>
          <w:rFonts w:ascii="Times New Roman" w:hAnsi="Times New Roman"/>
          <w:b/>
          <w:sz w:val="24"/>
          <w:szCs w:val="24"/>
          <w:lang w:val="fr-FR"/>
        </w:rPr>
      </w:pPr>
    </w:p>
    <w:p w14:paraId="25055C74" w14:textId="0B9930F6" w:rsidR="00F26661" w:rsidRPr="00535EB9" w:rsidRDefault="008C1543" w:rsidP="008C1543">
      <w:pPr>
        <w:ind w:left="7920"/>
        <w:rPr>
          <w:rFonts w:ascii="Times New Roman" w:hAnsi="Times New Roman"/>
          <w:b/>
          <w:sz w:val="24"/>
          <w:szCs w:val="24"/>
          <w:lang w:val="fr-FR"/>
        </w:rPr>
      </w:pPr>
      <w:r w:rsidRPr="00535EB9">
        <w:rPr>
          <w:rFonts w:ascii="Times New Roman" w:hAnsi="Times New Roman"/>
          <w:b/>
          <w:sz w:val="24"/>
          <w:szCs w:val="24"/>
          <w:lang w:val="fr-FR"/>
        </w:rPr>
        <w:lastRenderedPageBreak/>
        <w:t>A</w:t>
      </w:r>
      <w:r w:rsidR="00DF0C48" w:rsidRPr="00535EB9">
        <w:rPr>
          <w:rFonts w:ascii="Times New Roman" w:hAnsi="Times New Roman"/>
          <w:b/>
          <w:sz w:val="24"/>
          <w:szCs w:val="24"/>
          <w:lang w:val="fr-FR"/>
        </w:rPr>
        <w:t>NNEX</w:t>
      </w:r>
    </w:p>
    <w:p w14:paraId="59B8A714" w14:textId="77777777" w:rsidR="00F26661" w:rsidRPr="00535EB9" w:rsidRDefault="00DF0C48" w:rsidP="00F26661">
      <w:pPr>
        <w:ind w:left="360"/>
        <w:jc w:val="center"/>
        <w:rPr>
          <w:rFonts w:ascii="Times New Roman" w:hAnsi="Times New Roman"/>
          <w:b/>
          <w:sz w:val="24"/>
          <w:szCs w:val="24"/>
          <w:lang w:val="fr-FR"/>
        </w:rPr>
      </w:pPr>
      <w:r w:rsidRPr="00535EB9">
        <w:rPr>
          <w:rFonts w:ascii="Times New Roman" w:hAnsi="Times New Roman"/>
          <w:b/>
          <w:sz w:val="24"/>
          <w:szCs w:val="24"/>
          <w:lang w:val="fr-FR"/>
        </w:rPr>
        <w:t>Technical note</w:t>
      </w:r>
    </w:p>
    <w:p w14:paraId="1BEE9B69" w14:textId="77777777" w:rsidR="005E5C7F" w:rsidRPr="00535EB9" w:rsidRDefault="00DF0C48" w:rsidP="00F26661">
      <w:pPr>
        <w:ind w:left="360"/>
        <w:jc w:val="center"/>
        <w:rPr>
          <w:rFonts w:ascii="Times New Roman" w:hAnsi="Times New Roman"/>
          <w:b/>
          <w:sz w:val="24"/>
          <w:szCs w:val="24"/>
        </w:rPr>
      </w:pPr>
      <w:r w:rsidRPr="00535EB9">
        <w:rPr>
          <w:rFonts w:ascii="Times New Roman" w:hAnsi="Times New Roman"/>
          <w:b/>
          <w:sz w:val="24"/>
          <w:szCs w:val="24"/>
        </w:rPr>
        <w:t>Methodology for the computation of a Tourism Satellite Account</w:t>
      </w:r>
    </w:p>
    <w:p w14:paraId="2BCCC943" w14:textId="77777777" w:rsidR="00F26661" w:rsidRPr="00535EB9" w:rsidRDefault="00F26661" w:rsidP="0096101A">
      <w:pPr>
        <w:ind w:left="360"/>
        <w:jc w:val="both"/>
        <w:rPr>
          <w:rFonts w:ascii="Times New Roman" w:hAnsi="Times New Roman"/>
          <w:b/>
          <w:sz w:val="24"/>
          <w:szCs w:val="24"/>
        </w:rPr>
      </w:pPr>
    </w:p>
    <w:p w14:paraId="6A51D911" w14:textId="77777777" w:rsidR="005E5C7F" w:rsidRPr="00535EB9" w:rsidRDefault="00DF0C48" w:rsidP="0096101A">
      <w:pPr>
        <w:pStyle w:val="ListParagraph"/>
        <w:numPr>
          <w:ilvl w:val="0"/>
          <w:numId w:val="4"/>
        </w:numPr>
        <w:ind w:left="450"/>
        <w:contextualSpacing w:val="0"/>
        <w:jc w:val="both"/>
        <w:rPr>
          <w:rFonts w:ascii="Times New Roman" w:hAnsi="Times New Roman"/>
          <w:b/>
          <w:sz w:val="24"/>
          <w:szCs w:val="24"/>
        </w:rPr>
      </w:pPr>
      <w:r w:rsidRPr="00535EB9">
        <w:rPr>
          <w:rFonts w:ascii="Times New Roman" w:hAnsi="Times New Roman"/>
          <w:b/>
          <w:sz w:val="24"/>
          <w:szCs w:val="24"/>
        </w:rPr>
        <w:t xml:space="preserve">Introduction </w:t>
      </w:r>
    </w:p>
    <w:p w14:paraId="61015730" w14:textId="7307CDB2" w:rsidR="00073AE9" w:rsidRPr="00535EB9" w:rsidRDefault="00073AE9" w:rsidP="0096101A">
      <w:pPr>
        <w:pStyle w:val="ListParagraph"/>
        <w:ind w:left="450"/>
        <w:jc w:val="both"/>
        <w:rPr>
          <w:rFonts w:ascii="Times New Roman" w:hAnsi="Times New Roman"/>
          <w:sz w:val="24"/>
          <w:szCs w:val="24"/>
        </w:rPr>
      </w:pPr>
      <w:r w:rsidRPr="00535EB9">
        <w:rPr>
          <w:rFonts w:ascii="Times New Roman" w:hAnsi="Times New Roman"/>
          <w:sz w:val="24"/>
          <w:szCs w:val="24"/>
        </w:rPr>
        <w:t xml:space="preserve">This </w:t>
      </w:r>
      <w:r w:rsidR="00DF0C48" w:rsidRPr="00535EB9">
        <w:rPr>
          <w:rFonts w:ascii="Times New Roman" w:hAnsi="Times New Roman"/>
          <w:sz w:val="24"/>
          <w:szCs w:val="24"/>
        </w:rPr>
        <w:t xml:space="preserve">Tourism Satellite Account (TSA) for </w:t>
      </w:r>
      <w:r w:rsidR="00F22F10">
        <w:rPr>
          <w:rFonts w:ascii="Times New Roman" w:hAnsi="Times New Roman"/>
          <w:sz w:val="24"/>
          <w:szCs w:val="24"/>
        </w:rPr>
        <w:t xml:space="preserve">the </w:t>
      </w:r>
      <w:r w:rsidRPr="00535EB9">
        <w:rPr>
          <w:rFonts w:ascii="Times New Roman" w:hAnsi="Times New Roman"/>
          <w:sz w:val="24"/>
          <w:szCs w:val="24"/>
        </w:rPr>
        <w:t>reference year 201</w:t>
      </w:r>
      <w:r w:rsidR="004557C3">
        <w:rPr>
          <w:rFonts w:ascii="Times New Roman" w:hAnsi="Times New Roman"/>
          <w:sz w:val="24"/>
          <w:szCs w:val="24"/>
        </w:rPr>
        <w:t>8</w:t>
      </w:r>
      <w:r w:rsidRPr="00535EB9">
        <w:rPr>
          <w:rFonts w:ascii="Times New Roman" w:hAnsi="Times New Roman"/>
          <w:sz w:val="24"/>
          <w:szCs w:val="24"/>
        </w:rPr>
        <w:t xml:space="preserve"> </w:t>
      </w:r>
      <w:r w:rsidR="0096101A" w:rsidRPr="00535EB9">
        <w:rPr>
          <w:rFonts w:ascii="Times New Roman" w:hAnsi="Times New Roman"/>
          <w:sz w:val="24"/>
          <w:szCs w:val="24"/>
        </w:rPr>
        <w:t xml:space="preserve">has been constructed in line </w:t>
      </w:r>
      <w:r w:rsidR="00DF0C48" w:rsidRPr="00535EB9">
        <w:rPr>
          <w:rFonts w:ascii="Times New Roman" w:hAnsi="Times New Roman"/>
          <w:sz w:val="24"/>
          <w:szCs w:val="24"/>
        </w:rPr>
        <w:t xml:space="preserve">with the recommendations of the 2008 Tourism Satellite Account Recommended Methodological Framework (TSA: RMF 2008) of the United Nations World Tourism Organisation (UNWTO). A major feature of this methodology is that it analyses tourism and its relationship with the rest of the economy within the central framework of national accounting, the </w:t>
      </w:r>
      <w:r w:rsidR="009B2303" w:rsidRPr="00535EB9">
        <w:rPr>
          <w:rFonts w:ascii="Times New Roman" w:hAnsi="Times New Roman"/>
          <w:sz w:val="24"/>
          <w:szCs w:val="24"/>
        </w:rPr>
        <w:t>2008</w:t>
      </w:r>
      <w:r w:rsidR="00DF0C48" w:rsidRPr="00535EB9">
        <w:rPr>
          <w:rFonts w:ascii="Times New Roman" w:hAnsi="Times New Roman"/>
          <w:sz w:val="24"/>
          <w:szCs w:val="24"/>
        </w:rPr>
        <w:t xml:space="preserve"> Syst</w:t>
      </w:r>
      <w:r w:rsidR="009B2303" w:rsidRPr="00535EB9">
        <w:rPr>
          <w:rFonts w:ascii="Times New Roman" w:hAnsi="Times New Roman"/>
          <w:sz w:val="24"/>
          <w:szCs w:val="24"/>
        </w:rPr>
        <w:t>em of National Accounts (SNA2008</w:t>
      </w:r>
      <w:r w:rsidR="00DF0C48" w:rsidRPr="00535EB9">
        <w:rPr>
          <w:rFonts w:ascii="Times New Roman" w:hAnsi="Times New Roman"/>
          <w:sz w:val="24"/>
          <w:szCs w:val="24"/>
        </w:rPr>
        <w:t xml:space="preserve">). Hence, tourism’s contribution to national accounts aggregates can be determined and compared with other industries. </w:t>
      </w:r>
    </w:p>
    <w:p w14:paraId="0B7AA981" w14:textId="77777777" w:rsidR="00095F61" w:rsidRPr="00535EB9" w:rsidRDefault="00095F61" w:rsidP="0096101A">
      <w:pPr>
        <w:pStyle w:val="ListParagraph"/>
        <w:ind w:left="450"/>
        <w:jc w:val="both"/>
        <w:rPr>
          <w:rFonts w:ascii="Times New Roman" w:hAnsi="Times New Roman"/>
          <w:sz w:val="24"/>
          <w:szCs w:val="24"/>
        </w:rPr>
      </w:pPr>
    </w:p>
    <w:p w14:paraId="7BC55DE7" w14:textId="77777777" w:rsidR="00095F61" w:rsidRPr="00535EB9" w:rsidRDefault="00095F61" w:rsidP="00F06EA3">
      <w:pPr>
        <w:pStyle w:val="ListParagraph"/>
        <w:numPr>
          <w:ilvl w:val="0"/>
          <w:numId w:val="4"/>
        </w:numPr>
        <w:ind w:left="450"/>
        <w:contextualSpacing w:val="0"/>
        <w:jc w:val="both"/>
        <w:rPr>
          <w:rFonts w:ascii="Times New Roman" w:hAnsi="Times New Roman"/>
          <w:b/>
          <w:sz w:val="24"/>
          <w:szCs w:val="24"/>
        </w:rPr>
      </w:pPr>
      <w:r w:rsidRPr="00535EB9">
        <w:rPr>
          <w:rFonts w:ascii="Times New Roman" w:hAnsi="Times New Roman"/>
          <w:b/>
          <w:sz w:val="24"/>
          <w:szCs w:val="24"/>
        </w:rPr>
        <w:t>What is a TSA?</w:t>
      </w:r>
    </w:p>
    <w:p w14:paraId="5DB04EEB" w14:textId="77777777" w:rsidR="00073AE9" w:rsidRPr="00535EB9" w:rsidRDefault="00DF0C48" w:rsidP="0096101A">
      <w:pPr>
        <w:pStyle w:val="ListParagraph"/>
        <w:ind w:left="450"/>
        <w:jc w:val="both"/>
        <w:rPr>
          <w:rFonts w:ascii="Times New Roman" w:hAnsi="Times New Roman"/>
          <w:sz w:val="24"/>
          <w:szCs w:val="24"/>
        </w:rPr>
      </w:pPr>
      <w:r w:rsidRPr="00535EB9">
        <w:rPr>
          <w:rFonts w:ascii="Times New Roman" w:hAnsi="Times New Roman"/>
          <w:sz w:val="24"/>
          <w:szCs w:val="24"/>
        </w:rPr>
        <w:t xml:space="preserve">A Tourism Satellite Account analyses in detail all the aspects of demand for goods and services associated with tourism activities and how this demand is met by other economic activities. </w:t>
      </w:r>
    </w:p>
    <w:p w14:paraId="4FD06BB5" w14:textId="77777777" w:rsidR="00073AE9" w:rsidRPr="00535EB9" w:rsidRDefault="00073AE9" w:rsidP="0096101A">
      <w:pPr>
        <w:pStyle w:val="ListParagraph"/>
        <w:ind w:left="450"/>
        <w:jc w:val="both"/>
        <w:rPr>
          <w:rFonts w:ascii="Times New Roman" w:hAnsi="Times New Roman"/>
          <w:sz w:val="24"/>
          <w:szCs w:val="24"/>
        </w:rPr>
      </w:pPr>
    </w:p>
    <w:p w14:paraId="09C0CC88" w14:textId="60CDDF76" w:rsidR="00073AE9" w:rsidRPr="00535EB9" w:rsidRDefault="00DF0C48" w:rsidP="0096101A">
      <w:pPr>
        <w:pStyle w:val="ListParagraph"/>
        <w:ind w:left="450"/>
        <w:jc w:val="both"/>
        <w:rPr>
          <w:rFonts w:ascii="Times New Roman" w:hAnsi="Times New Roman"/>
          <w:sz w:val="24"/>
          <w:szCs w:val="24"/>
        </w:rPr>
      </w:pPr>
      <w:r w:rsidRPr="00535EB9">
        <w:rPr>
          <w:rFonts w:ascii="Times New Roman" w:hAnsi="Times New Roman"/>
          <w:sz w:val="24"/>
          <w:szCs w:val="24"/>
        </w:rPr>
        <w:t xml:space="preserve">From the supply side, tourism constitutes productive activities that cater mainly </w:t>
      </w:r>
      <w:r w:rsidR="00F22F10">
        <w:rPr>
          <w:rFonts w:ascii="Times New Roman" w:hAnsi="Times New Roman"/>
          <w:sz w:val="24"/>
          <w:szCs w:val="24"/>
        </w:rPr>
        <w:t>to</w:t>
      </w:r>
      <w:r w:rsidRPr="00535EB9">
        <w:rPr>
          <w:rFonts w:ascii="Times New Roman" w:hAnsi="Times New Roman"/>
          <w:sz w:val="24"/>
          <w:szCs w:val="24"/>
        </w:rPr>
        <w:t xml:space="preserve"> visitors. Goods and services produced locally for tourists (tourism output) and imports of tourism products make up the total supply of tourism products. </w:t>
      </w:r>
    </w:p>
    <w:p w14:paraId="447345B6" w14:textId="77777777" w:rsidR="00073AE9" w:rsidRPr="00535EB9" w:rsidRDefault="00073AE9" w:rsidP="0096101A">
      <w:pPr>
        <w:pStyle w:val="ListParagraph"/>
        <w:jc w:val="both"/>
        <w:rPr>
          <w:rFonts w:ascii="Times New Roman" w:hAnsi="Times New Roman"/>
          <w:sz w:val="24"/>
          <w:szCs w:val="24"/>
        </w:rPr>
      </w:pPr>
    </w:p>
    <w:p w14:paraId="15463BD3" w14:textId="5502A3D5" w:rsidR="005E5C7F" w:rsidRPr="00535EB9" w:rsidRDefault="00DF0C48" w:rsidP="007E4924">
      <w:pPr>
        <w:pStyle w:val="ListParagraph"/>
        <w:spacing w:after="0"/>
        <w:ind w:left="446"/>
        <w:contextualSpacing w:val="0"/>
        <w:jc w:val="both"/>
        <w:rPr>
          <w:rFonts w:ascii="Times New Roman" w:hAnsi="Times New Roman"/>
          <w:sz w:val="24"/>
          <w:szCs w:val="24"/>
        </w:rPr>
      </w:pPr>
      <w:r w:rsidRPr="00535EB9">
        <w:rPr>
          <w:rFonts w:ascii="Times New Roman" w:hAnsi="Times New Roman"/>
          <w:sz w:val="24"/>
          <w:szCs w:val="24"/>
        </w:rPr>
        <w:t>Tourism on the demand side refers to the activities of visitors, and their role in the acquisition of goods and services and focuses on tourism expenditure by category of tourism, namely outbound, inbound</w:t>
      </w:r>
      <w:r w:rsidR="00F22F10">
        <w:rPr>
          <w:rFonts w:ascii="Times New Roman" w:hAnsi="Times New Roman"/>
          <w:sz w:val="24"/>
          <w:szCs w:val="24"/>
        </w:rPr>
        <w:t>,</w:t>
      </w:r>
      <w:r w:rsidRPr="00535EB9">
        <w:rPr>
          <w:rFonts w:ascii="Times New Roman" w:hAnsi="Times New Roman"/>
          <w:sz w:val="24"/>
          <w:szCs w:val="24"/>
        </w:rPr>
        <w:t xml:space="preserve"> and domestic. </w:t>
      </w:r>
    </w:p>
    <w:p w14:paraId="4271C5EC" w14:textId="77777777" w:rsidR="00095F61" w:rsidRPr="00535EB9" w:rsidRDefault="00095F61" w:rsidP="007E4924">
      <w:pPr>
        <w:pStyle w:val="ListParagraph"/>
        <w:spacing w:after="0"/>
        <w:ind w:left="446"/>
        <w:contextualSpacing w:val="0"/>
        <w:jc w:val="both"/>
        <w:rPr>
          <w:rFonts w:ascii="Times New Roman" w:hAnsi="Times New Roman"/>
          <w:sz w:val="24"/>
          <w:szCs w:val="24"/>
        </w:rPr>
      </w:pPr>
    </w:p>
    <w:p w14:paraId="21C2D863" w14:textId="77777777" w:rsidR="00095F61" w:rsidRPr="00535EB9" w:rsidRDefault="00095F61" w:rsidP="00095F61">
      <w:pPr>
        <w:pStyle w:val="ListParagraph"/>
        <w:ind w:left="420"/>
        <w:jc w:val="both"/>
        <w:rPr>
          <w:rFonts w:ascii="Times New Roman" w:hAnsi="Times New Roman"/>
          <w:sz w:val="24"/>
          <w:szCs w:val="24"/>
        </w:rPr>
      </w:pPr>
      <w:r w:rsidRPr="00535EB9">
        <w:rPr>
          <w:rFonts w:ascii="Times New Roman" w:hAnsi="Times New Roman"/>
          <w:sz w:val="24"/>
          <w:szCs w:val="24"/>
        </w:rPr>
        <w:t xml:space="preserve">A TSA provides for </w:t>
      </w:r>
    </w:p>
    <w:p w14:paraId="4AF405C9" w14:textId="77777777" w:rsidR="00095F61" w:rsidRPr="00535EB9" w:rsidRDefault="00095F61" w:rsidP="00947691">
      <w:pPr>
        <w:pStyle w:val="ListParagraph"/>
        <w:numPr>
          <w:ilvl w:val="0"/>
          <w:numId w:val="1"/>
        </w:numPr>
        <w:tabs>
          <w:tab w:val="left" w:pos="1080"/>
        </w:tabs>
        <w:ind w:hanging="630"/>
        <w:jc w:val="both"/>
        <w:rPr>
          <w:rFonts w:ascii="Times New Roman" w:hAnsi="Times New Roman"/>
          <w:sz w:val="24"/>
          <w:szCs w:val="24"/>
        </w:rPr>
      </w:pPr>
      <w:r w:rsidRPr="00535EB9">
        <w:rPr>
          <w:rFonts w:ascii="Times New Roman" w:hAnsi="Times New Roman"/>
          <w:sz w:val="24"/>
          <w:szCs w:val="24"/>
        </w:rPr>
        <w:t>macroeconomic aggregates that describe the size and the economic contribution of different forms of tourism;</w:t>
      </w:r>
    </w:p>
    <w:p w14:paraId="0E8ED63A" w14:textId="77777777" w:rsidR="00095F61" w:rsidRPr="00535EB9" w:rsidRDefault="00095F61" w:rsidP="00095F61">
      <w:pPr>
        <w:pStyle w:val="ListParagraph"/>
        <w:numPr>
          <w:ilvl w:val="0"/>
          <w:numId w:val="1"/>
        </w:numPr>
        <w:ind w:hanging="630"/>
        <w:jc w:val="both"/>
        <w:rPr>
          <w:rFonts w:ascii="Times New Roman" w:hAnsi="Times New Roman"/>
          <w:sz w:val="24"/>
          <w:szCs w:val="24"/>
        </w:rPr>
      </w:pPr>
      <w:r w:rsidRPr="00535EB9">
        <w:rPr>
          <w:rFonts w:ascii="Times New Roman" w:hAnsi="Times New Roman"/>
          <w:sz w:val="24"/>
          <w:szCs w:val="24"/>
        </w:rPr>
        <w:t xml:space="preserve">data on tourism consumption, and how the demand is met by domestic supply and imports; </w:t>
      </w:r>
    </w:p>
    <w:p w14:paraId="18BD1942" w14:textId="77777777" w:rsidR="00095F61" w:rsidRPr="00535EB9" w:rsidRDefault="00095F61" w:rsidP="00095F61">
      <w:pPr>
        <w:pStyle w:val="ListParagraph"/>
        <w:numPr>
          <w:ilvl w:val="0"/>
          <w:numId w:val="1"/>
        </w:numPr>
        <w:ind w:hanging="630"/>
        <w:jc w:val="both"/>
        <w:rPr>
          <w:rFonts w:ascii="Times New Roman" w:hAnsi="Times New Roman"/>
          <w:sz w:val="24"/>
          <w:szCs w:val="24"/>
        </w:rPr>
      </w:pPr>
      <w:r w:rsidRPr="00535EB9">
        <w:rPr>
          <w:rFonts w:ascii="Times New Roman" w:hAnsi="Times New Roman"/>
          <w:sz w:val="24"/>
          <w:szCs w:val="24"/>
        </w:rPr>
        <w:t xml:space="preserve">detailed production accounts of the tourism industries including linkages with other productive economic activities. </w:t>
      </w:r>
    </w:p>
    <w:p w14:paraId="297EB692" w14:textId="77777777" w:rsidR="00095F61" w:rsidRPr="00535EB9" w:rsidRDefault="00095F61" w:rsidP="00095F61">
      <w:pPr>
        <w:ind w:firstLine="360"/>
        <w:jc w:val="both"/>
        <w:rPr>
          <w:rFonts w:ascii="Times New Roman" w:hAnsi="Times New Roman"/>
          <w:sz w:val="24"/>
          <w:szCs w:val="24"/>
          <w:u w:val="single"/>
        </w:rPr>
      </w:pPr>
      <w:r w:rsidRPr="00535EB9">
        <w:rPr>
          <w:rFonts w:ascii="Times New Roman" w:hAnsi="Times New Roman"/>
          <w:sz w:val="24"/>
          <w:szCs w:val="24"/>
          <w:u w:val="single"/>
        </w:rPr>
        <w:t>Limitations</w:t>
      </w:r>
    </w:p>
    <w:p w14:paraId="7D2EBE5A" w14:textId="77777777" w:rsidR="00095F61" w:rsidRPr="00535EB9" w:rsidRDefault="00095F61" w:rsidP="007F3E0A">
      <w:pPr>
        <w:pStyle w:val="ListParagraph"/>
        <w:numPr>
          <w:ilvl w:val="0"/>
          <w:numId w:val="1"/>
        </w:numPr>
        <w:tabs>
          <w:tab w:val="left" w:pos="1080"/>
        </w:tabs>
        <w:jc w:val="both"/>
        <w:rPr>
          <w:rFonts w:ascii="Times New Roman" w:hAnsi="Times New Roman"/>
          <w:sz w:val="24"/>
          <w:szCs w:val="24"/>
        </w:rPr>
      </w:pPr>
      <w:r w:rsidRPr="00535EB9">
        <w:rPr>
          <w:rFonts w:ascii="Times New Roman" w:hAnsi="Times New Roman"/>
          <w:sz w:val="24"/>
          <w:szCs w:val="24"/>
        </w:rPr>
        <w:t xml:space="preserve">However, the TSA measures only the direct contribution of the sector in the economy of a country. The total impact (including indirect and induced effects) on the economy is not fully reflected in the TSA, and can best be measured and analyzed using other means such as input-output or computable general equilibrium models based on the TSA or other modeling instruments which allow for comprehensive tourism impact analysis. </w:t>
      </w:r>
    </w:p>
    <w:p w14:paraId="05496F32" w14:textId="77777777" w:rsidR="00145299" w:rsidRPr="00535EB9" w:rsidRDefault="00145299" w:rsidP="00145299">
      <w:pPr>
        <w:pStyle w:val="ListParagraph"/>
        <w:tabs>
          <w:tab w:val="left" w:pos="1080"/>
        </w:tabs>
        <w:ind w:left="1080"/>
        <w:jc w:val="both"/>
        <w:rPr>
          <w:rFonts w:ascii="Times New Roman" w:hAnsi="Times New Roman"/>
          <w:sz w:val="24"/>
          <w:szCs w:val="24"/>
        </w:rPr>
      </w:pPr>
    </w:p>
    <w:p w14:paraId="6D3B853D" w14:textId="6B631DB8" w:rsidR="004B0E56" w:rsidRDefault="004B0E56" w:rsidP="00145299">
      <w:pPr>
        <w:pStyle w:val="ListParagraph"/>
        <w:tabs>
          <w:tab w:val="left" w:pos="1080"/>
        </w:tabs>
        <w:ind w:left="1080"/>
        <w:jc w:val="both"/>
        <w:rPr>
          <w:rFonts w:ascii="Times New Roman" w:hAnsi="Times New Roman"/>
          <w:sz w:val="24"/>
          <w:szCs w:val="24"/>
        </w:rPr>
      </w:pPr>
    </w:p>
    <w:p w14:paraId="54780EEF" w14:textId="1CE1C0AA" w:rsidR="000239FA" w:rsidRDefault="000239FA" w:rsidP="00145299">
      <w:pPr>
        <w:pStyle w:val="ListParagraph"/>
        <w:tabs>
          <w:tab w:val="left" w:pos="1080"/>
        </w:tabs>
        <w:ind w:left="1080"/>
        <w:jc w:val="both"/>
        <w:rPr>
          <w:rFonts w:ascii="Times New Roman" w:hAnsi="Times New Roman"/>
          <w:sz w:val="24"/>
          <w:szCs w:val="24"/>
        </w:rPr>
      </w:pPr>
    </w:p>
    <w:p w14:paraId="1BA90B6F" w14:textId="77777777" w:rsidR="000239FA" w:rsidRPr="00535EB9" w:rsidRDefault="000239FA" w:rsidP="00145299">
      <w:pPr>
        <w:pStyle w:val="ListParagraph"/>
        <w:tabs>
          <w:tab w:val="left" w:pos="1080"/>
        </w:tabs>
        <w:ind w:left="1080"/>
        <w:jc w:val="both"/>
        <w:rPr>
          <w:rFonts w:ascii="Times New Roman" w:hAnsi="Times New Roman"/>
          <w:sz w:val="24"/>
          <w:szCs w:val="24"/>
        </w:rPr>
      </w:pPr>
    </w:p>
    <w:p w14:paraId="1F735838" w14:textId="77777777" w:rsidR="00095F61" w:rsidRPr="00535EB9" w:rsidRDefault="00095F61" w:rsidP="00095F61">
      <w:pPr>
        <w:pStyle w:val="ListParagraph"/>
        <w:ind w:left="1080"/>
        <w:jc w:val="both"/>
        <w:rPr>
          <w:rFonts w:ascii="Times New Roman" w:hAnsi="Times New Roman"/>
          <w:sz w:val="24"/>
          <w:szCs w:val="24"/>
        </w:rPr>
      </w:pPr>
    </w:p>
    <w:p w14:paraId="270C14EB" w14:textId="77777777" w:rsidR="00095F61" w:rsidRPr="00535EB9" w:rsidRDefault="00095F61" w:rsidP="00F06EA3">
      <w:pPr>
        <w:pStyle w:val="ListParagraph"/>
        <w:numPr>
          <w:ilvl w:val="0"/>
          <w:numId w:val="4"/>
        </w:numPr>
        <w:ind w:left="450"/>
        <w:contextualSpacing w:val="0"/>
        <w:jc w:val="both"/>
        <w:rPr>
          <w:rFonts w:ascii="Times New Roman" w:hAnsi="Times New Roman"/>
          <w:b/>
          <w:sz w:val="24"/>
          <w:szCs w:val="24"/>
        </w:rPr>
      </w:pPr>
      <w:r w:rsidRPr="00535EB9">
        <w:rPr>
          <w:rFonts w:ascii="Times New Roman" w:hAnsi="Times New Roman"/>
          <w:b/>
          <w:sz w:val="24"/>
          <w:szCs w:val="24"/>
        </w:rPr>
        <w:lastRenderedPageBreak/>
        <w:t xml:space="preserve">Coverage </w:t>
      </w:r>
    </w:p>
    <w:p w14:paraId="158B342B" w14:textId="77777777" w:rsidR="00095F61" w:rsidRPr="00535EB9" w:rsidRDefault="00095F61" w:rsidP="00095F61">
      <w:pPr>
        <w:pStyle w:val="ListParagraph"/>
        <w:ind w:left="420"/>
        <w:jc w:val="both"/>
        <w:rPr>
          <w:rFonts w:ascii="Times New Roman" w:hAnsi="Times New Roman"/>
          <w:sz w:val="24"/>
          <w:szCs w:val="24"/>
        </w:rPr>
      </w:pPr>
      <w:r w:rsidRPr="00535EB9">
        <w:rPr>
          <w:rFonts w:ascii="Times New Roman" w:hAnsi="Times New Roman"/>
          <w:sz w:val="24"/>
          <w:szCs w:val="24"/>
        </w:rPr>
        <w:t xml:space="preserve">The different forms or categories of tourism covered are: </w:t>
      </w:r>
    </w:p>
    <w:p w14:paraId="185D2353" w14:textId="77777777" w:rsidR="00162BC7" w:rsidRDefault="00095F61" w:rsidP="00162BC7">
      <w:pPr>
        <w:pStyle w:val="ListParagraph"/>
        <w:numPr>
          <w:ilvl w:val="0"/>
          <w:numId w:val="2"/>
        </w:numPr>
        <w:tabs>
          <w:tab w:val="left" w:pos="1080"/>
        </w:tabs>
        <w:autoSpaceDE w:val="0"/>
        <w:autoSpaceDN w:val="0"/>
        <w:adjustRightInd w:val="0"/>
        <w:spacing w:after="0" w:line="240" w:lineRule="auto"/>
        <w:jc w:val="both"/>
        <w:rPr>
          <w:rFonts w:ascii="Times New Roman" w:hAnsi="Times New Roman"/>
          <w:sz w:val="24"/>
          <w:szCs w:val="24"/>
        </w:rPr>
      </w:pPr>
      <w:r w:rsidRPr="00162BC7">
        <w:rPr>
          <w:rFonts w:ascii="Times New Roman" w:hAnsi="Times New Roman"/>
          <w:b/>
          <w:i/>
          <w:sz w:val="24"/>
          <w:szCs w:val="24"/>
        </w:rPr>
        <w:t>Inbound tourism</w:t>
      </w:r>
      <w:r w:rsidRPr="00162BC7">
        <w:rPr>
          <w:rFonts w:ascii="Times New Roman" w:hAnsi="Times New Roman"/>
          <w:sz w:val="24"/>
          <w:szCs w:val="24"/>
        </w:rPr>
        <w:t xml:space="preserve"> which comprises activities of a non-resident visitor within the country of reference on an inbound tourism trip; </w:t>
      </w:r>
    </w:p>
    <w:p w14:paraId="4820E87D" w14:textId="77777777" w:rsidR="00162BC7" w:rsidRDefault="00095F61" w:rsidP="00162BC7">
      <w:pPr>
        <w:pStyle w:val="ListParagraph"/>
        <w:numPr>
          <w:ilvl w:val="0"/>
          <w:numId w:val="2"/>
        </w:numPr>
        <w:tabs>
          <w:tab w:val="left" w:pos="1080"/>
        </w:tabs>
        <w:autoSpaceDE w:val="0"/>
        <w:autoSpaceDN w:val="0"/>
        <w:adjustRightInd w:val="0"/>
        <w:spacing w:after="0" w:line="240" w:lineRule="auto"/>
        <w:jc w:val="both"/>
        <w:rPr>
          <w:rFonts w:ascii="Times New Roman" w:hAnsi="Times New Roman"/>
          <w:sz w:val="24"/>
          <w:szCs w:val="24"/>
        </w:rPr>
      </w:pPr>
      <w:r w:rsidRPr="00162BC7">
        <w:rPr>
          <w:rFonts w:ascii="Times New Roman" w:hAnsi="Times New Roman"/>
          <w:b/>
          <w:i/>
          <w:sz w:val="24"/>
          <w:szCs w:val="24"/>
        </w:rPr>
        <w:t>Outbound tourism</w:t>
      </w:r>
      <w:r w:rsidRPr="00162BC7">
        <w:rPr>
          <w:rFonts w:ascii="Times New Roman" w:hAnsi="Times New Roman"/>
          <w:sz w:val="24"/>
          <w:szCs w:val="24"/>
        </w:rPr>
        <w:t xml:space="preserve"> which covers activities of a resident visitor outside the country as part of an outbound trip;</w:t>
      </w:r>
    </w:p>
    <w:p w14:paraId="3183EC3C" w14:textId="6F593B0A" w:rsidR="005B259E" w:rsidRDefault="002405FD" w:rsidP="00B53305">
      <w:pPr>
        <w:pStyle w:val="ListParagraph"/>
        <w:numPr>
          <w:ilvl w:val="0"/>
          <w:numId w:val="2"/>
        </w:numPr>
        <w:tabs>
          <w:tab w:val="left" w:pos="1080"/>
        </w:tabs>
        <w:autoSpaceDE w:val="0"/>
        <w:autoSpaceDN w:val="0"/>
        <w:adjustRightInd w:val="0"/>
        <w:spacing w:after="0" w:line="240" w:lineRule="auto"/>
        <w:jc w:val="both"/>
        <w:rPr>
          <w:rFonts w:ascii="Times New Roman" w:hAnsi="Times New Roman"/>
          <w:sz w:val="24"/>
          <w:szCs w:val="24"/>
        </w:rPr>
      </w:pPr>
      <w:r w:rsidRPr="006D5C5D">
        <w:rPr>
          <w:rFonts w:ascii="Times New Roman" w:hAnsi="Times New Roman"/>
          <w:b/>
          <w:i/>
          <w:sz w:val="24"/>
          <w:szCs w:val="24"/>
        </w:rPr>
        <w:t>D</w:t>
      </w:r>
      <w:r w:rsidR="00095F61" w:rsidRPr="006D5C5D">
        <w:rPr>
          <w:rFonts w:ascii="Times New Roman" w:hAnsi="Times New Roman"/>
          <w:b/>
          <w:i/>
          <w:sz w:val="24"/>
          <w:szCs w:val="24"/>
        </w:rPr>
        <w:t>omestic tourism</w:t>
      </w:r>
      <w:r w:rsidR="00095F61" w:rsidRPr="006D5C5D">
        <w:rPr>
          <w:rFonts w:ascii="Times New Roman" w:hAnsi="Times New Roman"/>
          <w:sz w:val="24"/>
          <w:szCs w:val="24"/>
        </w:rPr>
        <w:t xml:space="preserve"> which comprises activities of a resident visitor </w:t>
      </w:r>
      <w:r w:rsidRPr="006D5C5D">
        <w:rPr>
          <w:rFonts w:ascii="Times New Roman" w:hAnsi="Times New Roman"/>
          <w:sz w:val="24"/>
          <w:szCs w:val="24"/>
        </w:rPr>
        <w:t xml:space="preserve">within the country either as part of a domestic tourism trip or part of an outbound tourism trip. A domestic tourism trip refers to </w:t>
      </w:r>
      <w:r w:rsidR="00B55C3A">
        <w:rPr>
          <w:rFonts w:ascii="Times New Roman" w:hAnsi="Times New Roman"/>
          <w:sz w:val="24"/>
          <w:szCs w:val="24"/>
        </w:rPr>
        <w:t xml:space="preserve">a </w:t>
      </w:r>
      <w:r w:rsidRPr="006D5C5D">
        <w:rPr>
          <w:rFonts w:ascii="Times New Roman" w:hAnsi="Times New Roman"/>
          <w:sz w:val="24"/>
          <w:szCs w:val="24"/>
        </w:rPr>
        <w:t xml:space="preserve">trip undertaken between </w:t>
      </w:r>
      <w:r w:rsidR="00095F61" w:rsidRPr="006D5C5D">
        <w:rPr>
          <w:rFonts w:ascii="Times New Roman" w:hAnsi="Times New Roman"/>
          <w:sz w:val="24"/>
          <w:szCs w:val="24"/>
        </w:rPr>
        <w:t>the Island of Mauritius and the Island of Rodrigues</w:t>
      </w:r>
      <w:r w:rsidR="005B259E" w:rsidRPr="006D5C5D">
        <w:rPr>
          <w:rFonts w:ascii="Times New Roman" w:hAnsi="Times New Roman"/>
          <w:sz w:val="24"/>
          <w:szCs w:val="24"/>
        </w:rPr>
        <w:t xml:space="preserve">. </w:t>
      </w:r>
      <w:r w:rsidR="00AE3D88" w:rsidRPr="006D5C5D">
        <w:rPr>
          <w:rFonts w:ascii="Times New Roman" w:hAnsi="Times New Roman"/>
          <w:sz w:val="24"/>
          <w:szCs w:val="24"/>
        </w:rPr>
        <w:t xml:space="preserve"> </w:t>
      </w:r>
    </w:p>
    <w:p w14:paraId="2D0A980F" w14:textId="77777777" w:rsidR="00B53305" w:rsidRPr="006D5C5D" w:rsidRDefault="00B53305" w:rsidP="00B53305">
      <w:pPr>
        <w:pStyle w:val="ListParagraph"/>
        <w:tabs>
          <w:tab w:val="left" w:pos="1080"/>
        </w:tabs>
        <w:autoSpaceDE w:val="0"/>
        <w:autoSpaceDN w:val="0"/>
        <w:adjustRightInd w:val="0"/>
        <w:spacing w:after="0" w:line="240" w:lineRule="auto"/>
        <w:ind w:left="360"/>
        <w:jc w:val="both"/>
        <w:rPr>
          <w:rFonts w:ascii="Times New Roman" w:hAnsi="Times New Roman"/>
          <w:sz w:val="24"/>
          <w:szCs w:val="24"/>
        </w:rPr>
      </w:pPr>
    </w:p>
    <w:p w14:paraId="0A783E43" w14:textId="77777777" w:rsidR="00073AE9" w:rsidRPr="00535EB9" w:rsidRDefault="00DF0C48" w:rsidP="0096101A">
      <w:pPr>
        <w:pStyle w:val="ListParagraph"/>
        <w:numPr>
          <w:ilvl w:val="0"/>
          <w:numId w:val="4"/>
        </w:numPr>
        <w:ind w:left="450"/>
        <w:contextualSpacing w:val="0"/>
        <w:jc w:val="both"/>
        <w:rPr>
          <w:rFonts w:ascii="Times New Roman" w:hAnsi="Times New Roman"/>
          <w:b/>
          <w:sz w:val="24"/>
          <w:szCs w:val="24"/>
        </w:rPr>
      </w:pPr>
      <w:r w:rsidRPr="00535EB9">
        <w:rPr>
          <w:rFonts w:ascii="Times New Roman" w:hAnsi="Times New Roman"/>
          <w:b/>
          <w:sz w:val="24"/>
          <w:szCs w:val="24"/>
        </w:rPr>
        <w:t xml:space="preserve">Sources of data </w:t>
      </w:r>
    </w:p>
    <w:p w14:paraId="41F93667" w14:textId="77777777" w:rsidR="00EF6F0C" w:rsidRPr="00535EB9" w:rsidRDefault="00DF0C48" w:rsidP="0096101A">
      <w:pPr>
        <w:ind w:firstLine="450"/>
        <w:jc w:val="both"/>
        <w:rPr>
          <w:rFonts w:ascii="Times New Roman" w:hAnsi="Times New Roman"/>
          <w:sz w:val="24"/>
          <w:szCs w:val="24"/>
        </w:rPr>
      </w:pPr>
      <w:r w:rsidRPr="00535EB9">
        <w:rPr>
          <w:rFonts w:ascii="Times New Roman" w:hAnsi="Times New Roman"/>
          <w:sz w:val="24"/>
          <w:szCs w:val="24"/>
        </w:rPr>
        <w:t xml:space="preserve">Data used were from the following: </w:t>
      </w:r>
    </w:p>
    <w:p w14:paraId="10A8F1C0" w14:textId="4272425B" w:rsidR="00EF6F0C" w:rsidRPr="00535EB9" w:rsidRDefault="00EF6F0C" w:rsidP="007F3E0A">
      <w:pPr>
        <w:pStyle w:val="ListParagraph"/>
        <w:numPr>
          <w:ilvl w:val="0"/>
          <w:numId w:val="6"/>
        </w:numPr>
        <w:tabs>
          <w:tab w:val="left" w:pos="990"/>
        </w:tabs>
        <w:ind w:left="990" w:hanging="540"/>
        <w:jc w:val="both"/>
        <w:rPr>
          <w:rFonts w:ascii="Times New Roman" w:hAnsi="Times New Roman"/>
          <w:sz w:val="24"/>
          <w:szCs w:val="24"/>
        </w:rPr>
      </w:pPr>
      <w:r w:rsidRPr="003D6984">
        <w:rPr>
          <w:rFonts w:ascii="Times New Roman" w:hAnsi="Times New Roman"/>
          <w:sz w:val="24"/>
          <w:szCs w:val="24"/>
        </w:rPr>
        <w:t>The 20</w:t>
      </w:r>
      <w:r w:rsidR="00FA58AC" w:rsidRPr="003D6984">
        <w:rPr>
          <w:rFonts w:ascii="Times New Roman" w:hAnsi="Times New Roman"/>
          <w:sz w:val="24"/>
          <w:szCs w:val="24"/>
        </w:rPr>
        <w:t>1</w:t>
      </w:r>
      <w:r w:rsidR="003D6984" w:rsidRPr="003D6984">
        <w:rPr>
          <w:rFonts w:ascii="Times New Roman" w:hAnsi="Times New Roman"/>
          <w:sz w:val="24"/>
          <w:szCs w:val="24"/>
        </w:rPr>
        <w:t>8</w:t>
      </w:r>
      <w:r w:rsidR="00DF0C48" w:rsidRPr="00535EB9">
        <w:rPr>
          <w:rFonts w:ascii="Times New Roman" w:hAnsi="Times New Roman"/>
          <w:sz w:val="24"/>
          <w:szCs w:val="24"/>
        </w:rPr>
        <w:t xml:space="preserve"> Supply and Use Table for the Republic of Mauritius, worked o</w:t>
      </w:r>
      <w:r w:rsidRPr="00535EB9">
        <w:rPr>
          <w:rFonts w:ascii="Times New Roman" w:hAnsi="Times New Roman"/>
          <w:sz w:val="24"/>
          <w:szCs w:val="24"/>
        </w:rPr>
        <w:t xml:space="preserve">ut from bench </w:t>
      </w:r>
      <w:r w:rsidRPr="003D6984">
        <w:rPr>
          <w:rFonts w:ascii="Times New Roman" w:hAnsi="Times New Roman"/>
          <w:sz w:val="24"/>
          <w:szCs w:val="24"/>
        </w:rPr>
        <w:t>data from the 20</w:t>
      </w:r>
      <w:r w:rsidR="00AE3D88" w:rsidRPr="003D6984">
        <w:rPr>
          <w:rFonts w:ascii="Times New Roman" w:hAnsi="Times New Roman"/>
          <w:sz w:val="24"/>
          <w:szCs w:val="24"/>
        </w:rPr>
        <w:t>1</w:t>
      </w:r>
      <w:r w:rsidR="003D6984" w:rsidRPr="003D6984">
        <w:rPr>
          <w:rFonts w:ascii="Times New Roman" w:hAnsi="Times New Roman"/>
          <w:sz w:val="24"/>
          <w:szCs w:val="24"/>
        </w:rPr>
        <w:t>8</w:t>
      </w:r>
      <w:r w:rsidR="00DF0C48" w:rsidRPr="003D6984">
        <w:rPr>
          <w:rFonts w:ascii="Times New Roman" w:hAnsi="Times New Roman"/>
          <w:sz w:val="24"/>
          <w:szCs w:val="24"/>
        </w:rPr>
        <w:t xml:space="preserve"> Census of Economic Activities</w:t>
      </w:r>
      <w:r w:rsidR="00DF0C48" w:rsidRPr="00535EB9">
        <w:rPr>
          <w:rFonts w:ascii="Times New Roman" w:hAnsi="Times New Roman"/>
          <w:sz w:val="24"/>
          <w:szCs w:val="24"/>
        </w:rPr>
        <w:t xml:space="preserve">. </w:t>
      </w:r>
    </w:p>
    <w:p w14:paraId="3C4F0E8B" w14:textId="77777777" w:rsidR="00EF6F0C" w:rsidRPr="00535EB9" w:rsidRDefault="00EF6F0C" w:rsidP="007E4924">
      <w:pPr>
        <w:pStyle w:val="ListParagraph"/>
        <w:numPr>
          <w:ilvl w:val="0"/>
          <w:numId w:val="6"/>
        </w:numPr>
        <w:ind w:left="990" w:hanging="540"/>
        <w:jc w:val="both"/>
        <w:rPr>
          <w:rFonts w:ascii="Times New Roman" w:hAnsi="Times New Roman"/>
          <w:sz w:val="24"/>
          <w:szCs w:val="24"/>
        </w:rPr>
      </w:pPr>
      <w:r w:rsidRPr="00535EB9">
        <w:rPr>
          <w:rFonts w:ascii="Times New Roman" w:hAnsi="Times New Roman"/>
          <w:sz w:val="24"/>
          <w:szCs w:val="24"/>
        </w:rPr>
        <w:t>The 201</w:t>
      </w:r>
      <w:r w:rsidR="00BB4F21">
        <w:rPr>
          <w:rFonts w:ascii="Times New Roman" w:hAnsi="Times New Roman"/>
          <w:sz w:val="24"/>
          <w:szCs w:val="24"/>
        </w:rPr>
        <w:t>8</w:t>
      </w:r>
      <w:r w:rsidR="00DF0C48" w:rsidRPr="00535EB9">
        <w:rPr>
          <w:rFonts w:ascii="Times New Roman" w:hAnsi="Times New Roman"/>
          <w:sz w:val="24"/>
          <w:szCs w:val="24"/>
        </w:rPr>
        <w:t xml:space="preserve"> Balance of Payments (BOP) Statistics of the Bank of Mauritius. </w:t>
      </w:r>
    </w:p>
    <w:p w14:paraId="3FEDC263" w14:textId="77777777" w:rsidR="00EF6F0C" w:rsidRDefault="00DF0C48" w:rsidP="007E4924">
      <w:pPr>
        <w:pStyle w:val="ListParagraph"/>
        <w:numPr>
          <w:ilvl w:val="0"/>
          <w:numId w:val="6"/>
        </w:numPr>
        <w:ind w:left="990" w:hanging="540"/>
        <w:jc w:val="both"/>
        <w:rPr>
          <w:rFonts w:ascii="Times New Roman" w:hAnsi="Times New Roman"/>
          <w:sz w:val="24"/>
          <w:szCs w:val="24"/>
        </w:rPr>
      </w:pPr>
      <w:r w:rsidRPr="00535EB9">
        <w:rPr>
          <w:rFonts w:ascii="Times New Roman" w:hAnsi="Times New Roman"/>
          <w:sz w:val="24"/>
          <w:szCs w:val="24"/>
        </w:rPr>
        <w:t xml:space="preserve">The results of the </w:t>
      </w:r>
      <w:r w:rsidR="00EF6F0C" w:rsidRPr="00535EB9">
        <w:rPr>
          <w:rFonts w:ascii="Times New Roman" w:hAnsi="Times New Roman"/>
          <w:sz w:val="24"/>
          <w:szCs w:val="24"/>
        </w:rPr>
        <w:t>201</w:t>
      </w:r>
      <w:r w:rsidR="00BB4F21">
        <w:rPr>
          <w:rFonts w:ascii="Times New Roman" w:hAnsi="Times New Roman"/>
          <w:sz w:val="24"/>
          <w:szCs w:val="24"/>
        </w:rPr>
        <w:t>8</w:t>
      </w:r>
      <w:r w:rsidR="00EF6F0C" w:rsidRPr="00535EB9">
        <w:rPr>
          <w:rFonts w:ascii="Times New Roman" w:hAnsi="Times New Roman"/>
          <w:sz w:val="24"/>
          <w:szCs w:val="24"/>
        </w:rPr>
        <w:t xml:space="preserve"> </w:t>
      </w:r>
      <w:r w:rsidRPr="00535EB9">
        <w:rPr>
          <w:rFonts w:ascii="Times New Roman" w:hAnsi="Times New Roman"/>
          <w:sz w:val="24"/>
          <w:szCs w:val="24"/>
        </w:rPr>
        <w:t xml:space="preserve">Survey of </w:t>
      </w:r>
      <w:r w:rsidR="00EF6F0C" w:rsidRPr="00535EB9">
        <w:rPr>
          <w:rFonts w:ascii="Times New Roman" w:hAnsi="Times New Roman"/>
          <w:sz w:val="24"/>
          <w:szCs w:val="24"/>
        </w:rPr>
        <w:t>Inbound Tourism.</w:t>
      </w:r>
      <w:r w:rsidRPr="00535EB9">
        <w:rPr>
          <w:rFonts w:ascii="Times New Roman" w:hAnsi="Times New Roman"/>
          <w:sz w:val="24"/>
          <w:szCs w:val="24"/>
        </w:rPr>
        <w:t xml:space="preserve"> </w:t>
      </w:r>
    </w:p>
    <w:p w14:paraId="1F472C47" w14:textId="6DE5874E" w:rsidR="00CD1ED1" w:rsidRPr="00535EB9" w:rsidRDefault="00CD1ED1" w:rsidP="007E4924">
      <w:pPr>
        <w:pStyle w:val="ListParagraph"/>
        <w:numPr>
          <w:ilvl w:val="0"/>
          <w:numId w:val="6"/>
        </w:numPr>
        <w:ind w:left="990" w:hanging="540"/>
        <w:jc w:val="both"/>
        <w:rPr>
          <w:rFonts w:ascii="Times New Roman" w:hAnsi="Times New Roman"/>
          <w:sz w:val="24"/>
          <w:szCs w:val="24"/>
        </w:rPr>
      </w:pPr>
      <w:r>
        <w:rPr>
          <w:rFonts w:ascii="Times New Roman" w:hAnsi="Times New Roman"/>
          <w:sz w:val="24"/>
          <w:szCs w:val="24"/>
        </w:rPr>
        <w:t>The results of the 201</w:t>
      </w:r>
      <w:r w:rsidR="00BB4F21">
        <w:rPr>
          <w:rFonts w:ascii="Times New Roman" w:hAnsi="Times New Roman"/>
          <w:sz w:val="24"/>
          <w:szCs w:val="24"/>
        </w:rPr>
        <w:t>8</w:t>
      </w:r>
      <w:r>
        <w:rPr>
          <w:rFonts w:ascii="Times New Roman" w:hAnsi="Times New Roman"/>
          <w:sz w:val="24"/>
          <w:szCs w:val="24"/>
        </w:rPr>
        <w:t xml:space="preserve"> Survey of Domestic </w:t>
      </w:r>
      <w:r w:rsidR="00797037">
        <w:rPr>
          <w:rFonts w:ascii="Times New Roman" w:hAnsi="Times New Roman"/>
          <w:sz w:val="24"/>
          <w:szCs w:val="24"/>
        </w:rPr>
        <w:t>Tourism</w:t>
      </w:r>
    </w:p>
    <w:p w14:paraId="5C571C02" w14:textId="1950BAC7" w:rsidR="005E5C7F" w:rsidRPr="003D6984" w:rsidRDefault="00DF0C48" w:rsidP="00FC3218">
      <w:pPr>
        <w:pStyle w:val="ListParagraph"/>
        <w:numPr>
          <w:ilvl w:val="0"/>
          <w:numId w:val="6"/>
        </w:numPr>
        <w:spacing w:after="0"/>
        <w:ind w:left="993" w:hanging="547"/>
        <w:jc w:val="both"/>
        <w:rPr>
          <w:rFonts w:ascii="Times New Roman" w:hAnsi="Times New Roman"/>
          <w:sz w:val="24"/>
          <w:szCs w:val="24"/>
        </w:rPr>
      </w:pPr>
      <w:r w:rsidRPr="003D6984">
        <w:rPr>
          <w:rFonts w:ascii="Times New Roman" w:hAnsi="Times New Roman"/>
          <w:sz w:val="24"/>
          <w:szCs w:val="24"/>
        </w:rPr>
        <w:t xml:space="preserve">The results of the </w:t>
      </w:r>
      <w:r w:rsidR="00BB4F21" w:rsidRPr="003D6984">
        <w:rPr>
          <w:rFonts w:ascii="Times New Roman" w:hAnsi="Times New Roman"/>
          <w:sz w:val="24"/>
          <w:szCs w:val="24"/>
        </w:rPr>
        <w:t>2018</w:t>
      </w:r>
      <w:r w:rsidR="00EF6F0C" w:rsidRPr="003D6984">
        <w:rPr>
          <w:rFonts w:ascii="Times New Roman" w:hAnsi="Times New Roman"/>
          <w:sz w:val="24"/>
          <w:szCs w:val="24"/>
        </w:rPr>
        <w:t xml:space="preserve"> Survey of Outbound Tourism.</w:t>
      </w:r>
      <w:r w:rsidRPr="003D6984">
        <w:rPr>
          <w:rFonts w:ascii="Times New Roman" w:hAnsi="Times New Roman"/>
          <w:sz w:val="24"/>
          <w:szCs w:val="24"/>
        </w:rPr>
        <w:t xml:space="preserve"> </w:t>
      </w:r>
    </w:p>
    <w:p w14:paraId="14DA5351" w14:textId="77777777" w:rsidR="005E5C7F" w:rsidRPr="00535EB9" w:rsidRDefault="005E5C7F" w:rsidP="007E4924">
      <w:pPr>
        <w:spacing w:after="0"/>
        <w:ind w:left="360"/>
        <w:contextualSpacing/>
        <w:jc w:val="both"/>
        <w:rPr>
          <w:rFonts w:ascii="Times New Roman" w:hAnsi="Times New Roman"/>
          <w:sz w:val="24"/>
          <w:szCs w:val="24"/>
        </w:rPr>
      </w:pPr>
    </w:p>
    <w:p w14:paraId="16BB150F" w14:textId="77777777" w:rsidR="00EF6F0C" w:rsidRPr="00535EB9" w:rsidRDefault="00DF0C48" w:rsidP="007E4924">
      <w:pPr>
        <w:pStyle w:val="ListParagraph"/>
        <w:numPr>
          <w:ilvl w:val="0"/>
          <w:numId w:val="4"/>
        </w:numPr>
        <w:ind w:left="450"/>
        <w:contextualSpacing w:val="0"/>
        <w:jc w:val="both"/>
        <w:rPr>
          <w:rFonts w:ascii="Times New Roman" w:hAnsi="Times New Roman"/>
          <w:b/>
          <w:sz w:val="24"/>
          <w:szCs w:val="24"/>
        </w:rPr>
      </w:pPr>
      <w:r w:rsidRPr="00535EB9">
        <w:rPr>
          <w:rFonts w:ascii="Times New Roman" w:hAnsi="Times New Roman"/>
          <w:b/>
          <w:sz w:val="24"/>
          <w:szCs w:val="24"/>
        </w:rPr>
        <w:t xml:space="preserve">Classifications </w:t>
      </w:r>
    </w:p>
    <w:p w14:paraId="222390A1" w14:textId="77777777" w:rsidR="00461ADB" w:rsidRPr="00535EB9" w:rsidRDefault="00DF0C48" w:rsidP="00EB27D3">
      <w:pPr>
        <w:spacing w:after="0"/>
        <w:ind w:left="446"/>
        <w:jc w:val="both"/>
        <w:rPr>
          <w:rFonts w:ascii="Times New Roman" w:hAnsi="Times New Roman"/>
          <w:sz w:val="24"/>
          <w:szCs w:val="24"/>
        </w:rPr>
      </w:pPr>
      <w:r w:rsidRPr="00535EB9">
        <w:rPr>
          <w:rFonts w:ascii="Times New Roman" w:hAnsi="Times New Roman"/>
          <w:sz w:val="24"/>
          <w:szCs w:val="24"/>
        </w:rPr>
        <w:t xml:space="preserve">The classifications used are the United Nations international classifications, namely the Central Product Classification (CPC Ver.2) for the identification of tourism products and the International Standard Industrial Classification of Economic Activities (ISIC Rev 4) for tourism activities. </w:t>
      </w:r>
    </w:p>
    <w:p w14:paraId="49704276" w14:textId="77777777" w:rsidR="00EB27D3" w:rsidRPr="00535EB9" w:rsidRDefault="00EB27D3" w:rsidP="00EB27D3">
      <w:pPr>
        <w:spacing w:after="0"/>
        <w:ind w:left="446"/>
        <w:jc w:val="both"/>
        <w:rPr>
          <w:rFonts w:ascii="Times New Roman" w:hAnsi="Times New Roman"/>
          <w:sz w:val="24"/>
          <w:szCs w:val="24"/>
        </w:rPr>
      </w:pPr>
    </w:p>
    <w:p w14:paraId="72B277C4" w14:textId="77777777" w:rsidR="005E5C7F" w:rsidRPr="00535EB9" w:rsidRDefault="00461ADB" w:rsidP="007E4924">
      <w:pPr>
        <w:pStyle w:val="ListParagraph"/>
        <w:numPr>
          <w:ilvl w:val="0"/>
          <w:numId w:val="4"/>
        </w:numPr>
        <w:ind w:left="450"/>
        <w:contextualSpacing w:val="0"/>
        <w:jc w:val="both"/>
        <w:rPr>
          <w:rFonts w:ascii="Times New Roman" w:hAnsi="Times New Roman"/>
          <w:b/>
          <w:sz w:val="24"/>
          <w:szCs w:val="24"/>
        </w:rPr>
      </w:pPr>
      <w:r w:rsidRPr="00535EB9">
        <w:rPr>
          <w:rFonts w:ascii="Times New Roman" w:hAnsi="Times New Roman"/>
          <w:b/>
          <w:sz w:val="24"/>
          <w:szCs w:val="24"/>
        </w:rPr>
        <w:t>Definitions</w:t>
      </w:r>
      <w:r w:rsidR="00DF0C48" w:rsidRPr="00535EB9">
        <w:rPr>
          <w:rFonts w:ascii="Times New Roman" w:hAnsi="Times New Roman"/>
          <w:b/>
          <w:sz w:val="24"/>
          <w:szCs w:val="24"/>
        </w:rPr>
        <w:t xml:space="preserve"> </w:t>
      </w:r>
    </w:p>
    <w:p w14:paraId="43A97E4F" w14:textId="77777777" w:rsidR="00461ADB" w:rsidRPr="00535EB9" w:rsidRDefault="000C7C14" w:rsidP="00843FE7">
      <w:pPr>
        <w:pStyle w:val="ListParagraph"/>
        <w:numPr>
          <w:ilvl w:val="0"/>
          <w:numId w:val="3"/>
        </w:numPr>
        <w:tabs>
          <w:tab w:val="left" w:pos="1080"/>
        </w:tabs>
        <w:ind w:hanging="630"/>
        <w:contextualSpacing w:val="0"/>
        <w:jc w:val="both"/>
        <w:rPr>
          <w:rFonts w:ascii="Times New Roman" w:hAnsi="Times New Roman"/>
          <w:b/>
          <w:i/>
          <w:sz w:val="24"/>
          <w:szCs w:val="24"/>
        </w:rPr>
      </w:pPr>
      <w:r w:rsidRPr="00535EB9">
        <w:rPr>
          <w:rFonts w:ascii="Times New Roman" w:hAnsi="Times New Roman"/>
          <w:b/>
          <w:i/>
          <w:sz w:val="24"/>
          <w:szCs w:val="24"/>
        </w:rPr>
        <w:t>Visitor</w:t>
      </w:r>
    </w:p>
    <w:p w14:paraId="585F69F3" w14:textId="1E454118" w:rsidR="000C7C14" w:rsidRPr="00535EB9" w:rsidRDefault="000C7C14" w:rsidP="003D4CC6">
      <w:pPr>
        <w:pStyle w:val="ListParagraph"/>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 xml:space="preserve">A visitor is a </w:t>
      </w:r>
      <w:r w:rsidR="003F0460">
        <w:rPr>
          <w:rFonts w:ascii="Times New Roman" w:hAnsi="Times New Roman"/>
          <w:sz w:val="24"/>
          <w:szCs w:val="24"/>
        </w:rPr>
        <w:t>traveller</w:t>
      </w:r>
      <w:r w:rsidRPr="00535EB9">
        <w:rPr>
          <w:rFonts w:ascii="Times New Roman" w:hAnsi="Times New Roman"/>
          <w:sz w:val="24"/>
          <w:szCs w:val="24"/>
        </w:rPr>
        <w:t xml:space="preserve"> taking a trip to a main destination outside his/her </w:t>
      </w:r>
      <w:r w:rsidR="003D4CC6" w:rsidRPr="00535EB9">
        <w:rPr>
          <w:rFonts w:ascii="Times New Roman" w:hAnsi="Times New Roman"/>
          <w:sz w:val="24"/>
          <w:szCs w:val="24"/>
        </w:rPr>
        <w:t xml:space="preserve">usual environment, </w:t>
      </w:r>
      <w:r w:rsidRPr="00535EB9">
        <w:rPr>
          <w:rFonts w:ascii="Times New Roman" w:hAnsi="Times New Roman"/>
          <w:sz w:val="24"/>
          <w:szCs w:val="24"/>
        </w:rPr>
        <w:t>for less than a year, for any main purpose (business, leisure</w:t>
      </w:r>
      <w:r w:rsidR="003F0460">
        <w:rPr>
          <w:rFonts w:ascii="Times New Roman" w:hAnsi="Times New Roman"/>
          <w:sz w:val="24"/>
          <w:szCs w:val="24"/>
        </w:rPr>
        <w:t>,</w:t>
      </w:r>
      <w:r w:rsidRPr="00535EB9">
        <w:rPr>
          <w:rFonts w:ascii="Times New Roman" w:hAnsi="Times New Roman"/>
          <w:sz w:val="24"/>
          <w:szCs w:val="24"/>
        </w:rPr>
        <w:t xml:space="preserve"> or </w:t>
      </w:r>
      <w:r w:rsidR="003F0460">
        <w:rPr>
          <w:rFonts w:ascii="Times New Roman" w:hAnsi="Times New Roman"/>
          <w:sz w:val="24"/>
          <w:szCs w:val="24"/>
        </w:rPr>
        <w:t>other personal purposes</w:t>
      </w:r>
      <w:r w:rsidRPr="00535EB9">
        <w:rPr>
          <w:rFonts w:ascii="Times New Roman" w:hAnsi="Times New Roman"/>
          <w:sz w:val="24"/>
          <w:szCs w:val="24"/>
        </w:rPr>
        <w:t xml:space="preserve">) other than to be employed by a resident entity in the country or place visited. </w:t>
      </w:r>
    </w:p>
    <w:p w14:paraId="5F707388" w14:textId="77777777" w:rsidR="000C7C14" w:rsidRPr="00535EB9" w:rsidRDefault="000C7C14" w:rsidP="003D4CC6">
      <w:pPr>
        <w:pStyle w:val="ListParagraph"/>
        <w:autoSpaceDE w:val="0"/>
        <w:autoSpaceDN w:val="0"/>
        <w:adjustRightInd w:val="0"/>
        <w:spacing w:after="0" w:line="240" w:lineRule="auto"/>
        <w:ind w:left="810" w:hanging="360"/>
        <w:jc w:val="both"/>
        <w:rPr>
          <w:rFonts w:ascii="Times New Roman" w:hAnsi="Times New Roman"/>
          <w:sz w:val="24"/>
          <w:szCs w:val="24"/>
        </w:rPr>
      </w:pPr>
    </w:p>
    <w:p w14:paraId="780D0397" w14:textId="77777777" w:rsidR="000C7C14" w:rsidRPr="00535EB9" w:rsidRDefault="000C7C14" w:rsidP="00EA1422">
      <w:pPr>
        <w:pStyle w:val="ListParagraph"/>
        <w:numPr>
          <w:ilvl w:val="0"/>
          <w:numId w:val="3"/>
        </w:numPr>
        <w:ind w:hanging="630"/>
        <w:contextualSpacing w:val="0"/>
        <w:jc w:val="both"/>
        <w:rPr>
          <w:rFonts w:ascii="Times New Roman" w:hAnsi="Times New Roman"/>
          <w:b/>
          <w:i/>
          <w:sz w:val="24"/>
          <w:szCs w:val="24"/>
        </w:rPr>
      </w:pPr>
      <w:r w:rsidRPr="00535EB9">
        <w:rPr>
          <w:rFonts w:ascii="Times New Roman" w:hAnsi="Times New Roman"/>
          <w:b/>
          <w:i/>
          <w:sz w:val="24"/>
          <w:szCs w:val="24"/>
        </w:rPr>
        <w:t>Tourist</w:t>
      </w:r>
    </w:p>
    <w:p w14:paraId="264FBA3C" w14:textId="77777777" w:rsidR="000C7C14" w:rsidRPr="00535EB9" w:rsidRDefault="000C7C14" w:rsidP="003D4CC6">
      <w:pPr>
        <w:autoSpaceDE w:val="0"/>
        <w:autoSpaceDN w:val="0"/>
        <w:adjustRightInd w:val="0"/>
        <w:spacing w:after="0" w:line="240" w:lineRule="auto"/>
        <w:ind w:left="810" w:hanging="360"/>
        <w:jc w:val="both"/>
        <w:rPr>
          <w:rFonts w:ascii="Times New Roman" w:hAnsi="Times New Roman"/>
          <w:sz w:val="24"/>
          <w:szCs w:val="24"/>
        </w:rPr>
      </w:pPr>
      <w:r w:rsidRPr="00535EB9">
        <w:rPr>
          <w:rFonts w:ascii="Times New Roman" w:hAnsi="Times New Roman"/>
          <w:sz w:val="24"/>
          <w:szCs w:val="24"/>
        </w:rPr>
        <w:t xml:space="preserve">A tourist is </w:t>
      </w:r>
      <w:r w:rsidR="0074299A" w:rsidRPr="00535EB9">
        <w:rPr>
          <w:rFonts w:ascii="Times New Roman" w:hAnsi="Times New Roman"/>
          <w:sz w:val="24"/>
          <w:szCs w:val="24"/>
        </w:rPr>
        <w:t xml:space="preserve">defined as </w:t>
      </w:r>
      <w:r w:rsidRPr="00535EB9">
        <w:rPr>
          <w:rFonts w:ascii="Times New Roman" w:hAnsi="Times New Roman"/>
          <w:sz w:val="24"/>
          <w:szCs w:val="24"/>
        </w:rPr>
        <w:t xml:space="preserve">a </w:t>
      </w:r>
      <w:r w:rsidR="0074299A" w:rsidRPr="00535EB9">
        <w:rPr>
          <w:rFonts w:ascii="Times New Roman" w:hAnsi="Times New Roman"/>
          <w:sz w:val="24"/>
          <w:szCs w:val="24"/>
        </w:rPr>
        <w:t xml:space="preserve">non-resident </w:t>
      </w:r>
      <w:r w:rsidRPr="00535EB9">
        <w:rPr>
          <w:rFonts w:ascii="Times New Roman" w:hAnsi="Times New Roman"/>
          <w:sz w:val="24"/>
          <w:szCs w:val="24"/>
        </w:rPr>
        <w:t xml:space="preserve">visitor </w:t>
      </w:r>
      <w:r w:rsidR="0074299A" w:rsidRPr="00535EB9">
        <w:rPr>
          <w:rFonts w:ascii="Times New Roman" w:hAnsi="Times New Roman"/>
          <w:sz w:val="24"/>
          <w:szCs w:val="24"/>
        </w:rPr>
        <w:t>staying overnight.</w:t>
      </w:r>
    </w:p>
    <w:p w14:paraId="5BA8455F" w14:textId="77777777" w:rsidR="0074299A" w:rsidRPr="00535EB9" w:rsidRDefault="0074299A" w:rsidP="0096101A">
      <w:pPr>
        <w:autoSpaceDE w:val="0"/>
        <w:autoSpaceDN w:val="0"/>
        <w:adjustRightInd w:val="0"/>
        <w:spacing w:after="0" w:line="240" w:lineRule="auto"/>
        <w:ind w:left="446" w:firstLine="720"/>
        <w:jc w:val="both"/>
        <w:rPr>
          <w:rFonts w:ascii="Times New Roman" w:hAnsi="Times New Roman"/>
          <w:sz w:val="24"/>
          <w:szCs w:val="24"/>
        </w:rPr>
      </w:pPr>
    </w:p>
    <w:p w14:paraId="617A227B" w14:textId="77777777" w:rsidR="0074299A" w:rsidRPr="00535EB9" w:rsidRDefault="00023EDA" w:rsidP="00EA1422">
      <w:pPr>
        <w:pStyle w:val="ListParagraph"/>
        <w:numPr>
          <w:ilvl w:val="0"/>
          <w:numId w:val="3"/>
        </w:numPr>
        <w:ind w:hanging="630"/>
        <w:contextualSpacing w:val="0"/>
        <w:jc w:val="both"/>
        <w:rPr>
          <w:rFonts w:ascii="Times New Roman" w:hAnsi="Times New Roman"/>
          <w:b/>
          <w:i/>
          <w:sz w:val="24"/>
          <w:szCs w:val="24"/>
        </w:rPr>
      </w:pPr>
      <w:r w:rsidRPr="00535EB9">
        <w:rPr>
          <w:rFonts w:ascii="Times New Roman" w:hAnsi="Times New Roman"/>
          <w:b/>
          <w:i/>
          <w:sz w:val="24"/>
          <w:szCs w:val="24"/>
        </w:rPr>
        <w:t>Excursionist</w:t>
      </w:r>
    </w:p>
    <w:p w14:paraId="2589A1C6" w14:textId="7CFF585F" w:rsidR="005E5C7F" w:rsidRPr="00535EB9" w:rsidRDefault="00023EDA" w:rsidP="003D4CC6">
      <w:pPr>
        <w:pStyle w:val="ListParagraph"/>
        <w:ind w:left="450"/>
        <w:jc w:val="both"/>
        <w:rPr>
          <w:rFonts w:ascii="Times New Roman" w:hAnsi="Times New Roman"/>
          <w:sz w:val="24"/>
          <w:szCs w:val="24"/>
        </w:rPr>
      </w:pPr>
      <w:r w:rsidRPr="00535EB9">
        <w:rPr>
          <w:rFonts w:ascii="Times New Roman" w:hAnsi="Times New Roman"/>
          <w:sz w:val="24"/>
          <w:szCs w:val="24"/>
        </w:rPr>
        <w:t>An e</w:t>
      </w:r>
      <w:r w:rsidR="00DF0C48" w:rsidRPr="00535EB9">
        <w:rPr>
          <w:rFonts w:ascii="Times New Roman" w:hAnsi="Times New Roman"/>
          <w:sz w:val="24"/>
          <w:szCs w:val="24"/>
        </w:rPr>
        <w:t>xcursionist</w:t>
      </w:r>
      <w:r w:rsidRPr="00535EB9">
        <w:rPr>
          <w:rFonts w:ascii="Times New Roman" w:hAnsi="Times New Roman"/>
          <w:sz w:val="24"/>
          <w:szCs w:val="24"/>
        </w:rPr>
        <w:t xml:space="preserve"> (</w:t>
      </w:r>
      <w:r w:rsidR="003F0460">
        <w:rPr>
          <w:rFonts w:ascii="Times New Roman" w:hAnsi="Times New Roman"/>
          <w:sz w:val="24"/>
          <w:szCs w:val="24"/>
        </w:rPr>
        <w:t>same-day</w:t>
      </w:r>
      <w:r w:rsidRPr="00535EB9">
        <w:rPr>
          <w:rFonts w:ascii="Times New Roman" w:hAnsi="Times New Roman"/>
          <w:sz w:val="24"/>
          <w:szCs w:val="24"/>
        </w:rPr>
        <w:t xml:space="preserve"> visitor) is a non-resident visitor </w:t>
      </w:r>
      <w:r w:rsidR="008243CE" w:rsidRPr="00535EB9">
        <w:rPr>
          <w:rFonts w:ascii="Times New Roman" w:hAnsi="Times New Roman"/>
          <w:sz w:val="24"/>
          <w:szCs w:val="24"/>
        </w:rPr>
        <w:t xml:space="preserve">arriving and leaving a country </w:t>
      </w:r>
      <w:r w:rsidR="003F0460">
        <w:rPr>
          <w:rFonts w:ascii="Times New Roman" w:hAnsi="Times New Roman"/>
          <w:sz w:val="24"/>
          <w:szCs w:val="24"/>
        </w:rPr>
        <w:t xml:space="preserve">on </w:t>
      </w:r>
      <w:r w:rsidR="008243CE" w:rsidRPr="00535EB9">
        <w:rPr>
          <w:rFonts w:ascii="Times New Roman" w:hAnsi="Times New Roman"/>
          <w:sz w:val="24"/>
          <w:szCs w:val="24"/>
        </w:rPr>
        <w:t>the same day.</w:t>
      </w:r>
      <w:r w:rsidR="00DF0C48" w:rsidRPr="00535EB9">
        <w:rPr>
          <w:rFonts w:ascii="Times New Roman" w:hAnsi="Times New Roman"/>
          <w:sz w:val="24"/>
          <w:szCs w:val="24"/>
        </w:rPr>
        <w:t xml:space="preserve"> </w:t>
      </w:r>
    </w:p>
    <w:p w14:paraId="2C1001A5" w14:textId="77777777" w:rsidR="005E5C7F" w:rsidRPr="00535EB9" w:rsidRDefault="005E5C7F" w:rsidP="003D4CC6">
      <w:pPr>
        <w:pStyle w:val="ListParagraph"/>
        <w:ind w:left="450"/>
        <w:jc w:val="both"/>
        <w:rPr>
          <w:rFonts w:ascii="Times New Roman" w:hAnsi="Times New Roman"/>
          <w:sz w:val="24"/>
          <w:szCs w:val="24"/>
        </w:rPr>
      </w:pPr>
    </w:p>
    <w:p w14:paraId="7D1BF32D" w14:textId="77777777" w:rsidR="008243CE" w:rsidRPr="00535EB9" w:rsidRDefault="00DF0C48" w:rsidP="00EA1422">
      <w:pPr>
        <w:pStyle w:val="ListParagraph"/>
        <w:numPr>
          <w:ilvl w:val="0"/>
          <w:numId w:val="3"/>
        </w:numPr>
        <w:ind w:hanging="630"/>
        <w:contextualSpacing w:val="0"/>
        <w:jc w:val="both"/>
        <w:rPr>
          <w:rFonts w:ascii="Times New Roman" w:hAnsi="Times New Roman"/>
          <w:b/>
          <w:i/>
          <w:sz w:val="24"/>
          <w:szCs w:val="24"/>
        </w:rPr>
      </w:pPr>
      <w:r w:rsidRPr="00535EB9">
        <w:rPr>
          <w:rFonts w:ascii="Times New Roman" w:hAnsi="Times New Roman"/>
          <w:b/>
          <w:i/>
          <w:sz w:val="24"/>
          <w:szCs w:val="24"/>
        </w:rPr>
        <w:t>Inbound tourism</w:t>
      </w:r>
    </w:p>
    <w:p w14:paraId="344CF631" w14:textId="3F28545A" w:rsidR="005E5C7F" w:rsidRDefault="00DF0C48" w:rsidP="003D4CC6">
      <w:pPr>
        <w:pStyle w:val="ListParagraph"/>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 xml:space="preserve">Inbound tourism comprises the activities of </w:t>
      </w:r>
      <w:r w:rsidR="008243CE" w:rsidRPr="00535EB9">
        <w:rPr>
          <w:rFonts w:ascii="Times New Roman" w:hAnsi="Times New Roman"/>
          <w:sz w:val="24"/>
          <w:szCs w:val="24"/>
        </w:rPr>
        <w:t>a non-resident visitor</w:t>
      </w:r>
      <w:r w:rsidRPr="00535EB9">
        <w:rPr>
          <w:rFonts w:ascii="Times New Roman" w:hAnsi="Times New Roman"/>
          <w:sz w:val="24"/>
          <w:szCs w:val="24"/>
        </w:rPr>
        <w:t xml:space="preserve"> within the country of reference. </w:t>
      </w:r>
    </w:p>
    <w:p w14:paraId="0938CEED" w14:textId="6366FF7C" w:rsidR="000239FA" w:rsidRDefault="000239FA" w:rsidP="003D4CC6">
      <w:pPr>
        <w:pStyle w:val="ListParagraph"/>
        <w:autoSpaceDE w:val="0"/>
        <w:autoSpaceDN w:val="0"/>
        <w:adjustRightInd w:val="0"/>
        <w:spacing w:after="0" w:line="240" w:lineRule="auto"/>
        <w:ind w:left="450"/>
        <w:jc w:val="both"/>
        <w:rPr>
          <w:rFonts w:ascii="Times New Roman" w:hAnsi="Times New Roman"/>
          <w:sz w:val="24"/>
          <w:szCs w:val="24"/>
        </w:rPr>
      </w:pPr>
    </w:p>
    <w:p w14:paraId="7EF1BF74" w14:textId="77777777" w:rsidR="008243CE" w:rsidRPr="00535EB9" w:rsidRDefault="00DF0C48" w:rsidP="00843FE7">
      <w:pPr>
        <w:pStyle w:val="ListParagraph"/>
        <w:numPr>
          <w:ilvl w:val="0"/>
          <w:numId w:val="3"/>
        </w:numPr>
        <w:tabs>
          <w:tab w:val="left" w:pos="1080"/>
        </w:tabs>
        <w:ind w:hanging="630"/>
        <w:contextualSpacing w:val="0"/>
        <w:jc w:val="both"/>
        <w:rPr>
          <w:rFonts w:ascii="Times New Roman" w:hAnsi="Times New Roman"/>
          <w:b/>
          <w:i/>
          <w:sz w:val="24"/>
          <w:szCs w:val="24"/>
        </w:rPr>
      </w:pPr>
      <w:r w:rsidRPr="00535EB9">
        <w:rPr>
          <w:rFonts w:ascii="Times New Roman" w:hAnsi="Times New Roman"/>
          <w:b/>
          <w:i/>
          <w:sz w:val="24"/>
          <w:szCs w:val="24"/>
        </w:rPr>
        <w:t xml:space="preserve">Outbound tourism </w:t>
      </w:r>
    </w:p>
    <w:p w14:paraId="1B4AC92B" w14:textId="6AEE311D" w:rsidR="005E5C7F" w:rsidRDefault="00DF0C48" w:rsidP="00FE1693">
      <w:pPr>
        <w:autoSpaceDE w:val="0"/>
        <w:autoSpaceDN w:val="0"/>
        <w:adjustRightInd w:val="0"/>
        <w:spacing w:after="0" w:line="240" w:lineRule="auto"/>
        <w:ind w:left="450"/>
        <w:rPr>
          <w:rFonts w:ascii="Times New Roman" w:hAnsi="Times New Roman"/>
          <w:sz w:val="24"/>
          <w:szCs w:val="24"/>
        </w:rPr>
      </w:pPr>
      <w:r w:rsidRPr="00535EB9">
        <w:rPr>
          <w:rFonts w:ascii="Times New Roman" w:hAnsi="Times New Roman"/>
          <w:sz w:val="24"/>
          <w:szCs w:val="24"/>
        </w:rPr>
        <w:t>Outbound tourism covers the activities</w:t>
      </w:r>
      <w:r w:rsidR="008243CE" w:rsidRPr="00535EB9">
        <w:rPr>
          <w:rFonts w:ascii="Times New Roman" w:hAnsi="Times New Roman"/>
          <w:sz w:val="24"/>
          <w:szCs w:val="24"/>
        </w:rPr>
        <w:t xml:space="preserve"> of a resident visitor outside the country of refer</w:t>
      </w:r>
      <w:r w:rsidR="00AC72AD" w:rsidRPr="00535EB9">
        <w:rPr>
          <w:rFonts w:ascii="Times New Roman" w:hAnsi="Times New Roman"/>
          <w:sz w:val="24"/>
          <w:szCs w:val="24"/>
        </w:rPr>
        <w:t xml:space="preserve">ence </w:t>
      </w:r>
      <w:r w:rsidR="00FE1693" w:rsidRPr="00535EB9">
        <w:rPr>
          <w:rFonts w:ascii="Times New Roman" w:hAnsi="Times New Roman"/>
          <w:sz w:val="24"/>
          <w:szCs w:val="24"/>
        </w:rPr>
        <w:t>as part of an outbound tourism trip.</w:t>
      </w:r>
    </w:p>
    <w:p w14:paraId="63F04F22" w14:textId="77777777" w:rsidR="00CF787D" w:rsidRPr="00535EB9" w:rsidRDefault="00DF0C48" w:rsidP="00EA1422">
      <w:pPr>
        <w:pStyle w:val="ListParagraph"/>
        <w:numPr>
          <w:ilvl w:val="0"/>
          <w:numId w:val="3"/>
        </w:numPr>
        <w:ind w:hanging="630"/>
        <w:contextualSpacing w:val="0"/>
        <w:jc w:val="both"/>
        <w:rPr>
          <w:rFonts w:ascii="Times New Roman" w:hAnsi="Times New Roman"/>
          <w:b/>
          <w:i/>
          <w:sz w:val="24"/>
          <w:szCs w:val="24"/>
        </w:rPr>
      </w:pPr>
      <w:r w:rsidRPr="00535EB9">
        <w:rPr>
          <w:rFonts w:ascii="Times New Roman" w:hAnsi="Times New Roman"/>
          <w:b/>
          <w:i/>
          <w:sz w:val="24"/>
          <w:szCs w:val="24"/>
        </w:rPr>
        <w:lastRenderedPageBreak/>
        <w:t xml:space="preserve">Domestic tourism </w:t>
      </w:r>
    </w:p>
    <w:p w14:paraId="1518A472" w14:textId="77777777" w:rsidR="00F05B0C" w:rsidRPr="00535EB9" w:rsidRDefault="00DF0C48" w:rsidP="003D4CC6">
      <w:pPr>
        <w:pStyle w:val="ListParagraph"/>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Domestic tourism co</w:t>
      </w:r>
      <w:r w:rsidR="0096101A" w:rsidRPr="00535EB9">
        <w:rPr>
          <w:rFonts w:ascii="Times New Roman" w:hAnsi="Times New Roman"/>
          <w:sz w:val="24"/>
          <w:szCs w:val="24"/>
        </w:rPr>
        <w:t xml:space="preserve">mprises activities of a resident </w:t>
      </w:r>
      <w:r w:rsidR="00F05B0C" w:rsidRPr="00535EB9">
        <w:rPr>
          <w:rFonts w:ascii="Times New Roman" w:hAnsi="Times New Roman"/>
          <w:sz w:val="24"/>
          <w:szCs w:val="24"/>
        </w:rPr>
        <w:t>visitor within the country of reference either as part of a domestic tourism trip or part of an outbound tourism trip.</w:t>
      </w:r>
    </w:p>
    <w:p w14:paraId="6D695BC3" w14:textId="77777777" w:rsidR="00F05B0C" w:rsidRPr="00535EB9" w:rsidRDefault="00F05B0C" w:rsidP="003D4CC6">
      <w:pPr>
        <w:pStyle w:val="ListParagraph"/>
        <w:autoSpaceDE w:val="0"/>
        <w:autoSpaceDN w:val="0"/>
        <w:adjustRightInd w:val="0"/>
        <w:spacing w:after="0" w:line="240" w:lineRule="auto"/>
        <w:ind w:left="450"/>
        <w:jc w:val="both"/>
        <w:rPr>
          <w:rFonts w:ascii="Times New Roman" w:hAnsi="Times New Roman"/>
          <w:sz w:val="24"/>
          <w:szCs w:val="24"/>
        </w:rPr>
      </w:pPr>
    </w:p>
    <w:p w14:paraId="7DF24A70" w14:textId="77777777" w:rsidR="0096101A" w:rsidRPr="00535EB9" w:rsidRDefault="00DF0C48" w:rsidP="00EA1422">
      <w:pPr>
        <w:pStyle w:val="ListParagraph"/>
        <w:numPr>
          <w:ilvl w:val="0"/>
          <w:numId w:val="3"/>
        </w:numPr>
        <w:ind w:hanging="630"/>
        <w:contextualSpacing w:val="0"/>
        <w:jc w:val="both"/>
        <w:rPr>
          <w:rFonts w:ascii="Times New Roman" w:hAnsi="Times New Roman"/>
          <w:b/>
          <w:i/>
          <w:sz w:val="24"/>
          <w:szCs w:val="24"/>
        </w:rPr>
      </w:pPr>
      <w:r w:rsidRPr="00535EB9">
        <w:rPr>
          <w:rFonts w:ascii="Times New Roman" w:hAnsi="Times New Roman"/>
          <w:b/>
          <w:i/>
          <w:sz w:val="24"/>
          <w:szCs w:val="24"/>
        </w:rPr>
        <w:t>Internal tourism</w:t>
      </w:r>
    </w:p>
    <w:p w14:paraId="531E9B9B" w14:textId="77777777" w:rsidR="005E5C7F" w:rsidRPr="00535EB9" w:rsidRDefault="00DF0C48" w:rsidP="003D4CC6">
      <w:pPr>
        <w:pStyle w:val="ListParagraph"/>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 xml:space="preserve">Internal tourism comprises domestic and inbound tourism. </w:t>
      </w:r>
    </w:p>
    <w:p w14:paraId="584458F5" w14:textId="77777777" w:rsidR="005E5C7F" w:rsidRPr="00535EB9" w:rsidRDefault="005E5C7F" w:rsidP="003D4CC6">
      <w:pPr>
        <w:spacing w:after="0"/>
        <w:ind w:left="360"/>
        <w:contextualSpacing/>
        <w:jc w:val="both"/>
        <w:rPr>
          <w:rFonts w:ascii="Times New Roman" w:hAnsi="Times New Roman"/>
          <w:sz w:val="24"/>
          <w:szCs w:val="24"/>
        </w:rPr>
      </w:pPr>
    </w:p>
    <w:p w14:paraId="51158C10" w14:textId="77777777" w:rsidR="0096101A" w:rsidRPr="00535EB9" w:rsidRDefault="00DF0C48" w:rsidP="00EA1422">
      <w:pPr>
        <w:pStyle w:val="ListParagraph"/>
        <w:numPr>
          <w:ilvl w:val="0"/>
          <w:numId w:val="3"/>
        </w:numPr>
        <w:ind w:hanging="630"/>
        <w:contextualSpacing w:val="0"/>
        <w:jc w:val="both"/>
        <w:rPr>
          <w:rFonts w:ascii="Times New Roman" w:hAnsi="Times New Roman"/>
          <w:b/>
          <w:i/>
          <w:sz w:val="24"/>
          <w:szCs w:val="24"/>
        </w:rPr>
      </w:pPr>
      <w:r w:rsidRPr="00535EB9">
        <w:rPr>
          <w:rFonts w:ascii="Times New Roman" w:hAnsi="Times New Roman"/>
          <w:b/>
          <w:i/>
          <w:sz w:val="24"/>
          <w:szCs w:val="24"/>
        </w:rPr>
        <w:t>The Supply and Use Table (SUT)</w:t>
      </w:r>
    </w:p>
    <w:p w14:paraId="42AB3294" w14:textId="3F4187FA" w:rsidR="005E5C7F" w:rsidRPr="00535EB9" w:rsidRDefault="00DF0C48" w:rsidP="003D4CC6">
      <w:pPr>
        <w:pStyle w:val="ListParagraph"/>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The SUT is a core table in the System of National Accounts which presents by product group, the resources</w:t>
      </w:r>
      <w:r w:rsidR="00144DFD">
        <w:rPr>
          <w:rFonts w:ascii="Times New Roman" w:hAnsi="Times New Roman"/>
          <w:sz w:val="24"/>
          <w:szCs w:val="24"/>
        </w:rPr>
        <w:t>,</w:t>
      </w:r>
      <w:r w:rsidRPr="00535EB9">
        <w:rPr>
          <w:rFonts w:ascii="Times New Roman" w:hAnsi="Times New Roman"/>
          <w:sz w:val="24"/>
          <w:szCs w:val="24"/>
        </w:rPr>
        <w:t xml:space="preserve"> and uses of goods and services for the total economy. </w:t>
      </w:r>
    </w:p>
    <w:p w14:paraId="3CC03FC4" w14:textId="77777777" w:rsidR="005E5C7F" w:rsidRPr="00535EB9" w:rsidRDefault="005E5C7F" w:rsidP="00EA1422">
      <w:pPr>
        <w:spacing w:after="0"/>
        <w:ind w:left="360"/>
        <w:contextualSpacing/>
        <w:jc w:val="both"/>
        <w:rPr>
          <w:rFonts w:ascii="Times New Roman" w:hAnsi="Times New Roman"/>
          <w:sz w:val="24"/>
          <w:szCs w:val="24"/>
        </w:rPr>
      </w:pPr>
    </w:p>
    <w:p w14:paraId="365B208A" w14:textId="77777777" w:rsidR="00C616C7" w:rsidRPr="00535EB9" w:rsidRDefault="00C616C7" w:rsidP="00C616C7">
      <w:pPr>
        <w:pStyle w:val="ListParagraph"/>
        <w:numPr>
          <w:ilvl w:val="0"/>
          <w:numId w:val="3"/>
        </w:numPr>
        <w:ind w:hanging="630"/>
        <w:contextualSpacing w:val="0"/>
        <w:jc w:val="both"/>
        <w:rPr>
          <w:rFonts w:ascii="Times New Roman" w:hAnsi="Times New Roman"/>
          <w:b/>
          <w:i/>
          <w:sz w:val="24"/>
          <w:szCs w:val="24"/>
        </w:rPr>
      </w:pPr>
      <w:r w:rsidRPr="00535EB9">
        <w:rPr>
          <w:rFonts w:ascii="Times New Roman" w:hAnsi="Times New Roman"/>
          <w:b/>
          <w:i/>
          <w:sz w:val="24"/>
          <w:szCs w:val="24"/>
        </w:rPr>
        <w:t xml:space="preserve">Domestic tourism expenditure </w:t>
      </w:r>
    </w:p>
    <w:p w14:paraId="60FC1BE8" w14:textId="5CD27B34" w:rsidR="006D5C5D" w:rsidRPr="00162BC7" w:rsidRDefault="00C616C7" w:rsidP="006D5C5D">
      <w:pPr>
        <w:pStyle w:val="ListParagraph"/>
        <w:tabs>
          <w:tab w:val="left" w:pos="1080"/>
        </w:tabs>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Domestic tourism expenditure is the tourism expenditure of a resident visitor within the economy of reference.</w:t>
      </w:r>
      <w:r w:rsidR="006D5C5D" w:rsidRPr="006D5C5D">
        <w:rPr>
          <w:rFonts w:ascii="Times New Roman" w:hAnsi="Times New Roman"/>
          <w:sz w:val="24"/>
          <w:szCs w:val="24"/>
        </w:rPr>
        <w:t xml:space="preserve"> </w:t>
      </w:r>
      <w:r w:rsidR="006D5C5D">
        <w:rPr>
          <w:rFonts w:ascii="Times New Roman" w:hAnsi="Times New Roman"/>
          <w:sz w:val="24"/>
          <w:szCs w:val="24"/>
        </w:rPr>
        <w:t>It includes an estimate of d</w:t>
      </w:r>
      <w:r w:rsidR="006D5C5D" w:rsidRPr="00162BC7">
        <w:rPr>
          <w:rFonts w:ascii="Times New Roman" w:hAnsi="Times New Roman"/>
          <w:sz w:val="24"/>
          <w:szCs w:val="24"/>
        </w:rPr>
        <w:t>omestic expenditure for outbound</w:t>
      </w:r>
      <w:r w:rsidR="003F0460">
        <w:rPr>
          <w:rFonts w:ascii="Times New Roman" w:hAnsi="Times New Roman"/>
          <w:sz w:val="24"/>
          <w:szCs w:val="24"/>
        </w:rPr>
        <w:t xml:space="preserve"> </w:t>
      </w:r>
      <w:r w:rsidR="00296A25">
        <w:rPr>
          <w:rFonts w:ascii="Times New Roman" w:hAnsi="Times New Roman"/>
          <w:sz w:val="24"/>
          <w:szCs w:val="24"/>
        </w:rPr>
        <w:t xml:space="preserve">transportation </w:t>
      </w:r>
      <w:r w:rsidR="006D5C5D">
        <w:rPr>
          <w:rFonts w:ascii="Times New Roman" w:hAnsi="Times New Roman"/>
          <w:sz w:val="24"/>
          <w:szCs w:val="24"/>
        </w:rPr>
        <w:t xml:space="preserve">such as </w:t>
      </w:r>
      <w:r w:rsidR="006D5C5D" w:rsidRPr="00162BC7">
        <w:rPr>
          <w:rFonts w:ascii="Times New Roman" w:hAnsi="Times New Roman"/>
          <w:sz w:val="24"/>
          <w:szCs w:val="24"/>
        </w:rPr>
        <w:t>payments to local travel agents/tour operators and local carriers</w:t>
      </w:r>
      <w:r w:rsidR="006D5C5D">
        <w:rPr>
          <w:rFonts w:ascii="Times New Roman" w:hAnsi="Times New Roman"/>
          <w:sz w:val="24"/>
          <w:szCs w:val="24"/>
        </w:rPr>
        <w:t>.</w:t>
      </w:r>
    </w:p>
    <w:p w14:paraId="42C781F3" w14:textId="77777777" w:rsidR="00C616C7" w:rsidRPr="00535EB9" w:rsidRDefault="00C616C7" w:rsidP="00F06EA3">
      <w:pPr>
        <w:pStyle w:val="ListParagraph"/>
        <w:autoSpaceDE w:val="0"/>
        <w:autoSpaceDN w:val="0"/>
        <w:adjustRightInd w:val="0"/>
        <w:spacing w:after="0" w:line="240" w:lineRule="auto"/>
        <w:ind w:left="450"/>
        <w:jc w:val="both"/>
        <w:rPr>
          <w:rFonts w:ascii="Times New Roman" w:hAnsi="Times New Roman"/>
          <w:sz w:val="24"/>
          <w:szCs w:val="24"/>
        </w:rPr>
      </w:pPr>
    </w:p>
    <w:p w14:paraId="7AD12BFA" w14:textId="77777777" w:rsidR="00C616C7" w:rsidRPr="00535EB9" w:rsidRDefault="00C616C7" w:rsidP="00C616C7">
      <w:pPr>
        <w:pStyle w:val="ListParagraph"/>
        <w:numPr>
          <w:ilvl w:val="0"/>
          <w:numId w:val="3"/>
        </w:numPr>
        <w:ind w:hanging="630"/>
        <w:contextualSpacing w:val="0"/>
        <w:jc w:val="both"/>
        <w:rPr>
          <w:rFonts w:ascii="Times New Roman" w:hAnsi="Times New Roman"/>
          <w:b/>
          <w:i/>
          <w:sz w:val="24"/>
          <w:szCs w:val="24"/>
        </w:rPr>
      </w:pPr>
      <w:r w:rsidRPr="00535EB9">
        <w:rPr>
          <w:rFonts w:ascii="Times New Roman" w:hAnsi="Times New Roman"/>
          <w:b/>
          <w:i/>
          <w:sz w:val="24"/>
          <w:szCs w:val="24"/>
        </w:rPr>
        <w:t>Inbound tourism expenditure</w:t>
      </w:r>
    </w:p>
    <w:p w14:paraId="45911AD1" w14:textId="77777777" w:rsidR="00C616C7" w:rsidRPr="00535EB9" w:rsidRDefault="00C616C7" w:rsidP="00F06EA3">
      <w:pPr>
        <w:pStyle w:val="ListParagraph"/>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Inbound tourism expenditure is the tourism expenditure of a non-resident visitor within the economy of reference.</w:t>
      </w:r>
    </w:p>
    <w:p w14:paraId="6ABEADA6" w14:textId="77777777" w:rsidR="00C616C7" w:rsidRPr="00535EB9" w:rsidRDefault="00C616C7" w:rsidP="00C616C7">
      <w:pPr>
        <w:autoSpaceDE w:val="0"/>
        <w:autoSpaceDN w:val="0"/>
        <w:adjustRightInd w:val="0"/>
        <w:spacing w:after="0" w:line="240" w:lineRule="auto"/>
        <w:rPr>
          <w:rFonts w:ascii="Times New Roman" w:hAnsi="Times New Roman"/>
          <w:sz w:val="24"/>
          <w:szCs w:val="24"/>
        </w:rPr>
      </w:pPr>
    </w:p>
    <w:p w14:paraId="30189E76" w14:textId="77777777" w:rsidR="00C616C7" w:rsidRPr="00535EB9" w:rsidRDefault="00C616C7" w:rsidP="00843FE7">
      <w:pPr>
        <w:pStyle w:val="ListParagraph"/>
        <w:numPr>
          <w:ilvl w:val="0"/>
          <w:numId w:val="3"/>
        </w:numPr>
        <w:ind w:hanging="630"/>
        <w:contextualSpacing w:val="0"/>
        <w:jc w:val="both"/>
        <w:rPr>
          <w:rFonts w:ascii="Times New Roman" w:hAnsi="Times New Roman"/>
          <w:b/>
          <w:i/>
          <w:sz w:val="24"/>
          <w:szCs w:val="24"/>
        </w:rPr>
      </w:pPr>
      <w:r w:rsidRPr="00535EB9">
        <w:rPr>
          <w:rFonts w:ascii="Times New Roman" w:hAnsi="Times New Roman"/>
          <w:b/>
          <w:i/>
          <w:sz w:val="24"/>
          <w:szCs w:val="24"/>
        </w:rPr>
        <w:t>Outbound tourism expenditure</w:t>
      </w:r>
    </w:p>
    <w:p w14:paraId="3B83D096" w14:textId="77777777" w:rsidR="00C616C7" w:rsidRDefault="00C616C7" w:rsidP="00F06EA3">
      <w:pPr>
        <w:pStyle w:val="ListParagraph"/>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Outbound tourism expenditure is the tourism expenditure of a resident visitor outside the economy of reference.</w:t>
      </w:r>
    </w:p>
    <w:p w14:paraId="4AE5DB6A" w14:textId="77777777" w:rsidR="00AE3D88" w:rsidRPr="00535EB9" w:rsidRDefault="00AE3D88" w:rsidP="00F06EA3">
      <w:pPr>
        <w:pStyle w:val="ListParagraph"/>
        <w:autoSpaceDE w:val="0"/>
        <w:autoSpaceDN w:val="0"/>
        <w:adjustRightInd w:val="0"/>
        <w:spacing w:after="0" w:line="240" w:lineRule="auto"/>
        <w:ind w:left="450"/>
        <w:jc w:val="both"/>
        <w:rPr>
          <w:rFonts w:ascii="Times New Roman" w:hAnsi="Times New Roman"/>
          <w:sz w:val="24"/>
          <w:szCs w:val="24"/>
        </w:rPr>
      </w:pPr>
    </w:p>
    <w:p w14:paraId="6F1F51F0" w14:textId="77777777" w:rsidR="00AE3D88" w:rsidRPr="00535EB9" w:rsidRDefault="00AE3D88" w:rsidP="00AE3D88">
      <w:pPr>
        <w:pStyle w:val="ListParagraph"/>
        <w:numPr>
          <w:ilvl w:val="0"/>
          <w:numId w:val="3"/>
        </w:numPr>
        <w:ind w:hanging="630"/>
        <w:contextualSpacing w:val="0"/>
        <w:jc w:val="both"/>
        <w:rPr>
          <w:rFonts w:ascii="Times New Roman" w:hAnsi="Times New Roman"/>
          <w:b/>
          <w:i/>
          <w:sz w:val="24"/>
          <w:szCs w:val="24"/>
        </w:rPr>
      </w:pPr>
      <w:r>
        <w:rPr>
          <w:rFonts w:ascii="Times New Roman" w:hAnsi="Times New Roman"/>
          <w:b/>
          <w:i/>
          <w:sz w:val="24"/>
          <w:szCs w:val="24"/>
        </w:rPr>
        <w:t>Internal</w:t>
      </w:r>
      <w:r w:rsidRPr="00535EB9">
        <w:rPr>
          <w:rFonts w:ascii="Times New Roman" w:hAnsi="Times New Roman"/>
          <w:b/>
          <w:i/>
          <w:sz w:val="24"/>
          <w:szCs w:val="24"/>
        </w:rPr>
        <w:t xml:space="preserve"> tourism expenditure</w:t>
      </w:r>
    </w:p>
    <w:p w14:paraId="1F975BA0" w14:textId="31B38288" w:rsidR="00AE3D88" w:rsidRPr="00AE3D88" w:rsidRDefault="00AE3D88" w:rsidP="00AE3D88">
      <w:pPr>
        <w:ind w:left="450"/>
        <w:jc w:val="both"/>
        <w:rPr>
          <w:rFonts w:ascii="Times New Roman" w:hAnsi="Times New Roman"/>
          <w:sz w:val="24"/>
          <w:szCs w:val="24"/>
        </w:rPr>
      </w:pPr>
      <w:r w:rsidRPr="00AE3D88">
        <w:rPr>
          <w:rFonts w:ascii="Times New Roman" w:hAnsi="Times New Roman"/>
          <w:sz w:val="24"/>
          <w:szCs w:val="24"/>
        </w:rPr>
        <w:t xml:space="preserve">Internal </w:t>
      </w:r>
      <w:r w:rsidR="009E732A">
        <w:rPr>
          <w:rFonts w:ascii="Times New Roman" w:hAnsi="Times New Roman"/>
          <w:sz w:val="24"/>
          <w:szCs w:val="24"/>
        </w:rPr>
        <w:t>t</w:t>
      </w:r>
      <w:r w:rsidR="009E732A" w:rsidRPr="00AE3D88">
        <w:rPr>
          <w:rFonts w:ascii="Times New Roman" w:hAnsi="Times New Roman"/>
          <w:sz w:val="24"/>
          <w:szCs w:val="24"/>
        </w:rPr>
        <w:t xml:space="preserve">ourism </w:t>
      </w:r>
      <w:r w:rsidRPr="00AE3D88">
        <w:rPr>
          <w:rFonts w:ascii="Times New Roman" w:hAnsi="Times New Roman"/>
          <w:sz w:val="24"/>
          <w:szCs w:val="24"/>
        </w:rPr>
        <w:t xml:space="preserve">expenditure consists of all </w:t>
      </w:r>
      <w:r w:rsidR="003F0460">
        <w:rPr>
          <w:rFonts w:ascii="Times New Roman" w:hAnsi="Times New Roman"/>
          <w:sz w:val="24"/>
          <w:szCs w:val="24"/>
        </w:rPr>
        <w:t>expenditures</w:t>
      </w:r>
      <w:r w:rsidRPr="00AE3D88">
        <w:rPr>
          <w:rFonts w:ascii="Times New Roman" w:hAnsi="Times New Roman"/>
          <w:sz w:val="24"/>
          <w:szCs w:val="24"/>
        </w:rPr>
        <w:t xml:space="preserve"> for tourism purposes by both residents and non-residents within the economic territory</w:t>
      </w:r>
      <w:r>
        <w:rPr>
          <w:rFonts w:ascii="Times New Roman" w:hAnsi="Times New Roman"/>
          <w:sz w:val="24"/>
          <w:szCs w:val="24"/>
        </w:rPr>
        <w:t>,</w:t>
      </w:r>
    </w:p>
    <w:p w14:paraId="0CA2D149" w14:textId="77777777" w:rsidR="00EA1422" w:rsidRPr="00535EB9" w:rsidRDefault="00EA1422" w:rsidP="003D4CC6">
      <w:pPr>
        <w:pStyle w:val="ListParagraph"/>
        <w:autoSpaceDE w:val="0"/>
        <w:autoSpaceDN w:val="0"/>
        <w:adjustRightInd w:val="0"/>
        <w:spacing w:after="0" w:line="240" w:lineRule="auto"/>
        <w:ind w:left="450"/>
        <w:jc w:val="both"/>
        <w:rPr>
          <w:rFonts w:ascii="Times New Roman" w:hAnsi="Times New Roman"/>
          <w:sz w:val="24"/>
          <w:szCs w:val="24"/>
        </w:rPr>
      </w:pPr>
    </w:p>
    <w:p w14:paraId="5D438DEC" w14:textId="77777777" w:rsidR="003D4CC6" w:rsidRPr="00535EB9" w:rsidRDefault="00DF0C48" w:rsidP="00F06EA3">
      <w:pPr>
        <w:pStyle w:val="ListParagraph"/>
        <w:numPr>
          <w:ilvl w:val="0"/>
          <w:numId w:val="3"/>
        </w:numPr>
        <w:contextualSpacing w:val="0"/>
        <w:jc w:val="both"/>
        <w:rPr>
          <w:rFonts w:ascii="Times New Roman" w:hAnsi="Times New Roman"/>
          <w:b/>
          <w:i/>
          <w:sz w:val="24"/>
          <w:szCs w:val="24"/>
        </w:rPr>
      </w:pPr>
      <w:r w:rsidRPr="00535EB9">
        <w:rPr>
          <w:rFonts w:ascii="Times New Roman" w:hAnsi="Times New Roman"/>
          <w:b/>
          <w:i/>
          <w:sz w:val="24"/>
          <w:szCs w:val="24"/>
        </w:rPr>
        <w:t xml:space="preserve">Tourism Balance of Trade </w:t>
      </w:r>
    </w:p>
    <w:p w14:paraId="03A87D9D" w14:textId="371759A3" w:rsidR="005E5C7F" w:rsidRPr="00535EB9" w:rsidRDefault="00DF0C48" w:rsidP="003D4CC6">
      <w:pPr>
        <w:pStyle w:val="ListParagraph"/>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 xml:space="preserve">Tourism imports comprise goods and services purchased by residents on a trip outside the country whilst tourism exports comprise goods and services purchased by </w:t>
      </w:r>
      <w:r w:rsidR="003F0460">
        <w:rPr>
          <w:rFonts w:ascii="Times New Roman" w:hAnsi="Times New Roman"/>
          <w:sz w:val="24"/>
          <w:szCs w:val="24"/>
        </w:rPr>
        <w:t>non-resident</w:t>
      </w:r>
      <w:r w:rsidRPr="00535EB9">
        <w:rPr>
          <w:rFonts w:ascii="Times New Roman" w:hAnsi="Times New Roman"/>
          <w:sz w:val="24"/>
          <w:szCs w:val="24"/>
        </w:rPr>
        <w:t xml:space="preserve"> visitors in the country. The Tourism balance of trade is defined as tourism exports net of tourism imports. </w:t>
      </w:r>
    </w:p>
    <w:p w14:paraId="71E7B292" w14:textId="77777777" w:rsidR="005E5C7F" w:rsidRPr="00535EB9" w:rsidRDefault="005E5C7F" w:rsidP="00EA1422">
      <w:pPr>
        <w:spacing w:after="0"/>
        <w:ind w:left="360"/>
        <w:contextualSpacing/>
        <w:jc w:val="both"/>
        <w:rPr>
          <w:rFonts w:ascii="Times New Roman" w:hAnsi="Times New Roman"/>
          <w:sz w:val="24"/>
          <w:szCs w:val="24"/>
        </w:rPr>
      </w:pPr>
    </w:p>
    <w:p w14:paraId="60BA7044" w14:textId="77777777" w:rsidR="0096101A" w:rsidRPr="00535EB9" w:rsidRDefault="00DF0C48" w:rsidP="00F06EA3">
      <w:pPr>
        <w:pStyle w:val="ListParagraph"/>
        <w:numPr>
          <w:ilvl w:val="0"/>
          <w:numId w:val="3"/>
        </w:numPr>
        <w:contextualSpacing w:val="0"/>
        <w:jc w:val="both"/>
        <w:rPr>
          <w:rFonts w:ascii="Times New Roman" w:hAnsi="Times New Roman"/>
          <w:b/>
          <w:i/>
          <w:sz w:val="24"/>
          <w:szCs w:val="24"/>
        </w:rPr>
      </w:pPr>
      <w:r w:rsidRPr="00535EB9">
        <w:rPr>
          <w:rFonts w:ascii="Times New Roman" w:hAnsi="Times New Roman"/>
          <w:b/>
          <w:i/>
          <w:sz w:val="24"/>
          <w:szCs w:val="24"/>
        </w:rPr>
        <w:t xml:space="preserve">Gross Output </w:t>
      </w:r>
    </w:p>
    <w:p w14:paraId="6B71C9D3" w14:textId="23AE6AE1" w:rsidR="005E5C7F" w:rsidRDefault="00DF0C48" w:rsidP="00EA1422">
      <w:pPr>
        <w:pStyle w:val="ListParagraph"/>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Gross Output for the tourism sector includes the value of goods and services produced by tourism industrie</w:t>
      </w:r>
      <w:r w:rsidR="004B0E56">
        <w:rPr>
          <w:rFonts w:ascii="Times New Roman" w:hAnsi="Times New Roman"/>
          <w:sz w:val="24"/>
          <w:szCs w:val="24"/>
        </w:rPr>
        <w:t>s.</w:t>
      </w:r>
    </w:p>
    <w:p w14:paraId="07589DCA" w14:textId="77777777" w:rsidR="005B259E" w:rsidRDefault="005B259E" w:rsidP="00EA1422">
      <w:pPr>
        <w:pStyle w:val="ListParagraph"/>
        <w:autoSpaceDE w:val="0"/>
        <w:autoSpaceDN w:val="0"/>
        <w:adjustRightInd w:val="0"/>
        <w:spacing w:after="0" w:line="240" w:lineRule="auto"/>
        <w:ind w:left="450"/>
        <w:jc w:val="both"/>
        <w:rPr>
          <w:rFonts w:ascii="Times New Roman" w:hAnsi="Times New Roman"/>
          <w:sz w:val="24"/>
          <w:szCs w:val="24"/>
        </w:rPr>
      </w:pPr>
    </w:p>
    <w:p w14:paraId="3E0DD1D9" w14:textId="77777777" w:rsidR="0096101A" w:rsidRPr="00535EB9" w:rsidRDefault="00DF0C48" w:rsidP="00F06EA3">
      <w:pPr>
        <w:pStyle w:val="ListParagraph"/>
        <w:numPr>
          <w:ilvl w:val="0"/>
          <w:numId w:val="3"/>
        </w:numPr>
        <w:contextualSpacing w:val="0"/>
        <w:jc w:val="both"/>
        <w:rPr>
          <w:rFonts w:ascii="Times New Roman" w:hAnsi="Times New Roman"/>
          <w:b/>
          <w:i/>
          <w:sz w:val="24"/>
          <w:szCs w:val="24"/>
        </w:rPr>
      </w:pPr>
      <w:r w:rsidRPr="00535EB9">
        <w:rPr>
          <w:rFonts w:ascii="Times New Roman" w:hAnsi="Times New Roman"/>
          <w:b/>
          <w:i/>
          <w:sz w:val="24"/>
          <w:szCs w:val="24"/>
        </w:rPr>
        <w:t>Intermediate consumption</w:t>
      </w:r>
    </w:p>
    <w:p w14:paraId="33385257" w14:textId="3E1BAFA3" w:rsidR="005E5C7F" w:rsidRDefault="00DF0C48" w:rsidP="00EA1422">
      <w:pPr>
        <w:pStyle w:val="ListParagraph"/>
        <w:autoSpaceDE w:val="0"/>
        <w:autoSpaceDN w:val="0"/>
        <w:adjustRightInd w:val="0"/>
        <w:spacing w:after="0" w:line="240" w:lineRule="auto"/>
        <w:ind w:left="450"/>
        <w:jc w:val="both"/>
        <w:rPr>
          <w:rFonts w:ascii="Times New Roman" w:hAnsi="Times New Roman"/>
          <w:sz w:val="24"/>
          <w:szCs w:val="24"/>
        </w:rPr>
      </w:pPr>
      <w:r w:rsidRPr="00535EB9">
        <w:rPr>
          <w:rFonts w:ascii="Times New Roman" w:hAnsi="Times New Roman"/>
          <w:sz w:val="24"/>
          <w:szCs w:val="24"/>
        </w:rPr>
        <w:t>Intermediate consumption of industries covers non-durable goods and services used up in the production process. For this</w:t>
      </w:r>
      <w:r w:rsidR="0096101A" w:rsidRPr="00535EB9">
        <w:rPr>
          <w:rFonts w:ascii="Times New Roman" w:hAnsi="Times New Roman"/>
          <w:sz w:val="24"/>
          <w:szCs w:val="24"/>
        </w:rPr>
        <w:t xml:space="preserve"> </w:t>
      </w:r>
      <w:r w:rsidRPr="00535EB9">
        <w:rPr>
          <w:rFonts w:ascii="Times New Roman" w:hAnsi="Times New Roman"/>
          <w:sz w:val="24"/>
          <w:szCs w:val="24"/>
        </w:rPr>
        <w:t>TSA, interme</w:t>
      </w:r>
      <w:r w:rsidR="0096101A" w:rsidRPr="00535EB9">
        <w:rPr>
          <w:rFonts w:ascii="Times New Roman" w:hAnsi="Times New Roman"/>
          <w:sz w:val="24"/>
          <w:szCs w:val="24"/>
        </w:rPr>
        <w:t xml:space="preserve">diate consumption of industries </w:t>
      </w:r>
      <w:r w:rsidRPr="00535EB9">
        <w:rPr>
          <w:rFonts w:ascii="Times New Roman" w:hAnsi="Times New Roman"/>
          <w:sz w:val="24"/>
          <w:szCs w:val="24"/>
        </w:rPr>
        <w:t xml:space="preserve">(providing the product) has been calculated as a percentage of gross output. </w:t>
      </w:r>
    </w:p>
    <w:p w14:paraId="1AA0843B" w14:textId="1AFD9E88" w:rsidR="00F519F4" w:rsidRDefault="00F519F4" w:rsidP="00EA1422">
      <w:pPr>
        <w:pStyle w:val="ListParagraph"/>
        <w:autoSpaceDE w:val="0"/>
        <w:autoSpaceDN w:val="0"/>
        <w:adjustRightInd w:val="0"/>
        <w:spacing w:after="0" w:line="240" w:lineRule="auto"/>
        <w:ind w:left="450"/>
        <w:jc w:val="both"/>
        <w:rPr>
          <w:rFonts w:ascii="Times New Roman" w:hAnsi="Times New Roman"/>
          <w:sz w:val="24"/>
          <w:szCs w:val="24"/>
        </w:rPr>
      </w:pPr>
    </w:p>
    <w:p w14:paraId="0EB78BBF" w14:textId="3278C4AD" w:rsidR="00F519F4" w:rsidRDefault="00F519F4" w:rsidP="00EA1422">
      <w:pPr>
        <w:pStyle w:val="ListParagraph"/>
        <w:autoSpaceDE w:val="0"/>
        <w:autoSpaceDN w:val="0"/>
        <w:adjustRightInd w:val="0"/>
        <w:spacing w:after="0" w:line="240" w:lineRule="auto"/>
        <w:ind w:left="450"/>
        <w:jc w:val="both"/>
        <w:rPr>
          <w:rFonts w:ascii="Times New Roman" w:hAnsi="Times New Roman"/>
          <w:sz w:val="24"/>
          <w:szCs w:val="24"/>
        </w:rPr>
      </w:pPr>
    </w:p>
    <w:p w14:paraId="5E1DF3B8" w14:textId="472DD93B" w:rsidR="00F519F4" w:rsidRDefault="00F519F4" w:rsidP="00EA1422">
      <w:pPr>
        <w:pStyle w:val="ListParagraph"/>
        <w:autoSpaceDE w:val="0"/>
        <w:autoSpaceDN w:val="0"/>
        <w:adjustRightInd w:val="0"/>
        <w:spacing w:after="0" w:line="240" w:lineRule="auto"/>
        <w:ind w:left="450"/>
        <w:jc w:val="both"/>
        <w:rPr>
          <w:rFonts w:ascii="Times New Roman" w:hAnsi="Times New Roman"/>
          <w:sz w:val="24"/>
          <w:szCs w:val="24"/>
        </w:rPr>
      </w:pPr>
    </w:p>
    <w:p w14:paraId="44F37E2E" w14:textId="77777777" w:rsidR="00F519F4" w:rsidRDefault="00F519F4" w:rsidP="00EA1422">
      <w:pPr>
        <w:pStyle w:val="ListParagraph"/>
        <w:autoSpaceDE w:val="0"/>
        <w:autoSpaceDN w:val="0"/>
        <w:adjustRightInd w:val="0"/>
        <w:spacing w:after="0" w:line="240" w:lineRule="auto"/>
        <w:ind w:left="450"/>
        <w:jc w:val="both"/>
        <w:rPr>
          <w:rFonts w:ascii="Times New Roman" w:hAnsi="Times New Roman"/>
          <w:sz w:val="24"/>
          <w:szCs w:val="24"/>
        </w:rPr>
      </w:pPr>
    </w:p>
    <w:p w14:paraId="61A9DF3C" w14:textId="4CE5F217" w:rsidR="003F0460" w:rsidRDefault="003F0460" w:rsidP="00EA1422">
      <w:pPr>
        <w:pStyle w:val="ListParagraph"/>
        <w:autoSpaceDE w:val="0"/>
        <w:autoSpaceDN w:val="0"/>
        <w:adjustRightInd w:val="0"/>
        <w:spacing w:after="0" w:line="240" w:lineRule="auto"/>
        <w:ind w:left="450"/>
        <w:jc w:val="both"/>
        <w:rPr>
          <w:rFonts w:ascii="Times New Roman" w:hAnsi="Times New Roman"/>
          <w:sz w:val="24"/>
          <w:szCs w:val="24"/>
        </w:rPr>
      </w:pPr>
    </w:p>
    <w:p w14:paraId="44B4C331" w14:textId="77777777" w:rsidR="0096101A" w:rsidRPr="00535EB9" w:rsidRDefault="00DF0C48" w:rsidP="00F06EA3">
      <w:pPr>
        <w:pStyle w:val="ListParagraph"/>
        <w:numPr>
          <w:ilvl w:val="0"/>
          <w:numId w:val="3"/>
        </w:numPr>
        <w:contextualSpacing w:val="0"/>
        <w:jc w:val="both"/>
        <w:rPr>
          <w:rFonts w:ascii="Times New Roman" w:hAnsi="Times New Roman"/>
          <w:b/>
          <w:i/>
          <w:sz w:val="24"/>
          <w:szCs w:val="24"/>
        </w:rPr>
      </w:pPr>
      <w:r w:rsidRPr="00535EB9">
        <w:rPr>
          <w:rFonts w:ascii="Times New Roman" w:hAnsi="Times New Roman"/>
          <w:b/>
          <w:i/>
          <w:sz w:val="24"/>
          <w:szCs w:val="24"/>
        </w:rPr>
        <w:lastRenderedPageBreak/>
        <w:t>Tourism Direct Gross Value Added (TDGVA)</w:t>
      </w:r>
    </w:p>
    <w:p w14:paraId="65B0F801" w14:textId="77777777" w:rsidR="005E5C7F" w:rsidRPr="00535EB9" w:rsidRDefault="00DF0C48" w:rsidP="00781F79">
      <w:pPr>
        <w:pStyle w:val="ListParagraph"/>
        <w:tabs>
          <w:tab w:val="left" w:pos="360"/>
        </w:tabs>
        <w:autoSpaceDE w:val="0"/>
        <w:autoSpaceDN w:val="0"/>
        <w:adjustRightInd w:val="0"/>
        <w:spacing w:after="0" w:line="240" w:lineRule="auto"/>
        <w:ind w:left="360"/>
        <w:jc w:val="both"/>
        <w:rPr>
          <w:rFonts w:ascii="Times New Roman" w:hAnsi="Times New Roman"/>
          <w:sz w:val="24"/>
          <w:szCs w:val="24"/>
        </w:rPr>
      </w:pPr>
      <w:r w:rsidRPr="00535EB9">
        <w:rPr>
          <w:rFonts w:ascii="Times New Roman" w:hAnsi="Times New Roman"/>
          <w:sz w:val="24"/>
          <w:szCs w:val="24"/>
        </w:rPr>
        <w:t>Tourism Direct Gross Value Added is calculated as the difference between the gross output and intermediate consumption. It adds the parts of gross</w:t>
      </w:r>
      <w:r w:rsidR="0096101A" w:rsidRPr="00535EB9">
        <w:rPr>
          <w:rFonts w:ascii="Times New Roman" w:hAnsi="Times New Roman"/>
          <w:sz w:val="24"/>
          <w:szCs w:val="24"/>
        </w:rPr>
        <w:t xml:space="preserve"> value added </w:t>
      </w:r>
      <w:r w:rsidRPr="00535EB9">
        <w:rPr>
          <w:rFonts w:ascii="Times New Roman" w:hAnsi="Times New Roman"/>
          <w:sz w:val="24"/>
          <w:szCs w:val="24"/>
        </w:rPr>
        <w:t>generated by tourism industries and other industries of the economy that serve directly visitors.</w:t>
      </w:r>
    </w:p>
    <w:p w14:paraId="512729F6" w14:textId="77777777" w:rsidR="005E5C7F" w:rsidRPr="00535EB9" w:rsidRDefault="005E5C7F" w:rsidP="00EA1422">
      <w:pPr>
        <w:spacing w:after="0"/>
        <w:ind w:left="360"/>
        <w:contextualSpacing/>
        <w:jc w:val="both"/>
        <w:rPr>
          <w:rFonts w:ascii="Times New Roman" w:hAnsi="Times New Roman"/>
          <w:sz w:val="24"/>
          <w:szCs w:val="24"/>
        </w:rPr>
      </w:pPr>
    </w:p>
    <w:p w14:paraId="668195E9" w14:textId="77777777" w:rsidR="0096101A" w:rsidRPr="00535EB9" w:rsidRDefault="00DF0C48" w:rsidP="00F06EA3">
      <w:pPr>
        <w:pStyle w:val="ListParagraph"/>
        <w:numPr>
          <w:ilvl w:val="0"/>
          <w:numId w:val="3"/>
        </w:numPr>
        <w:contextualSpacing w:val="0"/>
        <w:jc w:val="both"/>
        <w:rPr>
          <w:rFonts w:ascii="Times New Roman" w:hAnsi="Times New Roman"/>
          <w:b/>
          <w:i/>
          <w:sz w:val="24"/>
          <w:szCs w:val="24"/>
        </w:rPr>
      </w:pPr>
      <w:r w:rsidRPr="00535EB9">
        <w:rPr>
          <w:rFonts w:ascii="Times New Roman" w:hAnsi="Times New Roman"/>
          <w:b/>
          <w:i/>
          <w:sz w:val="24"/>
          <w:szCs w:val="24"/>
        </w:rPr>
        <w:t xml:space="preserve"> Valuation </w:t>
      </w:r>
    </w:p>
    <w:p w14:paraId="1460F9CB" w14:textId="49F0B694" w:rsidR="001B279D" w:rsidRPr="00535EB9" w:rsidRDefault="00DF0C48" w:rsidP="00003EE5">
      <w:pPr>
        <w:pStyle w:val="ListParagraph"/>
        <w:autoSpaceDE w:val="0"/>
        <w:autoSpaceDN w:val="0"/>
        <w:adjustRightInd w:val="0"/>
        <w:spacing w:after="0" w:line="240" w:lineRule="auto"/>
        <w:ind w:left="360"/>
        <w:jc w:val="both"/>
        <w:rPr>
          <w:rFonts w:ascii="Times New Roman" w:hAnsi="Times New Roman"/>
          <w:sz w:val="24"/>
          <w:szCs w:val="24"/>
        </w:rPr>
      </w:pPr>
      <w:r w:rsidRPr="00535EB9">
        <w:rPr>
          <w:rFonts w:ascii="Times New Roman" w:hAnsi="Times New Roman"/>
          <w:sz w:val="24"/>
          <w:szCs w:val="24"/>
        </w:rPr>
        <w:t xml:space="preserve">Gross output is valued at basic prices, that is, the amount receivable by the producer exclusive of taxes payable and inclusive of subsidies receivable on the products. Intermediate consumption is at </w:t>
      </w:r>
      <w:r w:rsidR="003F0460">
        <w:rPr>
          <w:rFonts w:ascii="Times New Roman" w:hAnsi="Times New Roman"/>
          <w:sz w:val="24"/>
          <w:szCs w:val="24"/>
        </w:rPr>
        <w:t xml:space="preserve">the </w:t>
      </w:r>
      <w:r w:rsidRPr="00535EB9">
        <w:rPr>
          <w:rFonts w:ascii="Times New Roman" w:hAnsi="Times New Roman"/>
          <w:sz w:val="24"/>
          <w:szCs w:val="24"/>
        </w:rPr>
        <w:t xml:space="preserve">purchaser’s price, that is, it includes trade margins of wholesalers and retailers as well as additional transport charges payable by the purchaser and non-deductible VAT. </w:t>
      </w:r>
    </w:p>
    <w:p w14:paraId="675B94AB" w14:textId="77777777" w:rsidR="00391DC0" w:rsidRPr="00535EB9" w:rsidRDefault="00391DC0" w:rsidP="00EA1422">
      <w:pPr>
        <w:pStyle w:val="ListParagraph"/>
        <w:autoSpaceDE w:val="0"/>
        <w:autoSpaceDN w:val="0"/>
        <w:adjustRightInd w:val="0"/>
        <w:spacing w:after="0" w:line="240" w:lineRule="auto"/>
        <w:ind w:left="450"/>
        <w:jc w:val="both"/>
        <w:rPr>
          <w:rFonts w:ascii="Times New Roman" w:hAnsi="Times New Roman"/>
          <w:sz w:val="24"/>
          <w:szCs w:val="24"/>
        </w:rPr>
      </w:pPr>
    </w:p>
    <w:p w14:paraId="3F635F9A" w14:textId="77777777" w:rsidR="00391DC0" w:rsidRPr="00535EB9" w:rsidRDefault="00391DC0" w:rsidP="00F06EA3">
      <w:pPr>
        <w:pStyle w:val="ListParagraph"/>
        <w:numPr>
          <w:ilvl w:val="0"/>
          <w:numId w:val="3"/>
        </w:numPr>
        <w:contextualSpacing w:val="0"/>
        <w:jc w:val="both"/>
        <w:rPr>
          <w:rFonts w:ascii="Times New Roman" w:hAnsi="Times New Roman"/>
          <w:b/>
          <w:i/>
          <w:sz w:val="24"/>
          <w:szCs w:val="24"/>
        </w:rPr>
      </w:pPr>
      <w:r w:rsidRPr="00535EB9">
        <w:rPr>
          <w:rFonts w:ascii="Times New Roman" w:hAnsi="Times New Roman"/>
          <w:b/>
          <w:i/>
          <w:sz w:val="24"/>
          <w:szCs w:val="24"/>
        </w:rPr>
        <w:t>Direct employment in</w:t>
      </w:r>
      <w:r w:rsidR="0052054B" w:rsidRPr="00535EB9">
        <w:rPr>
          <w:rFonts w:ascii="Times New Roman" w:hAnsi="Times New Roman"/>
          <w:b/>
          <w:i/>
          <w:sz w:val="24"/>
          <w:szCs w:val="24"/>
        </w:rPr>
        <w:t xml:space="preserve"> the</w:t>
      </w:r>
      <w:r w:rsidRPr="00535EB9">
        <w:rPr>
          <w:rFonts w:ascii="Times New Roman" w:hAnsi="Times New Roman"/>
          <w:b/>
          <w:i/>
          <w:sz w:val="24"/>
          <w:szCs w:val="24"/>
        </w:rPr>
        <w:t xml:space="preserve"> tourism industry</w:t>
      </w:r>
    </w:p>
    <w:p w14:paraId="62577DF8" w14:textId="519D84A2" w:rsidR="00391DC0" w:rsidRPr="00535EB9" w:rsidRDefault="001B0AF3" w:rsidP="00D94FA5">
      <w:pPr>
        <w:spacing w:after="0"/>
        <w:ind w:left="360"/>
        <w:jc w:val="both"/>
        <w:rPr>
          <w:rFonts w:ascii="Times New Roman" w:hAnsi="Times New Roman"/>
          <w:sz w:val="24"/>
          <w:szCs w:val="24"/>
        </w:rPr>
      </w:pPr>
      <w:r w:rsidRPr="00535EB9">
        <w:rPr>
          <w:rFonts w:ascii="Times New Roman" w:eastAsia="Times New Roman" w:hAnsi="Times New Roman"/>
          <w:sz w:val="24"/>
          <w:szCs w:val="24"/>
        </w:rPr>
        <w:t>An estimate of d</w:t>
      </w:r>
      <w:r w:rsidRPr="00535EB9">
        <w:rPr>
          <w:rFonts w:ascii="Times New Roman" w:hAnsi="Times New Roman"/>
          <w:sz w:val="24"/>
          <w:szCs w:val="24"/>
        </w:rPr>
        <w:t xml:space="preserve">irect tourism employment </w:t>
      </w:r>
      <w:r w:rsidRPr="00535EB9">
        <w:rPr>
          <w:rFonts w:ascii="Times New Roman" w:eastAsia="Times New Roman" w:hAnsi="Times New Roman"/>
          <w:sz w:val="24"/>
          <w:szCs w:val="24"/>
        </w:rPr>
        <w:t>has been worked out based</w:t>
      </w:r>
      <w:r w:rsidR="00772831">
        <w:rPr>
          <w:rFonts w:ascii="Times New Roman" w:eastAsia="Times New Roman" w:hAnsi="Times New Roman"/>
          <w:sz w:val="24"/>
          <w:szCs w:val="24"/>
        </w:rPr>
        <w:t xml:space="preserve"> on the data available from the </w:t>
      </w:r>
      <w:r w:rsidRPr="00F519F4">
        <w:rPr>
          <w:rFonts w:ascii="Times New Roman" w:eastAsia="Times New Roman" w:hAnsi="Times New Roman"/>
          <w:sz w:val="24"/>
          <w:szCs w:val="24"/>
        </w:rPr>
        <w:t>201</w:t>
      </w:r>
      <w:r w:rsidR="00F519F4">
        <w:rPr>
          <w:rFonts w:ascii="Times New Roman" w:eastAsia="Times New Roman" w:hAnsi="Times New Roman"/>
          <w:sz w:val="24"/>
          <w:szCs w:val="24"/>
        </w:rPr>
        <w:t>8</w:t>
      </w:r>
      <w:r w:rsidRPr="00535EB9">
        <w:rPr>
          <w:rFonts w:ascii="Times New Roman" w:eastAsia="Times New Roman" w:hAnsi="Times New Roman"/>
          <w:sz w:val="24"/>
          <w:szCs w:val="24"/>
        </w:rPr>
        <w:t xml:space="preserve"> Census of Economic Activities</w:t>
      </w:r>
      <w:r w:rsidR="00772831">
        <w:rPr>
          <w:rFonts w:ascii="Times New Roman" w:eastAsia="Times New Roman" w:hAnsi="Times New Roman"/>
          <w:sz w:val="24"/>
          <w:szCs w:val="24"/>
        </w:rPr>
        <w:t xml:space="preserve"> </w:t>
      </w:r>
      <w:r w:rsidR="00F519F4">
        <w:rPr>
          <w:rFonts w:ascii="Times New Roman" w:eastAsia="Times New Roman" w:hAnsi="Times New Roman"/>
          <w:sz w:val="24"/>
          <w:szCs w:val="24"/>
        </w:rPr>
        <w:t>for both large and other than large</w:t>
      </w:r>
      <w:r w:rsidR="00772831">
        <w:rPr>
          <w:rFonts w:ascii="Times New Roman" w:eastAsia="Times New Roman" w:hAnsi="Times New Roman"/>
          <w:sz w:val="24"/>
          <w:szCs w:val="24"/>
        </w:rPr>
        <w:t xml:space="preserve"> </w:t>
      </w:r>
      <w:r w:rsidR="00F519F4">
        <w:rPr>
          <w:rFonts w:ascii="Times New Roman" w:eastAsia="Times New Roman" w:hAnsi="Times New Roman"/>
          <w:sz w:val="24"/>
          <w:szCs w:val="24"/>
        </w:rPr>
        <w:t>e</w:t>
      </w:r>
      <w:r w:rsidR="00772831">
        <w:rPr>
          <w:rFonts w:ascii="Times New Roman" w:eastAsia="Times New Roman" w:hAnsi="Times New Roman"/>
          <w:sz w:val="24"/>
          <w:szCs w:val="24"/>
        </w:rPr>
        <w:t>stablishments</w:t>
      </w:r>
      <w:r w:rsidRPr="00535EB9">
        <w:rPr>
          <w:rFonts w:ascii="Times New Roman" w:eastAsia="Times New Roman" w:hAnsi="Times New Roman"/>
          <w:sz w:val="24"/>
          <w:szCs w:val="24"/>
        </w:rPr>
        <w:t>, the annual survey of Employment and Earnings from large establishments supplemented by estimates from the Continuous Multipurpose Household Survey for other than large establishments conducted by Statistics Mauritius and license statistics.</w:t>
      </w:r>
    </w:p>
    <w:p w14:paraId="518889EE" w14:textId="77777777" w:rsidR="00D94FA5" w:rsidRPr="00535EB9" w:rsidRDefault="00D94FA5" w:rsidP="00D94FA5">
      <w:pPr>
        <w:pStyle w:val="ListParagraph"/>
        <w:autoSpaceDE w:val="0"/>
        <w:autoSpaceDN w:val="0"/>
        <w:adjustRightInd w:val="0"/>
        <w:spacing w:after="0" w:line="240" w:lineRule="auto"/>
        <w:ind w:left="450"/>
        <w:jc w:val="both"/>
        <w:rPr>
          <w:rFonts w:ascii="Times New Roman" w:hAnsi="Times New Roman"/>
          <w:sz w:val="24"/>
          <w:szCs w:val="24"/>
        </w:rPr>
      </w:pPr>
    </w:p>
    <w:p w14:paraId="7E204C72" w14:textId="77777777" w:rsidR="00391DC0" w:rsidRPr="00535EB9" w:rsidRDefault="00257DE1" w:rsidP="00257DE1">
      <w:pPr>
        <w:pStyle w:val="ListParagraph"/>
        <w:numPr>
          <w:ilvl w:val="0"/>
          <w:numId w:val="3"/>
        </w:numPr>
        <w:contextualSpacing w:val="0"/>
        <w:jc w:val="both"/>
        <w:rPr>
          <w:rFonts w:ascii="Times New Roman" w:hAnsi="Times New Roman"/>
          <w:b/>
          <w:i/>
          <w:sz w:val="24"/>
          <w:szCs w:val="24"/>
        </w:rPr>
      </w:pPr>
      <w:r w:rsidRPr="00535EB9">
        <w:rPr>
          <w:rFonts w:ascii="Times New Roman" w:hAnsi="Times New Roman"/>
          <w:b/>
          <w:i/>
          <w:sz w:val="24"/>
          <w:szCs w:val="24"/>
        </w:rPr>
        <w:t>Taxes on products</w:t>
      </w:r>
    </w:p>
    <w:p w14:paraId="38219B37" w14:textId="51D0CCB1" w:rsidR="00257DE1" w:rsidRPr="00535EB9" w:rsidRDefault="00257DE1" w:rsidP="00257DE1">
      <w:pPr>
        <w:autoSpaceDE w:val="0"/>
        <w:autoSpaceDN w:val="0"/>
        <w:adjustRightInd w:val="0"/>
        <w:spacing w:after="0" w:line="240" w:lineRule="auto"/>
        <w:ind w:left="360"/>
        <w:rPr>
          <w:rFonts w:ascii="Times New Roman" w:hAnsi="Times New Roman"/>
          <w:sz w:val="24"/>
          <w:szCs w:val="24"/>
        </w:rPr>
      </w:pPr>
      <w:r w:rsidRPr="00535EB9">
        <w:rPr>
          <w:rFonts w:ascii="Times New Roman" w:hAnsi="Times New Roman"/>
          <w:sz w:val="24"/>
          <w:szCs w:val="24"/>
        </w:rPr>
        <w:t xml:space="preserve">Taxes on products are payable on </w:t>
      </w:r>
      <w:r w:rsidR="00825910">
        <w:rPr>
          <w:rFonts w:ascii="Times New Roman" w:hAnsi="Times New Roman"/>
          <w:sz w:val="24"/>
          <w:szCs w:val="24"/>
        </w:rPr>
        <w:t>goods</w:t>
      </w:r>
      <w:r w:rsidRPr="00535EB9">
        <w:rPr>
          <w:rFonts w:ascii="Times New Roman" w:hAnsi="Times New Roman"/>
          <w:sz w:val="24"/>
          <w:szCs w:val="24"/>
        </w:rPr>
        <w:t xml:space="preserve"> and services when they are produced, sold</w:t>
      </w:r>
      <w:r w:rsidR="00825910">
        <w:rPr>
          <w:rFonts w:ascii="Times New Roman" w:hAnsi="Times New Roman"/>
          <w:sz w:val="24"/>
          <w:szCs w:val="24"/>
        </w:rPr>
        <w:t>,</w:t>
      </w:r>
      <w:r w:rsidRPr="00535EB9">
        <w:rPr>
          <w:rFonts w:ascii="Times New Roman" w:hAnsi="Times New Roman"/>
          <w:sz w:val="24"/>
          <w:szCs w:val="24"/>
        </w:rPr>
        <w:t xml:space="preserve"> or used.</w:t>
      </w:r>
    </w:p>
    <w:p w14:paraId="7C4C52BC" w14:textId="52498654" w:rsidR="00257DE1" w:rsidRPr="00535EB9" w:rsidRDefault="00257DE1" w:rsidP="00257DE1">
      <w:pPr>
        <w:autoSpaceDE w:val="0"/>
        <w:autoSpaceDN w:val="0"/>
        <w:adjustRightInd w:val="0"/>
        <w:spacing w:after="0" w:line="240" w:lineRule="auto"/>
        <w:ind w:left="360"/>
        <w:rPr>
          <w:rFonts w:ascii="Times New Roman" w:hAnsi="Times New Roman"/>
          <w:sz w:val="24"/>
          <w:szCs w:val="24"/>
        </w:rPr>
      </w:pPr>
      <w:r w:rsidRPr="00535EB9">
        <w:rPr>
          <w:rFonts w:ascii="Times New Roman" w:hAnsi="Times New Roman"/>
          <w:sz w:val="24"/>
          <w:szCs w:val="24"/>
        </w:rPr>
        <w:t>Examples are excise duties, import duties</w:t>
      </w:r>
      <w:r w:rsidR="00825910">
        <w:rPr>
          <w:rFonts w:ascii="Times New Roman" w:hAnsi="Times New Roman"/>
          <w:sz w:val="24"/>
          <w:szCs w:val="24"/>
        </w:rPr>
        <w:t>,</w:t>
      </w:r>
      <w:r w:rsidRPr="00535EB9">
        <w:rPr>
          <w:rFonts w:ascii="Times New Roman" w:hAnsi="Times New Roman"/>
          <w:sz w:val="24"/>
          <w:szCs w:val="24"/>
        </w:rPr>
        <w:t xml:space="preserve"> and Value Added Taxes (VAT).</w:t>
      </w:r>
    </w:p>
    <w:p w14:paraId="170EFAA0" w14:textId="77777777" w:rsidR="00257DE1" w:rsidRPr="00535EB9" w:rsidRDefault="00257DE1" w:rsidP="00257DE1">
      <w:pPr>
        <w:autoSpaceDE w:val="0"/>
        <w:autoSpaceDN w:val="0"/>
        <w:adjustRightInd w:val="0"/>
        <w:spacing w:after="0" w:line="240" w:lineRule="auto"/>
        <w:ind w:left="360"/>
        <w:rPr>
          <w:rFonts w:ascii="Times New Roman" w:hAnsi="Times New Roman"/>
          <w:sz w:val="24"/>
          <w:szCs w:val="24"/>
        </w:rPr>
      </w:pPr>
    </w:p>
    <w:p w14:paraId="34B17736" w14:textId="77777777" w:rsidR="00257DE1" w:rsidRPr="00535EB9" w:rsidRDefault="00257DE1" w:rsidP="00257DE1">
      <w:pPr>
        <w:pStyle w:val="ListParagraph"/>
        <w:numPr>
          <w:ilvl w:val="0"/>
          <w:numId w:val="3"/>
        </w:numPr>
        <w:contextualSpacing w:val="0"/>
        <w:jc w:val="both"/>
        <w:rPr>
          <w:rFonts w:ascii="Times New Roman" w:hAnsi="Times New Roman"/>
          <w:b/>
          <w:i/>
          <w:sz w:val="24"/>
          <w:szCs w:val="24"/>
        </w:rPr>
      </w:pPr>
      <w:r w:rsidRPr="00535EB9">
        <w:rPr>
          <w:rFonts w:ascii="Times New Roman" w:hAnsi="Times New Roman"/>
          <w:b/>
          <w:i/>
          <w:sz w:val="24"/>
          <w:szCs w:val="24"/>
        </w:rPr>
        <w:t>Taxes on production</w:t>
      </w:r>
    </w:p>
    <w:p w14:paraId="1737171B" w14:textId="69B33129" w:rsidR="006946CE" w:rsidRDefault="00257DE1" w:rsidP="006946CE">
      <w:pPr>
        <w:autoSpaceDE w:val="0"/>
        <w:autoSpaceDN w:val="0"/>
        <w:adjustRightInd w:val="0"/>
        <w:spacing w:after="0" w:line="240" w:lineRule="auto"/>
        <w:ind w:left="360"/>
        <w:jc w:val="both"/>
        <w:rPr>
          <w:rFonts w:ascii="Times New Roman" w:hAnsi="Times New Roman"/>
          <w:sz w:val="24"/>
          <w:szCs w:val="24"/>
        </w:rPr>
      </w:pPr>
      <w:r w:rsidRPr="00535EB9">
        <w:rPr>
          <w:rFonts w:ascii="Times New Roman" w:hAnsi="Times New Roman"/>
          <w:sz w:val="24"/>
          <w:szCs w:val="24"/>
        </w:rPr>
        <w:t>Taxes on production are taxes payable out of the value added of producers. This category of taxes includes taxes levied on property, fixed assets</w:t>
      </w:r>
      <w:r w:rsidR="00825910">
        <w:rPr>
          <w:rFonts w:ascii="Times New Roman" w:hAnsi="Times New Roman"/>
          <w:sz w:val="24"/>
          <w:szCs w:val="24"/>
        </w:rPr>
        <w:t>,</w:t>
      </w:r>
      <w:r w:rsidRPr="00535EB9">
        <w:rPr>
          <w:rFonts w:ascii="Times New Roman" w:hAnsi="Times New Roman"/>
          <w:sz w:val="24"/>
          <w:szCs w:val="24"/>
        </w:rPr>
        <w:t xml:space="preserve"> and labour employed. Examples a</w:t>
      </w:r>
      <w:r w:rsidR="003D4CB1" w:rsidRPr="00535EB9">
        <w:rPr>
          <w:rFonts w:ascii="Times New Roman" w:hAnsi="Times New Roman"/>
          <w:sz w:val="24"/>
          <w:szCs w:val="24"/>
        </w:rPr>
        <w:t>re municipal rates</w:t>
      </w:r>
      <w:r w:rsidR="00781278" w:rsidRPr="00535EB9">
        <w:rPr>
          <w:rFonts w:ascii="Times New Roman" w:hAnsi="Times New Roman"/>
          <w:sz w:val="24"/>
          <w:szCs w:val="24"/>
        </w:rPr>
        <w:t xml:space="preserve">, </w:t>
      </w:r>
      <w:r w:rsidRPr="00535EB9">
        <w:rPr>
          <w:rFonts w:ascii="Times New Roman" w:hAnsi="Times New Roman"/>
          <w:sz w:val="24"/>
          <w:szCs w:val="24"/>
        </w:rPr>
        <w:t>motor vehicle licences and business licences.</w:t>
      </w:r>
    </w:p>
    <w:p w14:paraId="377E1B09" w14:textId="77777777" w:rsidR="006946CE" w:rsidRPr="00AE3D88" w:rsidRDefault="006946CE" w:rsidP="006946CE">
      <w:pPr>
        <w:autoSpaceDE w:val="0"/>
        <w:autoSpaceDN w:val="0"/>
        <w:adjustRightInd w:val="0"/>
        <w:spacing w:after="0" w:line="240" w:lineRule="auto"/>
        <w:ind w:left="360"/>
        <w:jc w:val="both"/>
        <w:rPr>
          <w:rFonts w:ascii="Times New Roman" w:hAnsi="Times New Roman"/>
          <w:sz w:val="24"/>
          <w:szCs w:val="24"/>
        </w:rPr>
      </w:pPr>
    </w:p>
    <w:p w14:paraId="7BDFF2E5" w14:textId="77777777" w:rsidR="006946CE" w:rsidRPr="00AE3D88" w:rsidRDefault="006946CE" w:rsidP="006946CE">
      <w:pPr>
        <w:numPr>
          <w:ilvl w:val="0"/>
          <w:numId w:val="3"/>
        </w:numPr>
        <w:autoSpaceDE w:val="0"/>
        <w:autoSpaceDN w:val="0"/>
        <w:adjustRightInd w:val="0"/>
        <w:spacing w:after="0" w:line="240" w:lineRule="auto"/>
        <w:jc w:val="both"/>
        <w:rPr>
          <w:rFonts w:ascii="Times New Roman" w:hAnsi="Times New Roman"/>
          <w:b/>
          <w:i/>
        </w:rPr>
      </w:pPr>
      <w:r w:rsidRPr="00AE3D88">
        <w:rPr>
          <w:rFonts w:ascii="Times New Roman" w:hAnsi="Times New Roman"/>
          <w:b/>
          <w:i/>
        </w:rPr>
        <w:t>Gross Fixed Capital Formation (GFCF)</w:t>
      </w:r>
    </w:p>
    <w:p w14:paraId="59763818" w14:textId="77777777" w:rsidR="006946CE" w:rsidRPr="00AE3D88" w:rsidRDefault="006946CE" w:rsidP="006946CE">
      <w:pPr>
        <w:tabs>
          <w:tab w:val="left" w:pos="1080"/>
        </w:tabs>
        <w:spacing w:beforeLines="40" w:before="96" w:after="40"/>
        <w:ind w:left="360"/>
        <w:rPr>
          <w:rFonts w:ascii="Times New Roman" w:hAnsi="Times New Roman"/>
          <w:sz w:val="24"/>
          <w:szCs w:val="24"/>
        </w:rPr>
      </w:pPr>
      <w:r w:rsidRPr="00AE3D88">
        <w:rPr>
          <w:rFonts w:ascii="Times New Roman" w:hAnsi="Times New Roman"/>
          <w:sz w:val="24"/>
          <w:szCs w:val="24"/>
        </w:rPr>
        <w:t>GFCF is the net additions to the physical assets of the country in a year. These consist mainly of investment in buildings, plants, machinery and transport equipment, all valued</w:t>
      </w:r>
      <w:r w:rsidRPr="00AE3D88">
        <w:rPr>
          <w:rFonts w:ascii="Times New Roman" w:hAnsi="Times New Roman"/>
        </w:rPr>
        <w:t xml:space="preserve"> at </w:t>
      </w:r>
      <w:r w:rsidRPr="00AE3D88">
        <w:rPr>
          <w:rFonts w:ascii="Times New Roman" w:hAnsi="Times New Roman"/>
          <w:sz w:val="24"/>
          <w:szCs w:val="24"/>
        </w:rPr>
        <w:t>market prices.</w:t>
      </w:r>
    </w:p>
    <w:p w14:paraId="2752E921" w14:textId="77777777" w:rsidR="006946CE" w:rsidRPr="00AE3D88" w:rsidRDefault="006946CE" w:rsidP="003C231C">
      <w:pPr>
        <w:autoSpaceDE w:val="0"/>
        <w:autoSpaceDN w:val="0"/>
        <w:adjustRightInd w:val="0"/>
        <w:spacing w:after="0" w:line="240" w:lineRule="auto"/>
        <w:ind w:left="360"/>
        <w:jc w:val="both"/>
        <w:rPr>
          <w:rFonts w:ascii="Times New Roman" w:hAnsi="Times New Roman"/>
          <w:b/>
          <w:i/>
          <w:sz w:val="24"/>
          <w:szCs w:val="24"/>
        </w:rPr>
      </w:pPr>
    </w:p>
    <w:sectPr w:rsidR="006946CE" w:rsidRPr="00AE3D88" w:rsidSect="00E17F17">
      <w:headerReference w:type="default" r:id="rId18"/>
      <w:pgSz w:w="11909" w:h="16834" w:code="9"/>
      <w:pgMar w:top="907" w:right="1298" w:bottom="454"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19CBE" w14:textId="77777777" w:rsidR="0060390E" w:rsidRDefault="0060390E" w:rsidP="0033670D">
      <w:pPr>
        <w:spacing w:after="0" w:line="240" w:lineRule="auto"/>
      </w:pPr>
      <w:r>
        <w:separator/>
      </w:r>
    </w:p>
  </w:endnote>
  <w:endnote w:type="continuationSeparator" w:id="0">
    <w:p w14:paraId="4D87BFFE" w14:textId="77777777" w:rsidR="0060390E" w:rsidRDefault="0060390E" w:rsidP="0033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B990" w14:textId="77777777" w:rsidR="0060390E" w:rsidRDefault="0060390E" w:rsidP="0033670D">
      <w:pPr>
        <w:spacing w:after="0" w:line="240" w:lineRule="auto"/>
      </w:pPr>
      <w:r>
        <w:separator/>
      </w:r>
    </w:p>
  </w:footnote>
  <w:footnote w:type="continuationSeparator" w:id="0">
    <w:p w14:paraId="290F4C7F" w14:textId="77777777" w:rsidR="0060390E" w:rsidRDefault="0060390E" w:rsidP="00336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F27D0" w14:textId="77777777" w:rsidR="004E037B" w:rsidRDefault="004E037B">
    <w:pPr>
      <w:pStyle w:val="Header"/>
      <w:jc w:val="center"/>
    </w:pPr>
    <w:r>
      <w:fldChar w:fldCharType="begin"/>
    </w:r>
    <w:r>
      <w:instrText xml:space="preserve"> PAGE   \* MERGEFORMAT </w:instrText>
    </w:r>
    <w:r>
      <w:fldChar w:fldCharType="separate"/>
    </w:r>
    <w:r w:rsidR="00C51E85">
      <w:rPr>
        <w:noProof/>
      </w:rPr>
      <w:t>4</w:t>
    </w:r>
    <w:r>
      <w:rPr>
        <w:noProof/>
      </w:rPr>
      <w:fldChar w:fldCharType="end"/>
    </w:r>
  </w:p>
  <w:p w14:paraId="785724C9" w14:textId="77777777" w:rsidR="004E037B" w:rsidRDefault="004E03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7929"/>
    <w:multiLevelType w:val="hybridMultilevel"/>
    <w:tmpl w:val="ECBEB926"/>
    <w:lvl w:ilvl="0" w:tplc="66BEDF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E26A8"/>
    <w:multiLevelType w:val="hybridMultilevel"/>
    <w:tmpl w:val="9D647C54"/>
    <w:lvl w:ilvl="0" w:tplc="E514D6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C2671"/>
    <w:multiLevelType w:val="hybridMultilevel"/>
    <w:tmpl w:val="9822ED6A"/>
    <w:lvl w:ilvl="0" w:tplc="0A0601D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31D15"/>
    <w:multiLevelType w:val="hybridMultilevel"/>
    <w:tmpl w:val="F8100746"/>
    <w:lvl w:ilvl="0" w:tplc="D70EB9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356396"/>
    <w:multiLevelType w:val="hybridMultilevel"/>
    <w:tmpl w:val="3020CAAA"/>
    <w:lvl w:ilvl="0" w:tplc="149E795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B3E5438"/>
    <w:multiLevelType w:val="hybridMultilevel"/>
    <w:tmpl w:val="5072A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B2E66"/>
    <w:multiLevelType w:val="hybridMultilevel"/>
    <w:tmpl w:val="F932857A"/>
    <w:lvl w:ilvl="0" w:tplc="57A4B3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A0D32"/>
    <w:multiLevelType w:val="hybridMultilevel"/>
    <w:tmpl w:val="01E897CC"/>
    <w:lvl w:ilvl="0" w:tplc="2C48552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0066F"/>
    <w:multiLevelType w:val="hybridMultilevel"/>
    <w:tmpl w:val="E228C16A"/>
    <w:lvl w:ilvl="0" w:tplc="B3A406C0">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34D24"/>
    <w:multiLevelType w:val="hybridMultilevel"/>
    <w:tmpl w:val="3D3ECDD6"/>
    <w:lvl w:ilvl="0" w:tplc="1068BF26">
      <w:start w:val="1"/>
      <w:numFmt w:val="decimal"/>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84616"/>
    <w:multiLevelType w:val="hybridMultilevel"/>
    <w:tmpl w:val="645A28F2"/>
    <w:lvl w:ilvl="0" w:tplc="4E825926">
      <w:start w:val="1"/>
      <w:numFmt w:val="lowerRoman"/>
      <w:lvlText w:val="(%1)"/>
      <w:lvlJc w:val="left"/>
      <w:pPr>
        <w:ind w:left="420" w:hanging="360"/>
      </w:pPr>
      <w:rPr>
        <w:rFonts w:ascii="Times New Roman" w:eastAsia="Calibri" w:hAnsi="Times New Roman" w:cs="Times New Roman"/>
        <w:b w:val="0"/>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AB05FCA"/>
    <w:multiLevelType w:val="hybridMultilevel"/>
    <w:tmpl w:val="F0626230"/>
    <w:lvl w:ilvl="0" w:tplc="2FA42FA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071157E"/>
    <w:multiLevelType w:val="hybridMultilevel"/>
    <w:tmpl w:val="C3F65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B17F0"/>
    <w:multiLevelType w:val="hybridMultilevel"/>
    <w:tmpl w:val="08A8517C"/>
    <w:lvl w:ilvl="0" w:tplc="5D7A971E">
      <w:start w:val="1"/>
      <w:numFmt w:val="bullet"/>
      <w:lvlText w:val="•"/>
      <w:lvlJc w:val="left"/>
      <w:pPr>
        <w:tabs>
          <w:tab w:val="num" w:pos="720"/>
        </w:tabs>
        <w:ind w:left="720" w:hanging="360"/>
      </w:pPr>
      <w:rPr>
        <w:rFonts w:ascii="Arial" w:hAnsi="Arial" w:hint="default"/>
      </w:rPr>
    </w:lvl>
    <w:lvl w:ilvl="1" w:tplc="E7680502" w:tentative="1">
      <w:start w:val="1"/>
      <w:numFmt w:val="bullet"/>
      <w:lvlText w:val="•"/>
      <w:lvlJc w:val="left"/>
      <w:pPr>
        <w:tabs>
          <w:tab w:val="num" w:pos="1440"/>
        </w:tabs>
        <w:ind w:left="1440" w:hanging="360"/>
      </w:pPr>
      <w:rPr>
        <w:rFonts w:ascii="Arial" w:hAnsi="Arial" w:hint="default"/>
      </w:rPr>
    </w:lvl>
    <w:lvl w:ilvl="2" w:tplc="6A70D91C" w:tentative="1">
      <w:start w:val="1"/>
      <w:numFmt w:val="bullet"/>
      <w:lvlText w:val="•"/>
      <w:lvlJc w:val="left"/>
      <w:pPr>
        <w:tabs>
          <w:tab w:val="num" w:pos="2160"/>
        </w:tabs>
        <w:ind w:left="2160" w:hanging="360"/>
      </w:pPr>
      <w:rPr>
        <w:rFonts w:ascii="Arial" w:hAnsi="Arial" w:hint="default"/>
      </w:rPr>
    </w:lvl>
    <w:lvl w:ilvl="3" w:tplc="915057D8" w:tentative="1">
      <w:start w:val="1"/>
      <w:numFmt w:val="bullet"/>
      <w:lvlText w:val="•"/>
      <w:lvlJc w:val="left"/>
      <w:pPr>
        <w:tabs>
          <w:tab w:val="num" w:pos="2880"/>
        </w:tabs>
        <w:ind w:left="2880" w:hanging="360"/>
      </w:pPr>
      <w:rPr>
        <w:rFonts w:ascii="Arial" w:hAnsi="Arial" w:hint="default"/>
      </w:rPr>
    </w:lvl>
    <w:lvl w:ilvl="4" w:tplc="90882D46" w:tentative="1">
      <w:start w:val="1"/>
      <w:numFmt w:val="bullet"/>
      <w:lvlText w:val="•"/>
      <w:lvlJc w:val="left"/>
      <w:pPr>
        <w:tabs>
          <w:tab w:val="num" w:pos="3600"/>
        </w:tabs>
        <w:ind w:left="3600" w:hanging="360"/>
      </w:pPr>
      <w:rPr>
        <w:rFonts w:ascii="Arial" w:hAnsi="Arial" w:hint="default"/>
      </w:rPr>
    </w:lvl>
    <w:lvl w:ilvl="5" w:tplc="26A861FE" w:tentative="1">
      <w:start w:val="1"/>
      <w:numFmt w:val="bullet"/>
      <w:lvlText w:val="•"/>
      <w:lvlJc w:val="left"/>
      <w:pPr>
        <w:tabs>
          <w:tab w:val="num" w:pos="4320"/>
        </w:tabs>
        <w:ind w:left="4320" w:hanging="360"/>
      </w:pPr>
      <w:rPr>
        <w:rFonts w:ascii="Arial" w:hAnsi="Arial" w:hint="default"/>
      </w:rPr>
    </w:lvl>
    <w:lvl w:ilvl="6" w:tplc="DC6256DE" w:tentative="1">
      <w:start w:val="1"/>
      <w:numFmt w:val="bullet"/>
      <w:lvlText w:val="•"/>
      <w:lvlJc w:val="left"/>
      <w:pPr>
        <w:tabs>
          <w:tab w:val="num" w:pos="5040"/>
        </w:tabs>
        <w:ind w:left="5040" w:hanging="360"/>
      </w:pPr>
      <w:rPr>
        <w:rFonts w:ascii="Arial" w:hAnsi="Arial" w:hint="default"/>
      </w:rPr>
    </w:lvl>
    <w:lvl w:ilvl="7" w:tplc="DD629DDA" w:tentative="1">
      <w:start w:val="1"/>
      <w:numFmt w:val="bullet"/>
      <w:lvlText w:val="•"/>
      <w:lvlJc w:val="left"/>
      <w:pPr>
        <w:tabs>
          <w:tab w:val="num" w:pos="5760"/>
        </w:tabs>
        <w:ind w:left="5760" w:hanging="360"/>
      </w:pPr>
      <w:rPr>
        <w:rFonts w:ascii="Arial" w:hAnsi="Arial" w:hint="default"/>
      </w:rPr>
    </w:lvl>
    <w:lvl w:ilvl="8" w:tplc="1DBAF2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EA1746"/>
    <w:multiLevelType w:val="hybridMultilevel"/>
    <w:tmpl w:val="F0626230"/>
    <w:lvl w:ilvl="0" w:tplc="2FA42FA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4AA2EA2"/>
    <w:multiLevelType w:val="hybridMultilevel"/>
    <w:tmpl w:val="F0626230"/>
    <w:lvl w:ilvl="0" w:tplc="2FA42FA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39966E92"/>
    <w:multiLevelType w:val="hybridMultilevel"/>
    <w:tmpl w:val="B31E1F56"/>
    <w:lvl w:ilvl="0" w:tplc="6CB038D0">
      <w:start w:val="1"/>
      <w:numFmt w:val="lowerRoman"/>
      <w:lvlText w:val="(%1)"/>
      <w:lvlJc w:val="right"/>
      <w:pPr>
        <w:ind w:left="780" w:hanging="360"/>
      </w:pPr>
      <w:rPr>
        <w:rFonts w:ascii="Times New Roman" w:eastAsia="Calibri" w:hAnsi="Times New Roman" w:cs="Times New Roman"/>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39C15374"/>
    <w:multiLevelType w:val="hybridMultilevel"/>
    <w:tmpl w:val="F0626230"/>
    <w:lvl w:ilvl="0" w:tplc="2FA42FA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F3A47D1"/>
    <w:multiLevelType w:val="hybridMultilevel"/>
    <w:tmpl w:val="75860C84"/>
    <w:lvl w:ilvl="0" w:tplc="4A4E0AE6">
      <w:start w:val="1"/>
      <w:numFmt w:val="lowerRoman"/>
      <w:lvlText w:val="(%1)"/>
      <w:lvlJc w:val="left"/>
      <w:pPr>
        <w:ind w:left="4973"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4B05D2"/>
    <w:multiLevelType w:val="hybridMultilevel"/>
    <w:tmpl w:val="514ADEDC"/>
    <w:lvl w:ilvl="0" w:tplc="3EF0E0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35CEF"/>
    <w:multiLevelType w:val="hybridMultilevel"/>
    <w:tmpl w:val="D3FAB2A0"/>
    <w:lvl w:ilvl="0" w:tplc="149E795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4E5C749A"/>
    <w:multiLevelType w:val="hybridMultilevel"/>
    <w:tmpl w:val="AE58EAFC"/>
    <w:lvl w:ilvl="0" w:tplc="4E30DC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8768EC"/>
    <w:multiLevelType w:val="hybridMultilevel"/>
    <w:tmpl w:val="763E8F24"/>
    <w:lvl w:ilvl="0" w:tplc="4F1EB836">
      <w:start w:val="1"/>
      <w:numFmt w:val="lowerRoman"/>
      <w:lvlText w:val="(%1)"/>
      <w:lvlJc w:val="left"/>
      <w:pPr>
        <w:ind w:left="780" w:hanging="72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3" w15:restartNumberingAfterBreak="0">
    <w:nsid w:val="53F77D8C"/>
    <w:multiLevelType w:val="hybridMultilevel"/>
    <w:tmpl w:val="7B4A26F0"/>
    <w:lvl w:ilvl="0" w:tplc="18B8C1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E718CC"/>
    <w:multiLevelType w:val="hybridMultilevel"/>
    <w:tmpl w:val="F0626230"/>
    <w:lvl w:ilvl="0" w:tplc="2FA42FA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58F5764D"/>
    <w:multiLevelType w:val="hybridMultilevel"/>
    <w:tmpl w:val="F746C642"/>
    <w:lvl w:ilvl="0" w:tplc="6D3AAC3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6" w15:restartNumberingAfterBreak="0">
    <w:nsid w:val="592C3BDC"/>
    <w:multiLevelType w:val="hybridMultilevel"/>
    <w:tmpl w:val="8DC42C48"/>
    <w:lvl w:ilvl="0" w:tplc="149E795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9333FE7"/>
    <w:multiLevelType w:val="hybridMultilevel"/>
    <w:tmpl w:val="6408249A"/>
    <w:lvl w:ilvl="0" w:tplc="DF602AA4">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59F67575"/>
    <w:multiLevelType w:val="hybridMultilevel"/>
    <w:tmpl w:val="49E65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1E5F47"/>
    <w:multiLevelType w:val="hybridMultilevel"/>
    <w:tmpl w:val="792AE6AA"/>
    <w:lvl w:ilvl="0" w:tplc="9454C900">
      <w:start w:val="1"/>
      <w:numFmt w:val="lowerRoman"/>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EE6B48"/>
    <w:multiLevelType w:val="hybridMultilevel"/>
    <w:tmpl w:val="5450F620"/>
    <w:lvl w:ilvl="0" w:tplc="B7165196">
      <w:start w:val="1"/>
      <w:numFmt w:val="lowerRoman"/>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7B03B6"/>
    <w:multiLevelType w:val="hybridMultilevel"/>
    <w:tmpl w:val="F1D2945C"/>
    <w:lvl w:ilvl="0" w:tplc="23747B00">
      <w:start w:val="1"/>
      <w:numFmt w:val="lowerRoman"/>
      <w:lvlText w:val="(%1)"/>
      <w:lvlJc w:val="righ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D3758"/>
    <w:multiLevelType w:val="hybridMultilevel"/>
    <w:tmpl w:val="CEB23E20"/>
    <w:lvl w:ilvl="0" w:tplc="77CE9B50">
      <w:start w:val="1"/>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3" w15:restartNumberingAfterBreak="0">
    <w:nsid w:val="629A6B91"/>
    <w:multiLevelType w:val="hybridMultilevel"/>
    <w:tmpl w:val="DA88514C"/>
    <w:lvl w:ilvl="0" w:tplc="46A21422">
      <w:start w:val="1"/>
      <w:numFmt w:val="lowerRoman"/>
      <w:lvlText w:val="(%1)"/>
      <w:lvlJc w:val="left"/>
      <w:pPr>
        <w:ind w:left="1140" w:hanging="72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638B2871"/>
    <w:multiLevelType w:val="hybridMultilevel"/>
    <w:tmpl w:val="F30EFCE4"/>
    <w:lvl w:ilvl="0" w:tplc="02885B1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5" w15:restartNumberingAfterBreak="0">
    <w:nsid w:val="69407E87"/>
    <w:multiLevelType w:val="hybridMultilevel"/>
    <w:tmpl w:val="F0626230"/>
    <w:lvl w:ilvl="0" w:tplc="2FA42FA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6" w15:restartNumberingAfterBreak="0">
    <w:nsid w:val="6F9164BF"/>
    <w:multiLevelType w:val="hybridMultilevel"/>
    <w:tmpl w:val="9EE2D3A0"/>
    <w:lvl w:ilvl="0" w:tplc="CFBE59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CA5E14"/>
    <w:multiLevelType w:val="hybridMultilevel"/>
    <w:tmpl w:val="F0626230"/>
    <w:lvl w:ilvl="0" w:tplc="2FA42FA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15:restartNumberingAfterBreak="0">
    <w:nsid w:val="730C580E"/>
    <w:multiLevelType w:val="hybridMultilevel"/>
    <w:tmpl w:val="9822ED6A"/>
    <w:lvl w:ilvl="0" w:tplc="0A0601D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7C41E1"/>
    <w:multiLevelType w:val="hybridMultilevel"/>
    <w:tmpl w:val="F0626230"/>
    <w:lvl w:ilvl="0" w:tplc="2FA42FAC">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7"/>
  </w:num>
  <w:num w:numId="2">
    <w:abstractNumId w:val="30"/>
  </w:num>
  <w:num w:numId="3">
    <w:abstractNumId w:val="1"/>
  </w:num>
  <w:num w:numId="4">
    <w:abstractNumId w:val="12"/>
  </w:num>
  <w:num w:numId="5">
    <w:abstractNumId w:val="17"/>
  </w:num>
  <w:num w:numId="6">
    <w:abstractNumId w:val="18"/>
  </w:num>
  <w:num w:numId="7">
    <w:abstractNumId w:val="26"/>
  </w:num>
  <w:num w:numId="8">
    <w:abstractNumId w:val="8"/>
  </w:num>
  <w:num w:numId="9">
    <w:abstractNumId w:val="20"/>
  </w:num>
  <w:num w:numId="10">
    <w:abstractNumId w:val="4"/>
  </w:num>
  <w:num w:numId="11">
    <w:abstractNumId w:val="24"/>
  </w:num>
  <w:num w:numId="12">
    <w:abstractNumId w:val="19"/>
  </w:num>
  <w:num w:numId="13">
    <w:abstractNumId w:val="23"/>
  </w:num>
  <w:num w:numId="14">
    <w:abstractNumId w:val="35"/>
  </w:num>
  <w:num w:numId="15">
    <w:abstractNumId w:val="3"/>
  </w:num>
  <w:num w:numId="16">
    <w:abstractNumId w:val="15"/>
  </w:num>
  <w:num w:numId="17">
    <w:abstractNumId w:val="16"/>
  </w:num>
  <w:num w:numId="18">
    <w:abstractNumId w:val="28"/>
  </w:num>
  <w:num w:numId="19">
    <w:abstractNumId w:val="29"/>
  </w:num>
  <w:num w:numId="20">
    <w:abstractNumId w:val="31"/>
  </w:num>
  <w:num w:numId="21">
    <w:abstractNumId w:val="36"/>
  </w:num>
  <w:num w:numId="22">
    <w:abstractNumId w:val="6"/>
  </w:num>
  <w:num w:numId="23">
    <w:abstractNumId w:val="21"/>
  </w:num>
  <w:num w:numId="24">
    <w:abstractNumId w:val="10"/>
  </w:num>
  <w:num w:numId="25">
    <w:abstractNumId w:val="9"/>
  </w:num>
  <w:num w:numId="26">
    <w:abstractNumId w:val="33"/>
  </w:num>
  <w:num w:numId="27">
    <w:abstractNumId w:val="38"/>
  </w:num>
  <w:num w:numId="28">
    <w:abstractNumId w:val="25"/>
  </w:num>
  <w:num w:numId="29">
    <w:abstractNumId w:val="22"/>
  </w:num>
  <w:num w:numId="30">
    <w:abstractNumId w:val="34"/>
  </w:num>
  <w:num w:numId="31">
    <w:abstractNumId w:val="13"/>
  </w:num>
  <w:num w:numId="32">
    <w:abstractNumId w:val="0"/>
  </w:num>
  <w:num w:numId="33">
    <w:abstractNumId w:val="32"/>
  </w:num>
  <w:num w:numId="34">
    <w:abstractNumId w:val="2"/>
  </w:num>
  <w:num w:numId="35">
    <w:abstractNumId w:val="27"/>
  </w:num>
  <w:num w:numId="36">
    <w:abstractNumId w:val="37"/>
  </w:num>
  <w:num w:numId="37">
    <w:abstractNumId w:val="11"/>
  </w:num>
  <w:num w:numId="38">
    <w:abstractNumId w:val="14"/>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C48"/>
    <w:rsid w:val="00003EE5"/>
    <w:rsid w:val="00004955"/>
    <w:rsid w:val="0001492A"/>
    <w:rsid w:val="00021B48"/>
    <w:rsid w:val="0002217E"/>
    <w:rsid w:val="00022656"/>
    <w:rsid w:val="000239FA"/>
    <w:rsid w:val="00023EDA"/>
    <w:rsid w:val="0002550D"/>
    <w:rsid w:val="00030EBE"/>
    <w:rsid w:val="0003258E"/>
    <w:rsid w:val="000330FE"/>
    <w:rsid w:val="000360D1"/>
    <w:rsid w:val="00037E1D"/>
    <w:rsid w:val="000420CF"/>
    <w:rsid w:val="00055D9A"/>
    <w:rsid w:val="00057575"/>
    <w:rsid w:val="00060210"/>
    <w:rsid w:val="00063F3E"/>
    <w:rsid w:val="00065D06"/>
    <w:rsid w:val="00067D97"/>
    <w:rsid w:val="0007112A"/>
    <w:rsid w:val="00073AE9"/>
    <w:rsid w:val="00076DE9"/>
    <w:rsid w:val="000779AD"/>
    <w:rsid w:val="00082CAA"/>
    <w:rsid w:val="00084A91"/>
    <w:rsid w:val="0008503E"/>
    <w:rsid w:val="0008550F"/>
    <w:rsid w:val="000856B5"/>
    <w:rsid w:val="00085C0A"/>
    <w:rsid w:val="00086D95"/>
    <w:rsid w:val="00091F14"/>
    <w:rsid w:val="00093C64"/>
    <w:rsid w:val="00095F61"/>
    <w:rsid w:val="000964F7"/>
    <w:rsid w:val="000975B5"/>
    <w:rsid w:val="000A1E3F"/>
    <w:rsid w:val="000A30D4"/>
    <w:rsid w:val="000A3AFF"/>
    <w:rsid w:val="000A3D6A"/>
    <w:rsid w:val="000A40EA"/>
    <w:rsid w:val="000B212E"/>
    <w:rsid w:val="000B6FE9"/>
    <w:rsid w:val="000C1579"/>
    <w:rsid w:val="000C32DD"/>
    <w:rsid w:val="000C7817"/>
    <w:rsid w:val="000C7C14"/>
    <w:rsid w:val="000D011B"/>
    <w:rsid w:val="000D0A23"/>
    <w:rsid w:val="000D5CC4"/>
    <w:rsid w:val="000E3B2C"/>
    <w:rsid w:val="000E6248"/>
    <w:rsid w:val="000E752B"/>
    <w:rsid w:val="000F32F3"/>
    <w:rsid w:val="000F65B8"/>
    <w:rsid w:val="000F6A55"/>
    <w:rsid w:val="00103267"/>
    <w:rsid w:val="00104E7C"/>
    <w:rsid w:val="00105DE5"/>
    <w:rsid w:val="001102D9"/>
    <w:rsid w:val="00115A5A"/>
    <w:rsid w:val="0012015F"/>
    <w:rsid w:val="0012168A"/>
    <w:rsid w:val="00126ACD"/>
    <w:rsid w:val="0013172C"/>
    <w:rsid w:val="00132C72"/>
    <w:rsid w:val="00132F13"/>
    <w:rsid w:val="0014120A"/>
    <w:rsid w:val="0014329A"/>
    <w:rsid w:val="00143B31"/>
    <w:rsid w:val="00144AE6"/>
    <w:rsid w:val="00144DFD"/>
    <w:rsid w:val="00145299"/>
    <w:rsid w:val="001532CC"/>
    <w:rsid w:val="001533E1"/>
    <w:rsid w:val="00153F4D"/>
    <w:rsid w:val="00156D4B"/>
    <w:rsid w:val="001577CE"/>
    <w:rsid w:val="00157829"/>
    <w:rsid w:val="00157B75"/>
    <w:rsid w:val="00162BC7"/>
    <w:rsid w:val="0016350D"/>
    <w:rsid w:val="001657F5"/>
    <w:rsid w:val="00170E6B"/>
    <w:rsid w:val="00183600"/>
    <w:rsid w:val="001839F4"/>
    <w:rsid w:val="00185260"/>
    <w:rsid w:val="001872C6"/>
    <w:rsid w:val="0019059E"/>
    <w:rsid w:val="00193F0A"/>
    <w:rsid w:val="00194CFB"/>
    <w:rsid w:val="0019672E"/>
    <w:rsid w:val="001A11BE"/>
    <w:rsid w:val="001B0AF3"/>
    <w:rsid w:val="001B112C"/>
    <w:rsid w:val="001B279D"/>
    <w:rsid w:val="001B40EA"/>
    <w:rsid w:val="001C157A"/>
    <w:rsid w:val="001C62F1"/>
    <w:rsid w:val="001C6F9E"/>
    <w:rsid w:val="001D0E27"/>
    <w:rsid w:val="001D1290"/>
    <w:rsid w:val="001E0A4D"/>
    <w:rsid w:val="001F29EE"/>
    <w:rsid w:val="00201BAF"/>
    <w:rsid w:val="00202122"/>
    <w:rsid w:val="00204CE2"/>
    <w:rsid w:val="0021009F"/>
    <w:rsid w:val="00212A48"/>
    <w:rsid w:val="002208C1"/>
    <w:rsid w:val="0022182D"/>
    <w:rsid w:val="0022311E"/>
    <w:rsid w:val="002238A6"/>
    <w:rsid w:val="00224DBB"/>
    <w:rsid w:val="00224F16"/>
    <w:rsid w:val="00226B82"/>
    <w:rsid w:val="00232295"/>
    <w:rsid w:val="002405EA"/>
    <w:rsid w:val="002405FD"/>
    <w:rsid w:val="0024318B"/>
    <w:rsid w:val="00245696"/>
    <w:rsid w:val="00245854"/>
    <w:rsid w:val="00251075"/>
    <w:rsid w:val="0025463C"/>
    <w:rsid w:val="0025540F"/>
    <w:rsid w:val="00257DE1"/>
    <w:rsid w:val="002645BB"/>
    <w:rsid w:val="00271CD2"/>
    <w:rsid w:val="00272276"/>
    <w:rsid w:val="002762AF"/>
    <w:rsid w:val="0028086F"/>
    <w:rsid w:val="00292CED"/>
    <w:rsid w:val="00294C1A"/>
    <w:rsid w:val="00296A25"/>
    <w:rsid w:val="002A2930"/>
    <w:rsid w:val="002B183A"/>
    <w:rsid w:val="002B1857"/>
    <w:rsid w:val="002B5AF0"/>
    <w:rsid w:val="002C0EB2"/>
    <w:rsid w:val="002C655E"/>
    <w:rsid w:val="002D3CC8"/>
    <w:rsid w:val="002D44DE"/>
    <w:rsid w:val="002D5A81"/>
    <w:rsid w:val="002E2382"/>
    <w:rsid w:val="002E6AE1"/>
    <w:rsid w:val="002F00B8"/>
    <w:rsid w:val="002F0570"/>
    <w:rsid w:val="002F12A6"/>
    <w:rsid w:val="002F40B0"/>
    <w:rsid w:val="002F41AD"/>
    <w:rsid w:val="002F4E6F"/>
    <w:rsid w:val="002F5236"/>
    <w:rsid w:val="002F7BDD"/>
    <w:rsid w:val="00301EE8"/>
    <w:rsid w:val="00305AEA"/>
    <w:rsid w:val="00307AF0"/>
    <w:rsid w:val="0031247C"/>
    <w:rsid w:val="0031761B"/>
    <w:rsid w:val="00320409"/>
    <w:rsid w:val="00321010"/>
    <w:rsid w:val="003247C5"/>
    <w:rsid w:val="0033229C"/>
    <w:rsid w:val="00334230"/>
    <w:rsid w:val="003346E4"/>
    <w:rsid w:val="00335F85"/>
    <w:rsid w:val="0033670D"/>
    <w:rsid w:val="00364EA2"/>
    <w:rsid w:val="00365D81"/>
    <w:rsid w:val="00366168"/>
    <w:rsid w:val="00366EA3"/>
    <w:rsid w:val="00373918"/>
    <w:rsid w:val="0038090E"/>
    <w:rsid w:val="00381ACB"/>
    <w:rsid w:val="003856AF"/>
    <w:rsid w:val="0039112F"/>
    <w:rsid w:val="00391DC0"/>
    <w:rsid w:val="003944AE"/>
    <w:rsid w:val="00396353"/>
    <w:rsid w:val="003A15A0"/>
    <w:rsid w:val="003A326D"/>
    <w:rsid w:val="003B2B6E"/>
    <w:rsid w:val="003B5CA9"/>
    <w:rsid w:val="003B7144"/>
    <w:rsid w:val="003B7262"/>
    <w:rsid w:val="003C231C"/>
    <w:rsid w:val="003C6664"/>
    <w:rsid w:val="003C6718"/>
    <w:rsid w:val="003D0D8B"/>
    <w:rsid w:val="003D22F4"/>
    <w:rsid w:val="003D318B"/>
    <w:rsid w:val="003D3ABA"/>
    <w:rsid w:val="003D4CB1"/>
    <w:rsid w:val="003D4CC6"/>
    <w:rsid w:val="003D6984"/>
    <w:rsid w:val="003D7BBE"/>
    <w:rsid w:val="003E02F0"/>
    <w:rsid w:val="003E4BE9"/>
    <w:rsid w:val="003E5443"/>
    <w:rsid w:val="003E6127"/>
    <w:rsid w:val="003E689F"/>
    <w:rsid w:val="003F0460"/>
    <w:rsid w:val="003F1AC6"/>
    <w:rsid w:val="003F2AE1"/>
    <w:rsid w:val="003F6614"/>
    <w:rsid w:val="0040798C"/>
    <w:rsid w:val="00410493"/>
    <w:rsid w:val="00410E0B"/>
    <w:rsid w:val="004146CC"/>
    <w:rsid w:val="004162C5"/>
    <w:rsid w:val="00416634"/>
    <w:rsid w:val="00416A76"/>
    <w:rsid w:val="004226B7"/>
    <w:rsid w:val="00431267"/>
    <w:rsid w:val="004341D1"/>
    <w:rsid w:val="00437D23"/>
    <w:rsid w:val="00440444"/>
    <w:rsid w:val="00444358"/>
    <w:rsid w:val="0044796D"/>
    <w:rsid w:val="00451F76"/>
    <w:rsid w:val="004524D3"/>
    <w:rsid w:val="00454126"/>
    <w:rsid w:val="004557C3"/>
    <w:rsid w:val="00456F3C"/>
    <w:rsid w:val="00457726"/>
    <w:rsid w:val="00461ADB"/>
    <w:rsid w:val="0046370B"/>
    <w:rsid w:val="0046496C"/>
    <w:rsid w:val="00467608"/>
    <w:rsid w:val="00471B40"/>
    <w:rsid w:val="0047351B"/>
    <w:rsid w:val="0047509C"/>
    <w:rsid w:val="004839EC"/>
    <w:rsid w:val="004A46A8"/>
    <w:rsid w:val="004B0E56"/>
    <w:rsid w:val="004B5F26"/>
    <w:rsid w:val="004C1734"/>
    <w:rsid w:val="004D32CD"/>
    <w:rsid w:val="004E037B"/>
    <w:rsid w:val="004E0AE8"/>
    <w:rsid w:val="004E0F17"/>
    <w:rsid w:val="004E35D1"/>
    <w:rsid w:val="004E5BA7"/>
    <w:rsid w:val="004E685F"/>
    <w:rsid w:val="004E7E3F"/>
    <w:rsid w:val="004F2F63"/>
    <w:rsid w:val="004F66FF"/>
    <w:rsid w:val="00511A0F"/>
    <w:rsid w:val="00511B90"/>
    <w:rsid w:val="00511F1E"/>
    <w:rsid w:val="00512480"/>
    <w:rsid w:val="00516C33"/>
    <w:rsid w:val="0052054B"/>
    <w:rsid w:val="005217BE"/>
    <w:rsid w:val="00523FA2"/>
    <w:rsid w:val="00530764"/>
    <w:rsid w:val="00531873"/>
    <w:rsid w:val="005326D4"/>
    <w:rsid w:val="00535EB9"/>
    <w:rsid w:val="00536533"/>
    <w:rsid w:val="00536C4D"/>
    <w:rsid w:val="005376B0"/>
    <w:rsid w:val="005425B5"/>
    <w:rsid w:val="00544353"/>
    <w:rsid w:val="00550049"/>
    <w:rsid w:val="00552888"/>
    <w:rsid w:val="005553E5"/>
    <w:rsid w:val="005630EE"/>
    <w:rsid w:val="0056348C"/>
    <w:rsid w:val="00575975"/>
    <w:rsid w:val="0057688B"/>
    <w:rsid w:val="00583E42"/>
    <w:rsid w:val="005848B5"/>
    <w:rsid w:val="00590026"/>
    <w:rsid w:val="00591F65"/>
    <w:rsid w:val="00592C56"/>
    <w:rsid w:val="00593524"/>
    <w:rsid w:val="00596CD8"/>
    <w:rsid w:val="005A0650"/>
    <w:rsid w:val="005B259E"/>
    <w:rsid w:val="005C17C6"/>
    <w:rsid w:val="005C302D"/>
    <w:rsid w:val="005C5B0D"/>
    <w:rsid w:val="005C5B5F"/>
    <w:rsid w:val="005C782A"/>
    <w:rsid w:val="005E0354"/>
    <w:rsid w:val="005E2E98"/>
    <w:rsid w:val="005E47FA"/>
    <w:rsid w:val="005E5C7F"/>
    <w:rsid w:val="005E653A"/>
    <w:rsid w:val="005F1465"/>
    <w:rsid w:val="005F438E"/>
    <w:rsid w:val="005F71DD"/>
    <w:rsid w:val="005F7F9C"/>
    <w:rsid w:val="00601E9C"/>
    <w:rsid w:val="0060390E"/>
    <w:rsid w:val="0060445B"/>
    <w:rsid w:val="006118CA"/>
    <w:rsid w:val="006133A3"/>
    <w:rsid w:val="00615F6C"/>
    <w:rsid w:val="00616F96"/>
    <w:rsid w:val="00617149"/>
    <w:rsid w:val="00617A9F"/>
    <w:rsid w:val="00621F6D"/>
    <w:rsid w:val="006250F7"/>
    <w:rsid w:val="00626CF9"/>
    <w:rsid w:val="00632171"/>
    <w:rsid w:val="00643B0D"/>
    <w:rsid w:val="00647753"/>
    <w:rsid w:val="00647766"/>
    <w:rsid w:val="0064784B"/>
    <w:rsid w:val="0065018A"/>
    <w:rsid w:val="00651C4B"/>
    <w:rsid w:val="0066305A"/>
    <w:rsid w:val="00665B6D"/>
    <w:rsid w:val="0067095C"/>
    <w:rsid w:val="00680D80"/>
    <w:rsid w:val="006814FA"/>
    <w:rsid w:val="00683C54"/>
    <w:rsid w:val="00685C07"/>
    <w:rsid w:val="0068716C"/>
    <w:rsid w:val="0068778E"/>
    <w:rsid w:val="00691488"/>
    <w:rsid w:val="006942DA"/>
    <w:rsid w:val="006946CE"/>
    <w:rsid w:val="0069485A"/>
    <w:rsid w:val="006A18EE"/>
    <w:rsid w:val="006B18E2"/>
    <w:rsid w:val="006B52E9"/>
    <w:rsid w:val="006B55D0"/>
    <w:rsid w:val="006B78FF"/>
    <w:rsid w:val="006C053B"/>
    <w:rsid w:val="006C2B45"/>
    <w:rsid w:val="006C5CFB"/>
    <w:rsid w:val="006C6398"/>
    <w:rsid w:val="006D1C28"/>
    <w:rsid w:val="006D5C5D"/>
    <w:rsid w:val="006D754B"/>
    <w:rsid w:val="006E1722"/>
    <w:rsid w:val="006E31F1"/>
    <w:rsid w:val="006F3170"/>
    <w:rsid w:val="006F3319"/>
    <w:rsid w:val="006F4958"/>
    <w:rsid w:val="006F4B32"/>
    <w:rsid w:val="006F53EB"/>
    <w:rsid w:val="00701982"/>
    <w:rsid w:val="00701FE5"/>
    <w:rsid w:val="00704433"/>
    <w:rsid w:val="00706E9F"/>
    <w:rsid w:val="007101D2"/>
    <w:rsid w:val="007122A3"/>
    <w:rsid w:val="0071506D"/>
    <w:rsid w:val="00715EF6"/>
    <w:rsid w:val="00725138"/>
    <w:rsid w:val="007425D9"/>
    <w:rsid w:val="0074299A"/>
    <w:rsid w:val="0074393E"/>
    <w:rsid w:val="00745292"/>
    <w:rsid w:val="0074748C"/>
    <w:rsid w:val="007537AE"/>
    <w:rsid w:val="00760D80"/>
    <w:rsid w:val="00764A01"/>
    <w:rsid w:val="007664F8"/>
    <w:rsid w:val="00770010"/>
    <w:rsid w:val="00772831"/>
    <w:rsid w:val="00775DCD"/>
    <w:rsid w:val="00781110"/>
    <w:rsid w:val="00781278"/>
    <w:rsid w:val="00781F79"/>
    <w:rsid w:val="0078381C"/>
    <w:rsid w:val="007842BD"/>
    <w:rsid w:val="007864E6"/>
    <w:rsid w:val="00786DBC"/>
    <w:rsid w:val="00787A76"/>
    <w:rsid w:val="00791255"/>
    <w:rsid w:val="007955E2"/>
    <w:rsid w:val="00797037"/>
    <w:rsid w:val="007A1859"/>
    <w:rsid w:val="007A2AD3"/>
    <w:rsid w:val="007A3713"/>
    <w:rsid w:val="007A6F9D"/>
    <w:rsid w:val="007B59D2"/>
    <w:rsid w:val="007B653B"/>
    <w:rsid w:val="007B6E80"/>
    <w:rsid w:val="007B7DE7"/>
    <w:rsid w:val="007C0720"/>
    <w:rsid w:val="007C4208"/>
    <w:rsid w:val="007C4531"/>
    <w:rsid w:val="007D1422"/>
    <w:rsid w:val="007D2F00"/>
    <w:rsid w:val="007D6B20"/>
    <w:rsid w:val="007D7E02"/>
    <w:rsid w:val="007E252A"/>
    <w:rsid w:val="007E4924"/>
    <w:rsid w:val="007E62E9"/>
    <w:rsid w:val="007F3BD8"/>
    <w:rsid w:val="007F3DE3"/>
    <w:rsid w:val="007F3E0A"/>
    <w:rsid w:val="007F69FE"/>
    <w:rsid w:val="007F7940"/>
    <w:rsid w:val="008030C4"/>
    <w:rsid w:val="0080508C"/>
    <w:rsid w:val="0080590C"/>
    <w:rsid w:val="008059C0"/>
    <w:rsid w:val="00812083"/>
    <w:rsid w:val="008134D1"/>
    <w:rsid w:val="00815946"/>
    <w:rsid w:val="00816242"/>
    <w:rsid w:val="008243CE"/>
    <w:rsid w:val="00824A7A"/>
    <w:rsid w:val="00825910"/>
    <w:rsid w:val="00830A78"/>
    <w:rsid w:val="00832E8A"/>
    <w:rsid w:val="00833370"/>
    <w:rsid w:val="008421FE"/>
    <w:rsid w:val="00843FE7"/>
    <w:rsid w:val="00844801"/>
    <w:rsid w:val="00852B0B"/>
    <w:rsid w:val="00854FAC"/>
    <w:rsid w:val="00856E36"/>
    <w:rsid w:val="00857920"/>
    <w:rsid w:val="00861B79"/>
    <w:rsid w:val="008676EC"/>
    <w:rsid w:val="00873C1B"/>
    <w:rsid w:val="0087765A"/>
    <w:rsid w:val="008826A4"/>
    <w:rsid w:val="0088421B"/>
    <w:rsid w:val="00885CB7"/>
    <w:rsid w:val="00886E7C"/>
    <w:rsid w:val="00893283"/>
    <w:rsid w:val="008A15B5"/>
    <w:rsid w:val="008A15BD"/>
    <w:rsid w:val="008A1B28"/>
    <w:rsid w:val="008A1ECD"/>
    <w:rsid w:val="008A55DC"/>
    <w:rsid w:val="008A5B33"/>
    <w:rsid w:val="008A5DE3"/>
    <w:rsid w:val="008B3CB1"/>
    <w:rsid w:val="008B4E42"/>
    <w:rsid w:val="008B7F12"/>
    <w:rsid w:val="008C087A"/>
    <w:rsid w:val="008C1543"/>
    <w:rsid w:val="008C1814"/>
    <w:rsid w:val="008C3229"/>
    <w:rsid w:val="008D107E"/>
    <w:rsid w:val="008D1811"/>
    <w:rsid w:val="008D656F"/>
    <w:rsid w:val="008D6CF2"/>
    <w:rsid w:val="008E0E00"/>
    <w:rsid w:val="008E50FE"/>
    <w:rsid w:val="008F1BA3"/>
    <w:rsid w:val="008F35BA"/>
    <w:rsid w:val="00900F6C"/>
    <w:rsid w:val="00902395"/>
    <w:rsid w:val="00907757"/>
    <w:rsid w:val="00912D9D"/>
    <w:rsid w:val="00920E52"/>
    <w:rsid w:val="009227AE"/>
    <w:rsid w:val="009234ED"/>
    <w:rsid w:val="00933905"/>
    <w:rsid w:val="009369EC"/>
    <w:rsid w:val="00936E81"/>
    <w:rsid w:val="00942B47"/>
    <w:rsid w:val="0094483A"/>
    <w:rsid w:val="009461F0"/>
    <w:rsid w:val="00947691"/>
    <w:rsid w:val="00947983"/>
    <w:rsid w:val="00947B2E"/>
    <w:rsid w:val="00950D56"/>
    <w:rsid w:val="009526B3"/>
    <w:rsid w:val="009542ED"/>
    <w:rsid w:val="00954F8A"/>
    <w:rsid w:val="00955ACD"/>
    <w:rsid w:val="00957115"/>
    <w:rsid w:val="0096101A"/>
    <w:rsid w:val="0096272A"/>
    <w:rsid w:val="00964BB7"/>
    <w:rsid w:val="009664AC"/>
    <w:rsid w:val="00966D34"/>
    <w:rsid w:val="0097049A"/>
    <w:rsid w:val="009759F0"/>
    <w:rsid w:val="00981C2E"/>
    <w:rsid w:val="00983BD3"/>
    <w:rsid w:val="00984B46"/>
    <w:rsid w:val="00990319"/>
    <w:rsid w:val="0099088E"/>
    <w:rsid w:val="009952D0"/>
    <w:rsid w:val="00996FA2"/>
    <w:rsid w:val="0099738E"/>
    <w:rsid w:val="009A52A1"/>
    <w:rsid w:val="009A546B"/>
    <w:rsid w:val="009B18AE"/>
    <w:rsid w:val="009B2303"/>
    <w:rsid w:val="009B2F2B"/>
    <w:rsid w:val="009B34C7"/>
    <w:rsid w:val="009B3E44"/>
    <w:rsid w:val="009B7849"/>
    <w:rsid w:val="009C32B6"/>
    <w:rsid w:val="009C5C72"/>
    <w:rsid w:val="009D5177"/>
    <w:rsid w:val="009D75CC"/>
    <w:rsid w:val="009E1C46"/>
    <w:rsid w:val="009E2E6A"/>
    <w:rsid w:val="009E3566"/>
    <w:rsid w:val="009E4F8C"/>
    <w:rsid w:val="009E732A"/>
    <w:rsid w:val="009E73F5"/>
    <w:rsid w:val="009F2BE2"/>
    <w:rsid w:val="00A01014"/>
    <w:rsid w:val="00A0180B"/>
    <w:rsid w:val="00A02383"/>
    <w:rsid w:val="00A028A2"/>
    <w:rsid w:val="00A0406E"/>
    <w:rsid w:val="00A058B5"/>
    <w:rsid w:val="00A1078D"/>
    <w:rsid w:val="00A10B33"/>
    <w:rsid w:val="00A1325C"/>
    <w:rsid w:val="00A13F3C"/>
    <w:rsid w:val="00A14137"/>
    <w:rsid w:val="00A15758"/>
    <w:rsid w:val="00A177D8"/>
    <w:rsid w:val="00A23A7C"/>
    <w:rsid w:val="00A279B8"/>
    <w:rsid w:val="00A30F07"/>
    <w:rsid w:val="00A31F82"/>
    <w:rsid w:val="00A34E55"/>
    <w:rsid w:val="00A35C54"/>
    <w:rsid w:val="00A36529"/>
    <w:rsid w:val="00A40F19"/>
    <w:rsid w:val="00A4156A"/>
    <w:rsid w:val="00A418DF"/>
    <w:rsid w:val="00A42997"/>
    <w:rsid w:val="00A44486"/>
    <w:rsid w:val="00A52C5B"/>
    <w:rsid w:val="00A53C00"/>
    <w:rsid w:val="00A56B81"/>
    <w:rsid w:val="00A60616"/>
    <w:rsid w:val="00A64F7D"/>
    <w:rsid w:val="00A65833"/>
    <w:rsid w:val="00A74273"/>
    <w:rsid w:val="00A75EA8"/>
    <w:rsid w:val="00A75F20"/>
    <w:rsid w:val="00A8081D"/>
    <w:rsid w:val="00A81216"/>
    <w:rsid w:val="00A82746"/>
    <w:rsid w:val="00A844B7"/>
    <w:rsid w:val="00A9088D"/>
    <w:rsid w:val="00A93306"/>
    <w:rsid w:val="00A95984"/>
    <w:rsid w:val="00AA143E"/>
    <w:rsid w:val="00AA3A99"/>
    <w:rsid w:val="00AB2255"/>
    <w:rsid w:val="00AB4F3A"/>
    <w:rsid w:val="00AC47C3"/>
    <w:rsid w:val="00AC5890"/>
    <w:rsid w:val="00AC72AD"/>
    <w:rsid w:val="00AD0BB6"/>
    <w:rsid w:val="00AD6274"/>
    <w:rsid w:val="00AE2AEB"/>
    <w:rsid w:val="00AE3D88"/>
    <w:rsid w:val="00AE5AE9"/>
    <w:rsid w:val="00AE6F30"/>
    <w:rsid w:val="00AE77FD"/>
    <w:rsid w:val="00AF6E58"/>
    <w:rsid w:val="00B0780E"/>
    <w:rsid w:val="00B11B6D"/>
    <w:rsid w:val="00B14A38"/>
    <w:rsid w:val="00B21A1F"/>
    <w:rsid w:val="00B22A18"/>
    <w:rsid w:val="00B27A50"/>
    <w:rsid w:val="00B31692"/>
    <w:rsid w:val="00B3192D"/>
    <w:rsid w:val="00B32073"/>
    <w:rsid w:val="00B34515"/>
    <w:rsid w:val="00B35112"/>
    <w:rsid w:val="00B3669D"/>
    <w:rsid w:val="00B371A5"/>
    <w:rsid w:val="00B402D0"/>
    <w:rsid w:val="00B41327"/>
    <w:rsid w:val="00B413F3"/>
    <w:rsid w:val="00B4558A"/>
    <w:rsid w:val="00B46CF8"/>
    <w:rsid w:val="00B51C5A"/>
    <w:rsid w:val="00B53305"/>
    <w:rsid w:val="00B54E06"/>
    <w:rsid w:val="00B55C3A"/>
    <w:rsid w:val="00B560AD"/>
    <w:rsid w:val="00B60856"/>
    <w:rsid w:val="00B65BBE"/>
    <w:rsid w:val="00B71B4B"/>
    <w:rsid w:val="00B77C17"/>
    <w:rsid w:val="00B84119"/>
    <w:rsid w:val="00B8443A"/>
    <w:rsid w:val="00B8480D"/>
    <w:rsid w:val="00B85EA5"/>
    <w:rsid w:val="00B87F0B"/>
    <w:rsid w:val="00B93804"/>
    <w:rsid w:val="00B971FE"/>
    <w:rsid w:val="00BA2A64"/>
    <w:rsid w:val="00BA2FB9"/>
    <w:rsid w:val="00BB1A03"/>
    <w:rsid w:val="00BB2FB5"/>
    <w:rsid w:val="00BB32D4"/>
    <w:rsid w:val="00BB4842"/>
    <w:rsid w:val="00BB4F21"/>
    <w:rsid w:val="00BB58FD"/>
    <w:rsid w:val="00BC2DAC"/>
    <w:rsid w:val="00BC5D3A"/>
    <w:rsid w:val="00BC73D9"/>
    <w:rsid w:val="00BD0572"/>
    <w:rsid w:val="00BD19C6"/>
    <w:rsid w:val="00BD1F1F"/>
    <w:rsid w:val="00BD2580"/>
    <w:rsid w:val="00BD3279"/>
    <w:rsid w:val="00BD3CFA"/>
    <w:rsid w:val="00BD72A4"/>
    <w:rsid w:val="00BE1830"/>
    <w:rsid w:val="00BE2DB3"/>
    <w:rsid w:val="00BE5323"/>
    <w:rsid w:val="00C009B7"/>
    <w:rsid w:val="00C016C9"/>
    <w:rsid w:val="00C03CFB"/>
    <w:rsid w:val="00C05EBE"/>
    <w:rsid w:val="00C06E8E"/>
    <w:rsid w:val="00C1106D"/>
    <w:rsid w:val="00C1308F"/>
    <w:rsid w:val="00C2602F"/>
    <w:rsid w:val="00C30D76"/>
    <w:rsid w:val="00C3266B"/>
    <w:rsid w:val="00C32E28"/>
    <w:rsid w:val="00C33B38"/>
    <w:rsid w:val="00C4224B"/>
    <w:rsid w:val="00C45D55"/>
    <w:rsid w:val="00C46BC5"/>
    <w:rsid w:val="00C51E85"/>
    <w:rsid w:val="00C53C1B"/>
    <w:rsid w:val="00C558C9"/>
    <w:rsid w:val="00C57091"/>
    <w:rsid w:val="00C616C7"/>
    <w:rsid w:val="00C62CB1"/>
    <w:rsid w:val="00C660C2"/>
    <w:rsid w:val="00C66B84"/>
    <w:rsid w:val="00C72421"/>
    <w:rsid w:val="00C75808"/>
    <w:rsid w:val="00C77822"/>
    <w:rsid w:val="00C81189"/>
    <w:rsid w:val="00C907D9"/>
    <w:rsid w:val="00C92E13"/>
    <w:rsid w:val="00C94FD6"/>
    <w:rsid w:val="00C97E0A"/>
    <w:rsid w:val="00CA2924"/>
    <w:rsid w:val="00CA4673"/>
    <w:rsid w:val="00CA6114"/>
    <w:rsid w:val="00CB2B16"/>
    <w:rsid w:val="00CB59F6"/>
    <w:rsid w:val="00CB6671"/>
    <w:rsid w:val="00CB75F2"/>
    <w:rsid w:val="00CB7A8D"/>
    <w:rsid w:val="00CC0DD8"/>
    <w:rsid w:val="00CC5EDC"/>
    <w:rsid w:val="00CD1ED1"/>
    <w:rsid w:val="00CD3EAA"/>
    <w:rsid w:val="00CD46DC"/>
    <w:rsid w:val="00CD6461"/>
    <w:rsid w:val="00CD6980"/>
    <w:rsid w:val="00CE50BC"/>
    <w:rsid w:val="00CE5843"/>
    <w:rsid w:val="00CF4A50"/>
    <w:rsid w:val="00CF787D"/>
    <w:rsid w:val="00CF7BB3"/>
    <w:rsid w:val="00D020DC"/>
    <w:rsid w:val="00D05AD0"/>
    <w:rsid w:val="00D062BA"/>
    <w:rsid w:val="00D23BC9"/>
    <w:rsid w:val="00D259A6"/>
    <w:rsid w:val="00D2707B"/>
    <w:rsid w:val="00D27DA8"/>
    <w:rsid w:val="00D36DB9"/>
    <w:rsid w:val="00D41948"/>
    <w:rsid w:val="00D42BA0"/>
    <w:rsid w:val="00D509A3"/>
    <w:rsid w:val="00D50D83"/>
    <w:rsid w:val="00D51069"/>
    <w:rsid w:val="00D5344C"/>
    <w:rsid w:val="00D57864"/>
    <w:rsid w:val="00D6308D"/>
    <w:rsid w:val="00D67D5D"/>
    <w:rsid w:val="00D67F01"/>
    <w:rsid w:val="00D70E04"/>
    <w:rsid w:val="00D72595"/>
    <w:rsid w:val="00D7644C"/>
    <w:rsid w:val="00D77675"/>
    <w:rsid w:val="00D805D3"/>
    <w:rsid w:val="00D81240"/>
    <w:rsid w:val="00D823E4"/>
    <w:rsid w:val="00D82DE8"/>
    <w:rsid w:val="00D846C7"/>
    <w:rsid w:val="00D852C0"/>
    <w:rsid w:val="00D85D9F"/>
    <w:rsid w:val="00D870EE"/>
    <w:rsid w:val="00D87D97"/>
    <w:rsid w:val="00D9291D"/>
    <w:rsid w:val="00D934F0"/>
    <w:rsid w:val="00D94FA5"/>
    <w:rsid w:val="00DA4DB0"/>
    <w:rsid w:val="00DA6EB1"/>
    <w:rsid w:val="00DA779C"/>
    <w:rsid w:val="00DA7B2C"/>
    <w:rsid w:val="00DB2106"/>
    <w:rsid w:val="00DB4A1B"/>
    <w:rsid w:val="00DB5E1F"/>
    <w:rsid w:val="00DC26E5"/>
    <w:rsid w:val="00DC51FD"/>
    <w:rsid w:val="00DC670C"/>
    <w:rsid w:val="00DD021D"/>
    <w:rsid w:val="00DD1507"/>
    <w:rsid w:val="00DD651C"/>
    <w:rsid w:val="00DD669B"/>
    <w:rsid w:val="00DD6CEB"/>
    <w:rsid w:val="00DE1736"/>
    <w:rsid w:val="00DE2A59"/>
    <w:rsid w:val="00DE54FC"/>
    <w:rsid w:val="00DF0C48"/>
    <w:rsid w:val="00DF7E84"/>
    <w:rsid w:val="00E17F17"/>
    <w:rsid w:val="00E21759"/>
    <w:rsid w:val="00E253C4"/>
    <w:rsid w:val="00E27AD3"/>
    <w:rsid w:val="00E34DF1"/>
    <w:rsid w:val="00E34F7A"/>
    <w:rsid w:val="00E35AD1"/>
    <w:rsid w:val="00E519A9"/>
    <w:rsid w:val="00E51C5A"/>
    <w:rsid w:val="00E51D47"/>
    <w:rsid w:val="00E53B6A"/>
    <w:rsid w:val="00E55333"/>
    <w:rsid w:val="00E56153"/>
    <w:rsid w:val="00E60783"/>
    <w:rsid w:val="00E63F30"/>
    <w:rsid w:val="00E640E3"/>
    <w:rsid w:val="00E66DB0"/>
    <w:rsid w:val="00E709D5"/>
    <w:rsid w:val="00E70DC6"/>
    <w:rsid w:val="00E726C1"/>
    <w:rsid w:val="00E76B1E"/>
    <w:rsid w:val="00E80DC1"/>
    <w:rsid w:val="00E81450"/>
    <w:rsid w:val="00E818EC"/>
    <w:rsid w:val="00E86240"/>
    <w:rsid w:val="00E93898"/>
    <w:rsid w:val="00E96CB1"/>
    <w:rsid w:val="00EA1422"/>
    <w:rsid w:val="00EA2764"/>
    <w:rsid w:val="00EA59BB"/>
    <w:rsid w:val="00EA5E10"/>
    <w:rsid w:val="00EB27D3"/>
    <w:rsid w:val="00EB5D12"/>
    <w:rsid w:val="00EC008D"/>
    <w:rsid w:val="00EC145E"/>
    <w:rsid w:val="00EC3665"/>
    <w:rsid w:val="00EC76E1"/>
    <w:rsid w:val="00EC775F"/>
    <w:rsid w:val="00EC7EAC"/>
    <w:rsid w:val="00ED4387"/>
    <w:rsid w:val="00EE1D08"/>
    <w:rsid w:val="00EE2B7F"/>
    <w:rsid w:val="00EE3A82"/>
    <w:rsid w:val="00EE65BF"/>
    <w:rsid w:val="00EF3A1A"/>
    <w:rsid w:val="00EF5920"/>
    <w:rsid w:val="00EF6F0C"/>
    <w:rsid w:val="00EF792D"/>
    <w:rsid w:val="00F02006"/>
    <w:rsid w:val="00F05B0C"/>
    <w:rsid w:val="00F05B56"/>
    <w:rsid w:val="00F06EA3"/>
    <w:rsid w:val="00F07819"/>
    <w:rsid w:val="00F10E78"/>
    <w:rsid w:val="00F112B6"/>
    <w:rsid w:val="00F161AA"/>
    <w:rsid w:val="00F170D9"/>
    <w:rsid w:val="00F20208"/>
    <w:rsid w:val="00F22F10"/>
    <w:rsid w:val="00F25FDB"/>
    <w:rsid w:val="00F26661"/>
    <w:rsid w:val="00F26BF0"/>
    <w:rsid w:val="00F35AE2"/>
    <w:rsid w:val="00F410C5"/>
    <w:rsid w:val="00F5078A"/>
    <w:rsid w:val="00F519F4"/>
    <w:rsid w:val="00F51A8F"/>
    <w:rsid w:val="00F52421"/>
    <w:rsid w:val="00F53ED5"/>
    <w:rsid w:val="00F5639E"/>
    <w:rsid w:val="00F571AE"/>
    <w:rsid w:val="00F57C39"/>
    <w:rsid w:val="00F57E4C"/>
    <w:rsid w:val="00F624CD"/>
    <w:rsid w:val="00F713BC"/>
    <w:rsid w:val="00F8387C"/>
    <w:rsid w:val="00F84945"/>
    <w:rsid w:val="00F85907"/>
    <w:rsid w:val="00F90591"/>
    <w:rsid w:val="00F9250D"/>
    <w:rsid w:val="00F93206"/>
    <w:rsid w:val="00F96D2B"/>
    <w:rsid w:val="00F970BC"/>
    <w:rsid w:val="00FA41E4"/>
    <w:rsid w:val="00FA58AC"/>
    <w:rsid w:val="00FA609A"/>
    <w:rsid w:val="00FA7FCA"/>
    <w:rsid w:val="00FB14CA"/>
    <w:rsid w:val="00FB3F8A"/>
    <w:rsid w:val="00FC2349"/>
    <w:rsid w:val="00FD26AA"/>
    <w:rsid w:val="00FD4493"/>
    <w:rsid w:val="00FD46FE"/>
    <w:rsid w:val="00FD5F47"/>
    <w:rsid w:val="00FE0E88"/>
    <w:rsid w:val="00FE1693"/>
    <w:rsid w:val="00FE192E"/>
    <w:rsid w:val="00FE3170"/>
    <w:rsid w:val="00FE3A15"/>
    <w:rsid w:val="00FE40AF"/>
    <w:rsid w:val="00FE740A"/>
    <w:rsid w:val="00FF69A6"/>
    <w:rsid w:val="00FF7559"/>
    <w:rsid w:val="00FF7A4A"/>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7250"/>
  <w15:chartTrackingRefBased/>
  <w15:docId w15:val="{1E40720E-A689-4D06-8F2A-5432DD5E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U" w:eastAsia="en-M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0B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21B"/>
    <w:pPr>
      <w:ind w:left="720"/>
      <w:contextualSpacing/>
    </w:pPr>
  </w:style>
  <w:style w:type="paragraph" w:styleId="Header">
    <w:name w:val="header"/>
    <w:basedOn w:val="Normal"/>
    <w:link w:val="HeaderChar"/>
    <w:uiPriority w:val="99"/>
    <w:unhideWhenUsed/>
    <w:rsid w:val="00336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70D"/>
  </w:style>
  <w:style w:type="paragraph" w:styleId="Footer">
    <w:name w:val="footer"/>
    <w:basedOn w:val="Normal"/>
    <w:link w:val="FooterChar"/>
    <w:uiPriority w:val="99"/>
    <w:unhideWhenUsed/>
    <w:rsid w:val="00336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70D"/>
  </w:style>
  <w:style w:type="table" w:styleId="TableGrid">
    <w:name w:val="Table Grid"/>
    <w:basedOn w:val="TableNormal"/>
    <w:uiPriority w:val="39"/>
    <w:rsid w:val="00A84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B2255"/>
    <w:pPr>
      <w:widowControl w:val="0"/>
      <w:spacing w:after="0" w:line="240" w:lineRule="auto"/>
      <w:jc w:val="both"/>
    </w:pPr>
    <w:rPr>
      <w:rFonts w:ascii="Times New Roman" w:eastAsia="Times New Roman" w:hAnsi="Times New Roman"/>
      <w:sz w:val="20"/>
      <w:szCs w:val="20"/>
      <w:lang w:val="x-none" w:eastAsia="x-none"/>
    </w:rPr>
  </w:style>
  <w:style w:type="character" w:customStyle="1" w:styleId="BodyTextChar">
    <w:name w:val="Body Text Char"/>
    <w:link w:val="BodyText"/>
    <w:semiHidden/>
    <w:rsid w:val="00AB2255"/>
    <w:rPr>
      <w:rFonts w:ascii="Times New Roman" w:eastAsia="Times New Roman" w:hAnsi="Times New Roman" w:cs="Times New Roman"/>
      <w:sz w:val="20"/>
      <w:szCs w:val="20"/>
    </w:rPr>
  </w:style>
  <w:style w:type="paragraph" w:customStyle="1" w:styleId="Default">
    <w:name w:val="Default"/>
    <w:rsid w:val="00A02383"/>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link w:val="BalloonTextChar"/>
    <w:uiPriority w:val="99"/>
    <w:semiHidden/>
    <w:unhideWhenUsed/>
    <w:rsid w:val="00E70DC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70DC6"/>
    <w:rPr>
      <w:rFonts w:ascii="Tahoma" w:hAnsi="Tahoma" w:cs="Tahoma"/>
      <w:sz w:val="16"/>
      <w:szCs w:val="16"/>
    </w:rPr>
  </w:style>
  <w:style w:type="character" w:styleId="Hyperlink">
    <w:name w:val="Hyperlink"/>
    <w:uiPriority w:val="99"/>
    <w:unhideWhenUsed/>
    <w:rsid w:val="00BD3CFA"/>
    <w:rPr>
      <w:color w:val="0000FF"/>
      <w:u w:val="single"/>
    </w:rPr>
  </w:style>
  <w:style w:type="paragraph" w:styleId="BodyTextIndent">
    <w:name w:val="Body Text Indent"/>
    <w:basedOn w:val="Normal"/>
    <w:link w:val="BodyTextIndentChar"/>
    <w:uiPriority w:val="99"/>
    <w:unhideWhenUsed/>
    <w:rsid w:val="008C1543"/>
    <w:pPr>
      <w:spacing w:after="120"/>
      <w:ind w:left="283"/>
    </w:pPr>
  </w:style>
  <w:style w:type="character" w:customStyle="1" w:styleId="BodyTextIndentChar">
    <w:name w:val="Body Text Indent Char"/>
    <w:link w:val="BodyTextIndent"/>
    <w:uiPriority w:val="99"/>
    <w:rsid w:val="008C1543"/>
    <w:rPr>
      <w:sz w:val="22"/>
      <w:szCs w:val="22"/>
      <w:lang w:val="en-US" w:eastAsia="en-US"/>
    </w:rPr>
  </w:style>
  <w:style w:type="character" w:customStyle="1" w:styleId="ps42ft4">
    <w:name w:val="ps42 ft4"/>
    <w:rsid w:val="008C1543"/>
  </w:style>
  <w:style w:type="character" w:styleId="UnresolvedMention">
    <w:name w:val="Unresolved Mention"/>
    <w:basedOn w:val="DefaultParagraphFont"/>
    <w:uiPriority w:val="99"/>
    <w:semiHidden/>
    <w:unhideWhenUsed/>
    <w:rsid w:val="00CD4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5290">
      <w:bodyDiv w:val="1"/>
      <w:marLeft w:val="0"/>
      <w:marRight w:val="0"/>
      <w:marTop w:val="0"/>
      <w:marBottom w:val="0"/>
      <w:divBdr>
        <w:top w:val="none" w:sz="0" w:space="0" w:color="auto"/>
        <w:left w:val="none" w:sz="0" w:space="0" w:color="auto"/>
        <w:bottom w:val="none" w:sz="0" w:space="0" w:color="auto"/>
        <w:right w:val="none" w:sz="0" w:space="0" w:color="auto"/>
      </w:divBdr>
    </w:div>
    <w:div w:id="27610366">
      <w:bodyDiv w:val="1"/>
      <w:marLeft w:val="0"/>
      <w:marRight w:val="0"/>
      <w:marTop w:val="0"/>
      <w:marBottom w:val="0"/>
      <w:divBdr>
        <w:top w:val="none" w:sz="0" w:space="0" w:color="auto"/>
        <w:left w:val="none" w:sz="0" w:space="0" w:color="auto"/>
        <w:bottom w:val="none" w:sz="0" w:space="0" w:color="auto"/>
        <w:right w:val="none" w:sz="0" w:space="0" w:color="auto"/>
      </w:divBdr>
    </w:div>
    <w:div w:id="50352910">
      <w:bodyDiv w:val="1"/>
      <w:marLeft w:val="0"/>
      <w:marRight w:val="0"/>
      <w:marTop w:val="0"/>
      <w:marBottom w:val="0"/>
      <w:divBdr>
        <w:top w:val="none" w:sz="0" w:space="0" w:color="auto"/>
        <w:left w:val="none" w:sz="0" w:space="0" w:color="auto"/>
        <w:bottom w:val="none" w:sz="0" w:space="0" w:color="auto"/>
        <w:right w:val="none" w:sz="0" w:space="0" w:color="auto"/>
      </w:divBdr>
    </w:div>
    <w:div w:id="51738425">
      <w:bodyDiv w:val="1"/>
      <w:marLeft w:val="0"/>
      <w:marRight w:val="0"/>
      <w:marTop w:val="0"/>
      <w:marBottom w:val="0"/>
      <w:divBdr>
        <w:top w:val="none" w:sz="0" w:space="0" w:color="auto"/>
        <w:left w:val="none" w:sz="0" w:space="0" w:color="auto"/>
        <w:bottom w:val="none" w:sz="0" w:space="0" w:color="auto"/>
        <w:right w:val="none" w:sz="0" w:space="0" w:color="auto"/>
      </w:divBdr>
    </w:div>
    <w:div w:id="245304795">
      <w:bodyDiv w:val="1"/>
      <w:marLeft w:val="0"/>
      <w:marRight w:val="0"/>
      <w:marTop w:val="0"/>
      <w:marBottom w:val="0"/>
      <w:divBdr>
        <w:top w:val="none" w:sz="0" w:space="0" w:color="auto"/>
        <w:left w:val="none" w:sz="0" w:space="0" w:color="auto"/>
        <w:bottom w:val="none" w:sz="0" w:space="0" w:color="auto"/>
        <w:right w:val="none" w:sz="0" w:space="0" w:color="auto"/>
      </w:divBdr>
    </w:div>
    <w:div w:id="325714719">
      <w:bodyDiv w:val="1"/>
      <w:marLeft w:val="0"/>
      <w:marRight w:val="0"/>
      <w:marTop w:val="0"/>
      <w:marBottom w:val="0"/>
      <w:divBdr>
        <w:top w:val="none" w:sz="0" w:space="0" w:color="auto"/>
        <w:left w:val="none" w:sz="0" w:space="0" w:color="auto"/>
        <w:bottom w:val="none" w:sz="0" w:space="0" w:color="auto"/>
        <w:right w:val="none" w:sz="0" w:space="0" w:color="auto"/>
      </w:divBdr>
    </w:div>
    <w:div w:id="326326443">
      <w:bodyDiv w:val="1"/>
      <w:marLeft w:val="0"/>
      <w:marRight w:val="0"/>
      <w:marTop w:val="0"/>
      <w:marBottom w:val="0"/>
      <w:divBdr>
        <w:top w:val="none" w:sz="0" w:space="0" w:color="auto"/>
        <w:left w:val="none" w:sz="0" w:space="0" w:color="auto"/>
        <w:bottom w:val="none" w:sz="0" w:space="0" w:color="auto"/>
        <w:right w:val="none" w:sz="0" w:space="0" w:color="auto"/>
      </w:divBdr>
    </w:div>
    <w:div w:id="344553422">
      <w:bodyDiv w:val="1"/>
      <w:marLeft w:val="0"/>
      <w:marRight w:val="0"/>
      <w:marTop w:val="0"/>
      <w:marBottom w:val="0"/>
      <w:divBdr>
        <w:top w:val="none" w:sz="0" w:space="0" w:color="auto"/>
        <w:left w:val="none" w:sz="0" w:space="0" w:color="auto"/>
        <w:bottom w:val="none" w:sz="0" w:space="0" w:color="auto"/>
        <w:right w:val="none" w:sz="0" w:space="0" w:color="auto"/>
      </w:divBdr>
    </w:div>
    <w:div w:id="390344284">
      <w:bodyDiv w:val="1"/>
      <w:marLeft w:val="0"/>
      <w:marRight w:val="0"/>
      <w:marTop w:val="0"/>
      <w:marBottom w:val="0"/>
      <w:divBdr>
        <w:top w:val="none" w:sz="0" w:space="0" w:color="auto"/>
        <w:left w:val="none" w:sz="0" w:space="0" w:color="auto"/>
        <w:bottom w:val="none" w:sz="0" w:space="0" w:color="auto"/>
        <w:right w:val="none" w:sz="0" w:space="0" w:color="auto"/>
      </w:divBdr>
    </w:div>
    <w:div w:id="507603045">
      <w:bodyDiv w:val="1"/>
      <w:marLeft w:val="0"/>
      <w:marRight w:val="0"/>
      <w:marTop w:val="0"/>
      <w:marBottom w:val="0"/>
      <w:divBdr>
        <w:top w:val="none" w:sz="0" w:space="0" w:color="auto"/>
        <w:left w:val="none" w:sz="0" w:space="0" w:color="auto"/>
        <w:bottom w:val="none" w:sz="0" w:space="0" w:color="auto"/>
        <w:right w:val="none" w:sz="0" w:space="0" w:color="auto"/>
      </w:divBdr>
    </w:div>
    <w:div w:id="573660528">
      <w:bodyDiv w:val="1"/>
      <w:marLeft w:val="0"/>
      <w:marRight w:val="0"/>
      <w:marTop w:val="0"/>
      <w:marBottom w:val="0"/>
      <w:divBdr>
        <w:top w:val="none" w:sz="0" w:space="0" w:color="auto"/>
        <w:left w:val="none" w:sz="0" w:space="0" w:color="auto"/>
        <w:bottom w:val="none" w:sz="0" w:space="0" w:color="auto"/>
        <w:right w:val="none" w:sz="0" w:space="0" w:color="auto"/>
      </w:divBdr>
    </w:div>
    <w:div w:id="761685040">
      <w:bodyDiv w:val="1"/>
      <w:marLeft w:val="0"/>
      <w:marRight w:val="0"/>
      <w:marTop w:val="0"/>
      <w:marBottom w:val="0"/>
      <w:divBdr>
        <w:top w:val="none" w:sz="0" w:space="0" w:color="auto"/>
        <w:left w:val="none" w:sz="0" w:space="0" w:color="auto"/>
        <w:bottom w:val="none" w:sz="0" w:space="0" w:color="auto"/>
        <w:right w:val="none" w:sz="0" w:space="0" w:color="auto"/>
      </w:divBdr>
    </w:div>
    <w:div w:id="897395333">
      <w:bodyDiv w:val="1"/>
      <w:marLeft w:val="0"/>
      <w:marRight w:val="0"/>
      <w:marTop w:val="0"/>
      <w:marBottom w:val="0"/>
      <w:divBdr>
        <w:top w:val="none" w:sz="0" w:space="0" w:color="auto"/>
        <w:left w:val="none" w:sz="0" w:space="0" w:color="auto"/>
        <w:bottom w:val="none" w:sz="0" w:space="0" w:color="auto"/>
        <w:right w:val="none" w:sz="0" w:space="0" w:color="auto"/>
      </w:divBdr>
    </w:div>
    <w:div w:id="906299757">
      <w:bodyDiv w:val="1"/>
      <w:marLeft w:val="0"/>
      <w:marRight w:val="0"/>
      <w:marTop w:val="0"/>
      <w:marBottom w:val="0"/>
      <w:divBdr>
        <w:top w:val="none" w:sz="0" w:space="0" w:color="auto"/>
        <w:left w:val="none" w:sz="0" w:space="0" w:color="auto"/>
        <w:bottom w:val="none" w:sz="0" w:space="0" w:color="auto"/>
        <w:right w:val="none" w:sz="0" w:space="0" w:color="auto"/>
      </w:divBdr>
    </w:div>
    <w:div w:id="1004358487">
      <w:bodyDiv w:val="1"/>
      <w:marLeft w:val="0"/>
      <w:marRight w:val="0"/>
      <w:marTop w:val="0"/>
      <w:marBottom w:val="0"/>
      <w:divBdr>
        <w:top w:val="none" w:sz="0" w:space="0" w:color="auto"/>
        <w:left w:val="none" w:sz="0" w:space="0" w:color="auto"/>
        <w:bottom w:val="none" w:sz="0" w:space="0" w:color="auto"/>
        <w:right w:val="none" w:sz="0" w:space="0" w:color="auto"/>
      </w:divBdr>
      <w:divsChild>
        <w:div w:id="1344629519">
          <w:marLeft w:val="547"/>
          <w:marRight w:val="0"/>
          <w:marTop w:val="130"/>
          <w:marBottom w:val="0"/>
          <w:divBdr>
            <w:top w:val="none" w:sz="0" w:space="0" w:color="auto"/>
            <w:left w:val="none" w:sz="0" w:space="0" w:color="auto"/>
            <w:bottom w:val="none" w:sz="0" w:space="0" w:color="auto"/>
            <w:right w:val="none" w:sz="0" w:space="0" w:color="auto"/>
          </w:divBdr>
        </w:div>
      </w:divsChild>
    </w:div>
    <w:div w:id="1095904519">
      <w:bodyDiv w:val="1"/>
      <w:marLeft w:val="0"/>
      <w:marRight w:val="0"/>
      <w:marTop w:val="0"/>
      <w:marBottom w:val="0"/>
      <w:divBdr>
        <w:top w:val="none" w:sz="0" w:space="0" w:color="auto"/>
        <w:left w:val="none" w:sz="0" w:space="0" w:color="auto"/>
        <w:bottom w:val="none" w:sz="0" w:space="0" w:color="auto"/>
        <w:right w:val="none" w:sz="0" w:space="0" w:color="auto"/>
      </w:divBdr>
    </w:div>
    <w:div w:id="1210266695">
      <w:bodyDiv w:val="1"/>
      <w:marLeft w:val="0"/>
      <w:marRight w:val="0"/>
      <w:marTop w:val="0"/>
      <w:marBottom w:val="0"/>
      <w:divBdr>
        <w:top w:val="none" w:sz="0" w:space="0" w:color="auto"/>
        <w:left w:val="none" w:sz="0" w:space="0" w:color="auto"/>
        <w:bottom w:val="none" w:sz="0" w:space="0" w:color="auto"/>
        <w:right w:val="none" w:sz="0" w:space="0" w:color="auto"/>
      </w:divBdr>
    </w:div>
    <w:div w:id="1225023679">
      <w:bodyDiv w:val="1"/>
      <w:marLeft w:val="0"/>
      <w:marRight w:val="0"/>
      <w:marTop w:val="0"/>
      <w:marBottom w:val="0"/>
      <w:divBdr>
        <w:top w:val="none" w:sz="0" w:space="0" w:color="auto"/>
        <w:left w:val="none" w:sz="0" w:space="0" w:color="auto"/>
        <w:bottom w:val="none" w:sz="0" w:space="0" w:color="auto"/>
        <w:right w:val="none" w:sz="0" w:space="0" w:color="auto"/>
      </w:divBdr>
    </w:div>
    <w:div w:id="1290551608">
      <w:bodyDiv w:val="1"/>
      <w:marLeft w:val="0"/>
      <w:marRight w:val="0"/>
      <w:marTop w:val="0"/>
      <w:marBottom w:val="0"/>
      <w:divBdr>
        <w:top w:val="none" w:sz="0" w:space="0" w:color="auto"/>
        <w:left w:val="none" w:sz="0" w:space="0" w:color="auto"/>
        <w:bottom w:val="none" w:sz="0" w:space="0" w:color="auto"/>
        <w:right w:val="none" w:sz="0" w:space="0" w:color="auto"/>
      </w:divBdr>
    </w:div>
    <w:div w:id="1328367535">
      <w:bodyDiv w:val="1"/>
      <w:marLeft w:val="0"/>
      <w:marRight w:val="0"/>
      <w:marTop w:val="0"/>
      <w:marBottom w:val="0"/>
      <w:divBdr>
        <w:top w:val="none" w:sz="0" w:space="0" w:color="auto"/>
        <w:left w:val="none" w:sz="0" w:space="0" w:color="auto"/>
        <w:bottom w:val="none" w:sz="0" w:space="0" w:color="auto"/>
        <w:right w:val="none" w:sz="0" w:space="0" w:color="auto"/>
      </w:divBdr>
    </w:div>
    <w:div w:id="1361860847">
      <w:bodyDiv w:val="1"/>
      <w:marLeft w:val="0"/>
      <w:marRight w:val="0"/>
      <w:marTop w:val="0"/>
      <w:marBottom w:val="0"/>
      <w:divBdr>
        <w:top w:val="none" w:sz="0" w:space="0" w:color="auto"/>
        <w:left w:val="none" w:sz="0" w:space="0" w:color="auto"/>
        <w:bottom w:val="none" w:sz="0" w:space="0" w:color="auto"/>
        <w:right w:val="none" w:sz="0" w:space="0" w:color="auto"/>
      </w:divBdr>
    </w:div>
    <w:div w:id="1466851062">
      <w:bodyDiv w:val="1"/>
      <w:marLeft w:val="0"/>
      <w:marRight w:val="0"/>
      <w:marTop w:val="0"/>
      <w:marBottom w:val="0"/>
      <w:divBdr>
        <w:top w:val="none" w:sz="0" w:space="0" w:color="auto"/>
        <w:left w:val="none" w:sz="0" w:space="0" w:color="auto"/>
        <w:bottom w:val="none" w:sz="0" w:space="0" w:color="auto"/>
        <w:right w:val="none" w:sz="0" w:space="0" w:color="auto"/>
      </w:divBdr>
    </w:div>
    <w:div w:id="1473252286">
      <w:bodyDiv w:val="1"/>
      <w:marLeft w:val="0"/>
      <w:marRight w:val="0"/>
      <w:marTop w:val="0"/>
      <w:marBottom w:val="0"/>
      <w:divBdr>
        <w:top w:val="none" w:sz="0" w:space="0" w:color="auto"/>
        <w:left w:val="none" w:sz="0" w:space="0" w:color="auto"/>
        <w:bottom w:val="none" w:sz="0" w:space="0" w:color="auto"/>
        <w:right w:val="none" w:sz="0" w:space="0" w:color="auto"/>
      </w:divBdr>
    </w:div>
    <w:div w:id="1482190400">
      <w:bodyDiv w:val="1"/>
      <w:marLeft w:val="0"/>
      <w:marRight w:val="0"/>
      <w:marTop w:val="0"/>
      <w:marBottom w:val="0"/>
      <w:divBdr>
        <w:top w:val="none" w:sz="0" w:space="0" w:color="auto"/>
        <w:left w:val="none" w:sz="0" w:space="0" w:color="auto"/>
        <w:bottom w:val="none" w:sz="0" w:space="0" w:color="auto"/>
        <w:right w:val="none" w:sz="0" w:space="0" w:color="auto"/>
      </w:divBdr>
    </w:div>
    <w:div w:id="1495220198">
      <w:bodyDiv w:val="1"/>
      <w:marLeft w:val="0"/>
      <w:marRight w:val="0"/>
      <w:marTop w:val="0"/>
      <w:marBottom w:val="0"/>
      <w:divBdr>
        <w:top w:val="none" w:sz="0" w:space="0" w:color="auto"/>
        <w:left w:val="none" w:sz="0" w:space="0" w:color="auto"/>
        <w:bottom w:val="none" w:sz="0" w:space="0" w:color="auto"/>
        <w:right w:val="none" w:sz="0" w:space="0" w:color="auto"/>
      </w:divBdr>
    </w:div>
    <w:div w:id="1585531752">
      <w:bodyDiv w:val="1"/>
      <w:marLeft w:val="0"/>
      <w:marRight w:val="0"/>
      <w:marTop w:val="0"/>
      <w:marBottom w:val="0"/>
      <w:divBdr>
        <w:top w:val="none" w:sz="0" w:space="0" w:color="auto"/>
        <w:left w:val="none" w:sz="0" w:space="0" w:color="auto"/>
        <w:bottom w:val="none" w:sz="0" w:space="0" w:color="auto"/>
        <w:right w:val="none" w:sz="0" w:space="0" w:color="auto"/>
      </w:divBdr>
    </w:div>
    <w:div w:id="1730498701">
      <w:bodyDiv w:val="1"/>
      <w:marLeft w:val="0"/>
      <w:marRight w:val="0"/>
      <w:marTop w:val="0"/>
      <w:marBottom w:val="0"/>
      <w:divBdr>
        <w:top w:val="none" w:sz="0" w:space="0" w:color="auto"/>
        <w:left w:val="none" w:sz="0" w:space="0" w:color="auto"/>
        <w:bottom w:val="none" w:sz="0" w:space="0" w:color="auto"/>
        <w:right w:val="none" w:sz="0" w:space="0" w:color="auto"/>
      </w:divBdr>
    </w:div>
    <w:div w:id="1815948348">
      <w:bodyDiv w:val="1"/>
      <w:marLeft w:val="0"/>
      <w:marRight w:val="0"/>
      <w:marTop w:val="0"/>
      <w:marBottom w:val="0"/>
      <w:divBdr>
        <w:top w:val="none" w:sz="0" w:space="0" w:color="auto"/>
        <w:left w:val="none" w:sz="0" w:space="0" w:color="auto"/>
        <w:bottom w:val="none" w:sz="0" w:space="0" w:color="auto"/>
        <w:right w:val="none" w:sz="0" w:space="0" w:color="auto"/>
      </w:divBdr>
    </w:div>
    <w:div w:id="1820807388">
      <w:bodyDiv w:val="1"/>
      <w:marLeft w:val="0"/>
      <w:marRight w:val="0"/>
      <w:marTop w:val="0"/>
      <w:marBottom w:val="0"/>
      <w:divBdr>
        <w:top w:val="none" w:sz="0" w:space="0" w:color="auto"/>
        <w:left w:val="none" w:sz="0" w:space="0" w:color="auto"/>
        <w:bottom w:val="none" w:sz="0" w:space="0" w:color="auto"/>
        <w:right w:val="none" w:sz="0" w:space="0" w:color="auto"/>
      </w:divBdr>
    </w:div>
    <w:div w:id="1993874282">
      <w:bodyDiv w:val="1"/>
      <w:marLeft w:val="0"/>
      <w:marRight w:val="0"/>
      <w:marTop w:val="0"/>
      <w:marBottom w:val="0"/>
      <w:divBdr>
        <w:top w:val="none" w:sz="0" w:space="0" w:color="auto"/>
        <w:left w:val="none" w:sz="0" w:space="0" w:color="auto"/>
        <w:bottom w:val="none" w:sz="0" w:space="0" w:color="auto"/>
        <w:right w:val="none" w:sz="0" w:space="0" w:color="auto"/>
      </w:divBdr>
    </w:div>
    <w:div w:id="2042634082">
      <w:bodyDiv w:val="1"/>
      <w:marLeft w:val="0"/>
      <w:marRight w:val="0"/>
      <w:marTop w:val="0"/>
      <w:marBottom w:val="0"/>
      <w:divBdr>
        <w:top w:val="none" w:sz="0" w:space="0" w:color="auto"/>
        <w:left w:val="none" w:sz="0" w:space="0" w:color="auto"/>
        <w:bottom w:val="none" w:sz="0" w:space="0" w:color="auto"/>
        <w:right w:val="none" w:sz="0" w:space="0" w:color="auto"/>
      </w:divBdr>
    </w:div>
    <w:div w:id="2061709135">
      <w:bodyDiv w:val="1"/>
      <w:marLeft w:val="0"/>
      <w:marRight w:val="0"/>
      <w:marTop w:val="0"/>
      <w:marBottom w:val="0"/>
      <w:divBdr>
        <w:top w:val="none" w:sz="0" w:space="0" w:color="auto"/>
        <w:left w:val="none" w:sz="0" w:space="0" w:color="auto"/>
        <w:bottom w:val="none" w:sz="0" w:space="0" w:color="auto"/>
        <w:right w:val="none" w:sz="0" w:space="0" w:color="auto"/>
      </w:divBdr>
    </w:div>
    <w:div w:id="2080128636">
      <w:bodyDiv w:val="1"/>
      <w:marLeft w:val="0"/>
      <w:marRight w:val="0"/>
      <w:marTop w:val="0"/>
      <w:marBottom w:val="0"/>
      <w:divBdr>
        <w:top w:val="none" w:sz="0" w:space="0" w:color="auto"/>
        <w:left w:val="none" w:sz="0" w:space="0" w:color="auto"/>
        <w:bottom w:val="none" w:sz="0" w:space="0" w:color="auto"/>
        <w:right w:val="none" w:sz="0" w:space="0" w:color="auto"/>
      </w:divBdr>
    </w:div>
    <w:div w:id="21345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mailto:dramphul@govmu.org" TargetMode="External"/><Relationship Id="rId2" Type="http://schemas.openxmlformats.org/officeDocument/2006/relationships/customXml" Target="../customXml/item2.xml"/><Relationship Id="rId16" Type="http://schemas.openxmlformats.org/officeDocument/2006/relationships/hyperlink" Target="mailto:dramphul@govmu.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hart" Target="charts/chart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D:\1%20Rita%20-%20National%20Account\Tourism%20Satellite%20Account\Chart%20TSA%20-%20Tables%20ESI%20TSA2018%20rev%2013.07.23.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solidFill>
                <a:srgbClr val="002060"/>
              </a:solidFill>
            </a:ln>
          </c:spPr>
          <c:dPt>
            <c:idx val="0"/>
            <c:bubble3D val="0"/>
            <c:spPr>
              <a:pattFill prst="dotGrid">
                <a:fgClr>
                  <a:srgbClr val="FF0000"/>
                </a:fgClr>
                <a:bgClr>
                  <a:schemeClr val="bg1"/>
                </a:bgClr>
              </a:pattFill>
              <a:ln>
                <a:solidFill>
                  <a:srgbClr val="002060"/>
                </a:solidFill>
                <a:prstDash val="solid"/>
              </a:ln>
              <a:effectLst>
                <a:outerShdw blurRad="63500" sx="102000" sy="102000" algn="ctr" rotWithShape="0">
                  <a:prstClr val="black">
                    <a:alpha val="20000"/>
                  </a:prstClr>
                </a:outerShdw>
              </a:effectLst>
            </c:spPr>
            <c:extLst>
              <c:ext xmlns:c16="http://schemas.microsoft.com/office/drawing/2014/chart" uri="{C3380CC4-5D6E-409C-BE32-E72D297353CC}">
                <c16:uniqueId val="{00000001-46F4-4192-80B5-ECC6F327BD33}"/>
              </c:ext>
            </c:extLst>
          </c:dPt>
          <c:dPt>
            <c:idx val="1"/>
            <c:bubble3D val="0"/>
            <c:spPr>
              <a:pattFill prst="wdDnDiag">
                <a:fgClr>
                  <a:schemeClr val="accent5">
                    <a:lumMod val="75000"/>
                  </a:schemeClr>
                </a:fgClr>
                <a:bgClr>
                  <a:schemeClr val="accent5">
                    <a:lumMod val="60000"/>
                    <a:lumOff val="40000"/>
                  </a:schemeClr>
                </a:bgClr>
              </a:pattFill>
              <a:ln>
                <a:solidFill>
                  <a:srgbClr val="002060"/>
                </a:solidFill>
                <a:prstDash val="solid"/>
              </a:ln>
              <a:effectLst>
                <a:outerShdw blurRad="63500" sx="102000" sy="102000" algn="ctr" rotWithShape="0">
                  <a:prstClr val="black">
                    <a:alpha val="20000"/>
                  </a:prstClr>
                </a:outerShdw>
              </a:effectLst>
            </c:spPr>
            <c:extLst>
              <c:ext xmlns:c16="http://schemas.microsoft.com/office/drawing/2014/chart" uri="{C3380CC4-5D6E-409C-BE32-E72D297353CC}">
                <c16:uniqueId val="{00000003-46F4-4192-80B5-ECC6F327BD33}"/>
              </c:ext>
            </c:extLst>
          </c:dPt>
          <c:dPt>
            <c:idx val="2"/>
            <c:bubble3D val="0"/>
            <c:spPr>
              <a:pattFill prst="lgCheck">
                <a:fgClr>
                  <a:schemeClr val="accent6">
                    <a:lumMod val="40000"/>
                    <a:lumOff val="60000"/>
                  </a:schemeClr>
                </a:fgClr>
                <a:bgClr>
                  <a:schemeClr val="accent4">
                    <a:lumMod val="60000"/>
                    <a:lumOff val="40000"/>
                  </a:schemeClr>
                </a:bgClr>
              </a:pattFill>
              <a:ln>
                <a:solidFill>
                  <a:srgbClr val="002060"/>
                </a:solidFill>
                <a:prstDash val="solid"/>
              </a:ln>
              <a:effectLst>
                <a:outerShdw blurRad="63500" sx="102000" sy="102000" algn="ctr" rotWithShape="0">
                  <a:prstClr val="black">
                    <a:alpha val="20000"/>
                  </a:prstClr>
                </a:outerShdw>
              </a:effectLst>
            </c:spPr>
            <c:extLst>
              <c:ext xmlns:c16="http://schemas.microsoft.com/office/drawing/2014/chart" uri="{C3380CC4-5D6E-409C-BE32-E72D297353CC}">
                <c16:uniqueId val="{00000005-46F4-4192-80B5-ECC6F327BD33}"/>
              </c:ext>
            </c:extLst>
          </c:dPt>
          <c:dPt>
            <c:idx val="3"/>
            <c:bubble3D val="0"/>
            <c:spPr>
              <a:pattFill prst="wdDnDiag">
                <a:fgClr>
                  <a:srgbClr val="FFFF00"/>
                </a:fgClr>
                <a:bgClr>
                  <a:schemeClr val="bg1"/>
                </a:bgClr>
              </a:pattFill>
              <a:ln>
                <a:solidFill>
                  <a:srgbClr val="002060"/>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46F4-4192-80B5-ECC6F327BD33}"/>
              </c:ext>
            </c:extLst>
          </c:dPt>
          <c:dPt>
            <c:idx val="4"/>
            <c:bubble3D val="0"/>
            <c:spPr>
              <a:pattFill prst="pct80">
                <a:fgClr>
                  <a:srgbClr val="00B050"/>
                </a:fgClr>
                <a:bgClr>
                  <a:schemeClr val="bg1"/>
                </a:bgClr>
              </a:pattFill>
              <a:ln>
                <a:solidFill>
                  <a:srgbClr val="002060"/>
                </a:solidFill>
                <a:prstDash val="solid"/>
              </a:ln>
              <a:effectLst>
                <a:outerShdw blurRad="63500" sx="102000" sy="102000" algn="ctr" rotWithShape="0">
                  <a:prstClr val="black">
                    <a:alpha val="20000"/>
                  </a:prstClr>
                </a:outerShdw>
              </a:effectLst>
            </c:spPr>
            <c:extLst>
              <c:ext xmlns:c16="http://schemas.microsoft.com/office/drawing/2014/chart" uri="{C3380CC4-5D6E-409C-BE32-E72D297353CC}">
                <c16:uniqueId val="{00000009-46F4-4192-80B5-ECC6F327BD33}"/>
              </c:ext>
            </c:extLst>
          </c:dPt>
          <c:dPt>
            <c:idx val="5"/>
            <c:bubble3D val="0"/>
            <c:spPr>
              <a:pattFill prst="wdDnDiag">
                <a:fgClr>
                  <a:schemeClr val="accent5">
                    <a:lumMod val="60000"/>
                    <a:lumOff val="40000"/>
                  </a:schemeClr>
                </a:fgClr>
                <a:bgClr>
                  <a:schemeClr val="bg1"/>
                </a:bgClr>
              </a:pattFill>
              <a:ln>
                <a:solidFill>
                  <a:srgbClr val="002060"/>
                </a:solidFill>
                <a:prstDash val="solid"/>
              </a:ln>
              <a:effectLst>
                <a:outerShdw blurRad="63500" sx="102000" sy="102000" algn="ctr" rotWithShape="0">
                  <a:prstClr val="black">
                    <a:alpha val="20000"/>
                  </a:prstClr>
                </a:outerShdw>
              </a:effectLst>
            </c:spPr>
            <c:extLst>
              <c:ext xmlns:c16="http://schemas.microsoft.com/office/drawing/2014/chart" uri="{C3380CC4-5D6E-409C-BE32-E72D297353CC}">
                <c16:uniqueId val="{0000000B-46F4-4192-80B5-ECC6F327BD33}"/>
              </c:ext>
            </c:extLst>
          </c:dPt>
          <c:dPt>
            <c:idx val="6"/>
            <c:bubble3D val="0"/>
            <c:spPr>
              <a:solidFill>
                <a:schemeClr val="accent1">
                  <a:lumMod val="60000"/>
                </a:schemeClr>
              </a:solidFill>
              <a:ln>
                <a:solidFill>
                  <a:srgbClr val="002060"/>
                </a:solid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46F4-4192-80B5-ECC6F327BD33}"/>
              </c:ext>
            </c:extLst>
          </c:dPt>
          <c:dLbls>
            <c:dLbl>
              <c:idx val="0"/>
              <c:layout>
                <c:manualLayout>
                  <c:x val="5.4298651132195758E-2"/>
                  <c:y val="-8.9485458612976482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6F4-4192-80B5-ECC6F327BD33}"/>
                </c:ext>
              </c:extLst>
            </c:dLbl>
            <c:dLbl>
              <c:idx val="1"/>
              <c:layout>
                <c:manualLayout>
                  <c:x val="-3.016591729566432E-2"/>
                  <c:y val="6.2279748217313434E-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6F4-4192-80B5-ECC6F327BD33}"/>
                </c:ext>
              </c:extLst>
            </c:dLbl>
            <c:dLbl>
              <c:idx val="2"/>
              <c:layout>
                <c:manualLayout>
                  <c:x val="-1.8099550377398587E-2"/>
                  <c:y val="0.13821487079215769"/>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6F4-4192-80B5-ECC6F327BD33}"/>
                </c:ext>
              </c:extLst>
            </c:dLbl>
            <c:dLbl>
              <c:idx val="3"/>
              <c:layout>
                <c:manualLayout>
                  <c:x val="-3.6199100754797174E-2"/>
                  <c:y val="0.15452447638676031"/>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6F4-4192-80B5-ECC6F327BD33}"/>
                </c:ext>
              </c:extLst>
            </c:dLbl>
            <c:dLbl>
              <c:idx val="4"/>
              <c:layout>
                <c:manualLayout>
                  <c:x val="-0.10457517995830294"/>
                  <c:y val="0.1439811634283969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6F4-4192-80B5-ECC6F327BD33}"/>
                </c:ext>
              </c:extLst>
            </c:dLbl>
            <c:dLbl>
              <c:idx val="5"/>
              <c:layout>
                <c:manualLayout>
                  <c:x val="-6.8813807809082389E-2"/>
                  <c:y val="5.9728403514778031E-4"/>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46F4-4192-80B5-ECC6F327BD33}"/>
                </c:ext>
              </c:extLst>
            </c:dLbl>
            <c:dLbl>
              <c:idx val="6"/>
              <c:layout>
                <c:manualLayout>
                  <c:x val="0.11060836341743581"/>
                  <c:y val="-6.3643595863166411E-3"/>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6F4-4192-80B5-ECC6F327BD3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M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 2 - VA % dist TDGVA'!$G$5:$G$10</c:f>
              <c:strCache>
                <c:ptCount val="6"/>
                <c:pt idx="0">
                  <c:v>Accommodation services industry</c:v>
                </c:pt>
                <c:pt idx="1">
                  <c:v>Food and beverage serving industry</c:v>
                </c:pt>
                <c:pt idx="2">
                  <c:v>Road, air and sea passenger transport services industry</c:v>
                </c:pt>
                <c:pt idx="3">
                  <c:v>Sports, recreational and cultural industry and others</c:v>
                </c:pt>
                <c:pt idx="4">
                  <c:v>Travel agencies and other reservation services industry</c:v>
                </c:pt>
                <c:pt idx="5">
                  <c:v>Retail trade of country specific goods</c:v>
                </c:pt>
              </c:strCache>
            </c:strRef>
          </c:cat>
          <c:val>
            <c:numRef>
              <c:f>'Chart 2 - VA % dist TDGVA'!$H$5:$H$10</c:f>
              <c:numCache>
                <c:formatCode>_ * #,##0_ ;_ * \-#,##0_ ;_ * "-"??_ ;_ @_ </c:formatCode>
                <c:ptCount val="6"/>
                <c:pt idx="0">
                  <c:v>23623000</c:v>
                </c:pt>
                <c:pt idx="1">
                  <c:v>3215000</c:v>
                </c:pt>
                <c:pt idx="2">
                  <c:v>3971000</c:v>
                </c:pt>
                <c:pt idx="3">
                  <c:v>3246000</c:v>
                </c:pt>
                <c:pt idx="4">
                  <c:v>2876000</c:v>
                </c:pt>
                <c:pt idx="5">
                  <c:v>2056000</c:v>
                </c:pt>
              </c:numCache>
            </c:numRef>
          </c:val>
          <c:extLst>
            <c:ext xmlns:c16="http://schemas.microsoft.com/office/drawing/2014/chart" uri="{C3380CC4-5D6E-409C-BE32-E72D297353CC}">
              <c16:uniqueId val="{0000000E-46F4-4192-80B5-ECC6F327BD33}"/>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M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59497215506723"/>
          <c:y val="5.1400554097404488E-2"/>
          <c:w val="0.75183677512009106"/>
          <c:h val="0.75492904850308351"/>
        </c:manualLayout>
      </c:layout>
      <c:barChart>
        <c:barDir val="col"/>
        <c:grouping val="clustered"/>
        <c:varyColors val="0"/>
        <c:ser>
          <c:idx val="0"/>
          <c:order val="0"/>
          <c:tx>
            <c:strRef>
              <c:f>'Tab b + chart 3'!$I$20:$J$20</c:f>
              <c:strCache>
                <c:ptCount val="2"/>
                <c:pt idx="0">
                  <c:v>Tourism goods and services</c:v>
                </c:pt>
              </c:strCache>
            </c:strRef>
          </c:tx>
          <c:spPr>
            <a:solidFill>
              <a:sysClr val="windowText" lastClr="000000"/>
            </a:solidFill>
          </c:spPr>
          <c:invertIfNegative val="0"/>
          <c:cat>
            <c:numRef>
              <c:f>'Tab b + chart 3'!$K$19:$O$19</c:f>
              <c:numCache>
                <c:formatCode>General</c:formatCode>
                <c:ptCount val="5"/>
                <c:pt idx="0">
                  <c:v>2018</c:v>
                </c:pt>
                <c:pt idx="1">
                  <c:v>2019</c:v>
                </c:pt>
                <c:pt idx="2">
                  <c:v>2020</c:v>
                </c:pt>
                <c:pt idx="3">
                  <c:v>2021</c:v>
                </c:pt>
                <c:pt idx="4">
                  <c:v>2022</c:v>
                </c:pt>
              </c:numCache>
            </c:numRef>
          </c:cat>
          <c:val>
            <c:numRef>
              <c:f>'Tab b + chart 3'!$K$20:$O$20</c:f>
              <c:numCache>
                <c:formatCode>0.0</c:formatCode>
                <c:ptCount val="5"/>
                <c:pt idx="0">
                  <c:v>31.8</c:v>
                </c:pt>
                <c:pt idx="1">
                  <c:v>31.4</c:v>
                </c:pt>
                <c:pt idx="2">
                  <c:v>11.1</c:v>
                </c:pt>
                <c:pt idx="3">
                  <c:v>7.8</c:v>
                </c:pt>
                <c:pt idx="4" formatCode="General">
                  <c:v>22.5</c:v>
                </c:pt>
              </c:numCache>
            </c:numRef>
          </c:val>
          <c:extLst>
            <c:ext xmlns:c16="http://schemas.microsoft.com/office/drawing/2014/chart" uri="{C3380CC4-5D6E-409C-BE32-E72D297353CC}">
              <c16:uniqueId val="{00000000-B4E9-46A1-875A-1181C61DA2C2}"/>
            </c:ext>
          </c:extLst>
        </c:ser>
        <c:ser>
          <c:idx val="1"/>
          <c:order val="1"/>
          <c:tx>
            <c:strRef>
              <c:f>'Tab b + chart 3'!$I$21:$J$21</c:f>
              <c:strCache>
                <c:ptCount val="2"/>
                <c:pt idx="0">
                  <c:v>Manufactured goods (Export-Oriented Enterprises)</c:v>
                </c:pt>
              </c:strCache>
            </c:strRef>
          </c:tx>
          <c:invertIfNegative val="0"/>
          <c:cat>
            <c:numRef>
              <c:f>'Tab b + chart 3'!$K$19:$O$19</c:f>
              <c:numCache>
                <c:formatCode>General</c:formatCode>
                <c:ptCount val="5"/>
                <c:pt idx="0">
                  <c:v>2018</c:v>
                </c:pt>
                <c:pt idx="1">
                  <c:v>2019</c:v>
                </c:pt>
                <c:pt idx="2">
                  <c:v>2020</c:v>
                </c:pt>
                <c:pt idx="3">
                  <c:v>2021</c:v>
                </c:pt>
                <c:pt idx="4">
                  <c:v>2022</c:v>
                </c:pt>
              </c:numCache>
            </c:numRef>
          </c:cat>
          <c:val>
            <c:numRef>
              <c:f>'Tab b + chart 3'!$K$21:$O$21</c:f>
              <c:numCache>
                <c:formatCode>0.0</c:formatCode>
                <c:ptCount val="5"/>
                <c:pt idx="0">
                  <c:v>18.8</c:v>
                </c:pt>
                <c:pt idx="1">
                  <c:v>18.5</c:v>
                </c:pt>
                <c:pt idx="2">
                  <c:v>21.1</c:v>
                </c:pt>
                <c:pt idx="3">
                  <c:v>20.2</c:v>
                </c:pt>
                <c:pt idx="4" formatCode="General">
                  <c:v>15.4</c:v>
                </c:pt>
              </c:numCache>
            </c:numRef>
          </c:val>
          <c:extLst>
            <c:ext xmlns:c16="http://schemas.microsoft.com/office/drawing/2014/chart" uri="{C3380CC4-5D6E-409C-BE32-E72D297353CC}">
              <c16:uniqueId val="{00000001-B4E9-46A1-875A-1181C61DA2C2}"/>
            </c:ext>
          </c:extLst>
        </c:ser>
        <c:ser>
          <c:idx val="2"/>
          <c:order val="2"/>
          <c:tx>
            <c:strRef>
              <c:f>'Tab b + chart 3'!$I$22:$J$22</c:f>
              <c:strCache>
                <c:ptCount val="2"/>
                <c:pt idx="0">
                  <c:v>Sugar</c:v>
                </c:pt>
              </c:strCache>
            </c:strRef>
          </c:tx>
          <c:invertIfNegative val="0"/>
          <c:cat>
            <c:numRef>
              <c:f>'Tab b + chart 3'!$K$19:$O$19</c:f>
              <c:numCache>
                <c:formatCode>General</c:formatCode>
                <c:ptCount val="5"/>
                <c:pt idx="0">
                  <c:v>2018</c:v>
                </c:pt>
                <c:pt idx="1">
                  <c:v>2019</c:v>
                </c:pt>
                <c:pt idx="2">
                  <c:v>2020</c:v>
                </c:pt>
                <c:pt idx="3">
                  <c:v>2021</c:v>
                </c:pt>
                <c:pt idx="4">
                  <c:v>2022</c:v>
                </c:pt>
              </c:numCache>
            </c:numRef>
          </c:cat>
          <c:val>
            <c:numRef>
              <c:f>'Tab b + chart 3'!$K$22:$O$22</c:f>
              <c:numCache>
                <c:formatCode>0.0</c:formatCode>
                <c:ptCount val="5"/>
                <c:pt idx="0">
                  <c:v>2.1</c:v>
                </c:pt>
                <c:pt idx="1">
                  <c:v>3</c:v>
                </c:pt>
                <c:pt idx="2">
                  <c:v>4.0999999999999996</c:v>
                </c:pt>
                <c:pt idx="3">
                  <c:v>3.3</c:v>
                </c:pt>
                <c:pt idx="4" formatCode="General">
                  <c:v>2.7</c:v>
                </c:pt>
              </c:numCache>
            </c:numRef>
          </c:val>
          <c:extLst>
            <c:ext xmlns:c16="http://schemas.microsoft.com/office/drawing/2014/chart" uri="{C3380CC4-5D6E-409C-BE32-E72D297353CC}">
              <c16:uniqueId val="{00000002-B4E9-46A1-875A-1181C61DA2C2}"/>
            </c:ext>
          </c:extLst>
        </c:ser>
        <c:dLbls>
          <c:showLegendKey val="0"/>
          <c:showVal val="0"/>
          <c:showCatName val="0"/>
          <c:showSerName val="0"/>
          <c:showPercent val="0"/>
          <c:showBubbleSize val="0"/>
        </c:dLbls>
        <c:gapWidth val="150"/>
        <c:axId val="458401472"/>
        <c:axId val="1"/>
      </c:barChart>
      <c:catAx>
        <c:axId val="45840147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MU"/>
          </a:p>
        </c:txPr>
        <c:crossAx val="1"/>
        <c:crosses val="autoZero"/>
        <c:auto val="1"/>
        <c:lblAlgn val="ctr"/>
        <c:lblOffset val="100"/>
        <c:noMultiLvlLbl val="0"/>
      </c:catAx>
      <c:valAx>
        <c:axId val="1"/>
        <c:scaling>
          <c:orientation val="minMax"/>
        </c:scaling>
        <c:delete val="0"/>
        <c:axPos val="l"/>
        <c:majorGridlines/>
        <c:title>
          <c:tx>
            <c:rich>
              <a:bodyPr/>
              <a:lstStyle/>
              <a:p>
                <a:pPr>
                  <a:defRPr sz="900">
                    <a:solidFill>
                      <a:sysClr val="windowText" lastClr="000000"/>
                    </a:solidFill>
                    <a:latin typeface="Times New Roman" panose="02020603050405020304" pitchFamily="18" charset="0"/>
                    <a:cs typeface="Times New Roman" panose="02020603050405020304" pitchFamily="18" charset="0"/>
                  </a:defRPr>
                </a:pPr>
                <a:r>
                  <a:rPr lang="en-US" sz="900">
                    <a:solidFill>
                      <a:sysClr val="windowText" lastClr="000000"/>
                    </a:solidFill>
                    <a:latin typeface="Times New Roman" panose="02020603050405020304" pitchFamily="18" charset="0"/>
                    <a:cs typeface="Times New Roman" panose="02020603050405020304" pitchFamily="18" charset="0"/>
                  </a:rPr>
                  <a:t>Percentage distribution of main export </a:t>
                </a:r>
              </a:p>
            </c:rich>
          </c:tx>
          <c:layout>
            <c:manualLayout>
              <c:xMode val="edge"/>
              <c:yMode val="edge"/>
              <c:x val="2.0403537937463221E-2"/>
              <c:y val="4.9877417008267221E-2"/>
            </c:manualLayout>
          </c:layout>
          <c:overlay val="0"/>
        </c:title>
        <c:numFmt formatCode="0.0" sourceLinked="1"/>
        <c:majorTickMark val="out"/>
        <c:minorTickMark val="none"/>
        <c:tickLblPos val="nextTo"/>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en-MU"/>
          </a:p>
        </c:txPr>
        <c:crossAx val="458401472"/>
        <c:crosses val="autoZero"/>
        <c:crossBetween val="between"/>
      </c:valAx>
    </c:plotArea>
    <c:legend>
      <c:legendPos val="r"/>
      <c:layout>
        <c:manualLayout>
          <c:xMode val="edge"/>
          <c:yMode val="edge"/>
          <c:x val="0"/>
          <c:y val="0.89435862183893688"/>
          <c:w val="1"/>
          <c:h val="0.10564137816106312"/>
        </c:manualLayout>
      </c:layout>
      <c:overlay val="0"/>
      <c:txPr>
        <a:bodyPr/>
        <a:lstStyle/>
        <a:p>
          <a:pPr>
            <a:defRPr sz="1000" b="0" i="0" u="none" strike="noStrike" baseline="0">
              <a:solidFill>
                <a:srgbClr val="000000"/>
              </a:solidFill>
              <a:latin typeface="Times New Roman"/>
              <a:ea typeface="Times New Roman"/>
              <a:cs typeface="Times New Roman"/>
            </a:defRPr>
          </a:pPr>
          <a:endParaRPr lang="en-MU"/>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M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932539682539689"/>
          <c:y val="9.3055555555555586E-2"/>
          <c:w val="0.61309523809523825"/>
          <c:h val="0.8583333333333335"/>
        </c:manualLayout>
      </c:layout>
      <c:pieChart>
        <c:varyColors val="1"/>
        <c:ser>
          <c:idx val="1"/>
          <c:order val="1"/>
          <c:dPt>
            <c:idx val="0"/>
            <c:bubble3D val="0"/>
            <c:extLst>
              <c:ext xmlns:c16="http://schemas.microsoft.com/office/drawing/2014/chart" uri="{C3380CC4-5D6E-409C-BE32-E72D297353CC}">
                <c16:uniqueId val="{00000000-4D74-4100-93A3-FD4E8BB3222C}"/>
              </c:ext>
            </c:extLst>
          </c:dPt>
          <c:dPt>
            <c:idx val="1"/>
            <c:bubble3D val="0"/>
            <c:extLst>
              <c:ext xmlns:c16="http://schemas.microsoft.com/office/drawing/2014/chart" uri="{C3380CC4-5D6E-409C-BE32-E72D297353CC}">
                <c16:uniqueId val="{00000001-4D74-4100-93A3-FD4E8BB3222C}"/>
              </c:ext>
            </c:extLst>
          </c:dPt>
          <c:dPt>
            <c:idx val="2"/>
            <c:bubble3D val="0"/>
            <c:extLst>
              <c:ext xmlns:c16="http://schemas.microsoft.com/office/drawing/2014/chart" uri="{C3380CC4-5D6E-409C-BE32-E72D297353CC}">
                <c16:uniqueId val="{00000002-4D74-4100-93A3-FD4E8BB3222C}"/>
              </c:ext>
            </c:extLst>
          </c:dPt>
          <c:dPt>
            <c:idx val="3"/>
            <c:bubble3D val="0"/>
            <c:extLst>
              <c:ext xmlns:c16="http://schemas.microsoft.com/office/drawing/2014/chart" uri="{C3380CC4-5D6E-409C-BE32-E72D297353CC}">
                <c16:uniqueId val="{00000003-4D74-4100-93A3-FD4E8BB3222C}"/>
              </c:ext>
            </c:extLst>
          </c:dPt>
          <c:dPt>
            <c:idx val="4"/>
            <c:bubble3D val="0"/>
            <c:extLst>
              <c:ext xmlns:c16="http://schemas.microsoft.com/office/drawing/2014/chart" uri="{C3380CC4-5D6E-409C-BE32-E72D297353CC}">
                <c16:uniqueId val="{00000004-4D74-4100-93A3-FD4E8BB3222C}"/>
              </c:ext>
            </c:extLst>
          </c:dPt>
          <c:dPt>
            <c:idx val="5"/>
            <c:bubble3D val="0"/>
            <c:extLst>
              <c:ext xmlns:c16="http://schemas.microsoft.com/office/drawing/2014/chart" uri="{C3380CC4-5D6E-409C-BE32-E72D297353CC}">
                <c16:uniqueId val="{00000005-4D74-4100-93A3-FD4E8BB3222C}"/>
              </c:ext>
            </c:extLst>
          </c:dPt>
          <c:cat>
            <c:strRef>
              <c:f>'Chart 5 - EMP'!$G$5:$G$11</c:f>
              <c:strCache>
                <c:ptCount val="7"/>
                <c:pt idx="0">
                  <c:v>Accommodation services industry</c:v>
                </c:pt>
                <c:pt idx="1">
                  <c:v>Food and beverage serving industry</c:v>
                </c:pt>
                <c:pt idx="2">
                  <c:v>Road, air and water transport and related services industry</c:v>
                </c:pt>
                <c:pt idx="3">
                  <c:v>Travel agencies and other reservation services</c:v>
                </c:pt>
                <c:pt idx="4">
                  <c:v>Recreational, cultural and sports industry; and others</c:v>
                </c:pt>
                <c:pt idx="5">
                  <c:v>Retail trade of country-specific goods</c:v>
                </c:pt>
                <c:pt idx="6">
                  <c:v>other industries</c:v>
                </c:pt>
              </c:strCache>
            </c:strRef>
          </c:cat>
          <c:val>
            <c:numRef>
              <c:f>'Chart 5 - EMP'!$I$5:$I$11</c:f>
              <c:numCache>
                <c:formatCode>#,##0_ ;\-#,##0\ </c:formatCode>
                <c:ptCount val="7"/>
                <c:pt idx="0">
                  <c:v>35.143025909378331</c:v>
                </c:pt>
                <c:pt idx="1">
                  <c:v>20.343428718634613</c:v>
                </c:pt>
                <c:pt idx="2">
                  <c:v>10.255698007551374</c:v>
                </c:pt>
                <c:pt idx="3">
                  <c:v>3.2396480883474155</c:v>
                </c:pt>
                <c:pt idx="4">
                  <c:v>6.6354237954103681</c:v>
                </c:pt>
                <c:pt idx="5">
                  <c:v>9.0007572189507705</c:v>
                </c:pt>
                <c:pt idx="6">
                  <c:v>15.382018261727135</c:v>
                </c:pt>
              </c:numCache>
            </c:numRef>
          </c:val>
          <c:extLst>
            <c:ext xmlns:c16="http://schemas.microsoft.com/office/drawing/2014/chart" uri="{C3380CC4-5D6E-409C-BE32-E72D297353CC}">
              <c16:uniqueId val="{00000006-4D74-4100-93A3-FD4E8BB3222C}"/>
            </c:ext>
          </c:extLst>
        </c:ser>
        <c:dLbls>
          <c:showLegendKey val="0"/>
          <c:showVal val="0"/>
          <c:showCatName val="0"/>
          <c:showSerName val="0"/>
          <c:showPercent val="0"/>
          <c:showBubbleSize val="0"/>
          <c:showLeaderLines val="1"/>
        </c:dLbls>
        <c:firstSliceAng val="0"/>
      </c:pieChart>
      <c:pieChart>
        <c:varyColors val="1"/>
        <c:ser>
          <c:idx val="0"/>
          <c:order val="0"/>
          <c:spPr>
            <a:ln w="12700">
              <a:solidFill>
                <a:srgbClr val="002060"/>
              </a:solidFill>
            </a:ln>
          </c:spPr>
          <c:dPt>
            <c:idx val="0"/>
            <c:bubble3D val="0"/>
            <c:spPr>
              <a:pattFill prst="dotGrid">
                <a:fgClr>
                  <a:srgbClr val="FF0000"/>
                </a:fgClr>
                <a:bgClr>
                  <a:schemeClr val="bg1"/>
                </a:bgClr>
              </a:pattFill>
              <a:ln w="12700">
                <a:solidFill>
                  <a:srgbClr val="002060"/>
                </a:solidFill>
              </a:ln>
              <a:effectLst/>
            </c:spPr>
            <c:extLst>
              <c:ext xmlns:c16="http://schemas.microsoft.com/office/drawing/2014/chart" uri="{C3380CC4-5D6E-409C-BE32-E72D297353CC}">
                <c16:uniqueId val="{00000008-4D74-4100-93A3-FD4E8BB3222C}"/>
              </c:ext>
            </c:extLst>
          </c:dPt>
          <c:dPt>
            <c:idx val="1"/>
            <c:bubble3D val="0"/>
            <c:spPr>
              <a:pattFill prst="pct70">
                <a:fgClr>
                  <a:srgbClr val="1A0CD6"/>
                </a:fgClr>
                <a:bgClr>
                  <a:schemeClr val="bg1"/>
                </a:bgClr>
              </a:pattFill>
              <a:ln w="12700">
                <a:solidFill>
                  <a:srgbClr val="002060"/>
                </a:solidFill>
              </a:ln>
              <a:effectLst/>
            </c:spPr>
            <c:extLst>
              <c:ext xmlns:c16="http://schemas.microsoft.com/office/drawing/2014/chart" uri="{C3380CC4-5D6E-409C-BE32-E72D297353CC}">
                <c16:uniqueId val="{0000000A-4D74-4100-93A3-FD4E8BB3222C}"/>
              </c:ext>
            </c:extLst>
          </c:dPt>
          <c:dPt>
            <c:idx val="2"/>
            <c:bubble3D val="0"/>
            <c:spPr>
              <a:pattFill prst="dkDnDiag">
                <a:fgClr>
                  <a:srgbClr val="00CC00"/>
                </a:fgClr>
                <a:bgClr>
                  <a:schemeClr val="bg1"/>
                </a:bgClr>
              </a:pattFill>
              <a:ln w="12700">
                <a:solidFill>
                  <a:srgbClr val="002060"/>
                </a:solidFill>
              </a:ln>
              <a:effectLst/>
            </c:spPr>
            <c:extLst>
              <c:ext xmlns:c16="http://schemas.microsoft.com/office/drawing/2014/chart" uri="{C3380CC4-5D6E-409C-BE32-E72D297353CC}">
                <c16:uniqueId val="{0000000C-4D74-4100-93A3-FD4E8BB3222C}"/>
              </c:ext>
            </c:extLst>
          </c:dPt>
          <c:dPt>
            <c:idx val="3"/>
            <c:bubble3D val="0"/>
            <c:spPr>
              <a:pattFill prst="pct20">
                <a:fgClr>
                  <a:srgbClr val="FFC000"/>
                </a:fgClr>
                <a:bgClr>
                  <a:schemeClr val="bg1"/>
                </a:bgClr>
              </a:pattFill>
              <a:ln w="12700">
                <a:solidFill>
                  <a:srgbClr val="002060"/>
                </a:solidFill>
              </a:ln>
              <a:effectLst/>
            </c:spPr>
            <c:extLst>
              <c:ext xmlns:c16="http://schemas.microsoft.com/office/drawing/2014/chart" uri="{C3380CC4-5D6E-409C-BE32-E72D297353CC}">
                <c16:uniqueId val="{0000000E-4D74-4100-93A3-FD4E8BB3222C}"/>
              </c:ext>
            </c:extLst>
          </c:dPt>
          <c:dPt>
            <c:idx val="4"/>
            <c:bubble3D val="0"/>
            <c:spPr>
              <a:pattFill prst="dashHorz">
                <a:fgClr>
                  <a:srgbClr val="00CC00"/>
                </a:fgClr>
                <a:bgClr>
                  <a:schemeClr val="bg1"/>
                </a:bgClr>
              </a:pattFill>
              <a:ln w="12700">
                <a:solidFill>
                  <a:srgbClr val="002060"/>
                </a:solidFill>
              </a:ln>
              <a:effectLst/>
            </c:spPr>
            <c:extLst>
              <c:ext xmlns:c16="http://schemas.microsoft.com/office/drawing/2014/chart" uri="{C3380CC4-5D6E-409C-BE32-E72D297353CC}">
                <c16:uniqueId val="{00000010-4D74-4100-93A3-FD4E8BB3222C}"/>
              </c:ext>
            </c:extLst>
          </c:dPt>
          <c:dPt>
            <c:idx val="5"/>
            <c:bubble3D val="0"/>
            <c:extLst>
              <c:ext xmlns:c16="http://schemas.microsoft.com/office/drawing/2014/chart" uri="{C3380CC4-5D6E-409C-BE32-E72D297353CC}">
                <c16:uniqueId val="{00000011-4D74-4100-93A3-FD4E8BB3222C}"/>
              </c:ext>
            </c:extLst>
          </c:dPt>
          <c:dPt>
            <c:idx val="6"/>
            <c:bubble3D val="0"/>
            <c:spPr>
              <a:solidFill>
                <a:schemeClr val="accent6">
                  <a:lumMod val="40000"/>
                  <a:lumOff val="60000"/>
                </a:schemeClr>
              </a:solidFill>
              <a:ln w="12700">
                <a:solidFill>
                  <a:srgbClr val="002060"/>
                </a:solidFill>
              </a:ln>
            </c:spPr>
            <c:extLst>
              <c:ext xmlns:c16="http://schemas.microsoft.com/office/drawing/2014/chart" uri="{C3380CC4-5D6E-409C-BE32-E72D297353CC}">
                <c16:uniqueId val="{00000013-4D74-4100-93A3-FD4E8BB3222C}"/>
              </c:ext>
            </c:extLst>
          </c:dPt>
          <c:dLbls>
            <c:dLbl>
              <c:idx val="0"/>
              <c:layout>
                <c:manualLayout>
                  <c:x val="-1.1129296235679214E-3"/>
                  <c:y val="-2.2623898328498412E-2"/>
                </c:manualLayout>
              </c:layout>
              <c:spPr/>
              <c:txPr>
                <a:bodyPr/>
                <a:lstStyle/>
                <a:p>
                  <a:pPr>
                    <a:defRPr sz="1050" b="0" i="0" u="none" strike="noStrike" baseline="0">
                      <a:solidFill>
                        <a:srgbClr val="000000"/>
                      </a:solidFill>
                      <a:latin typeface="Times New Roman"/>
                      <a:ea typeface="Times New Roman"/>
                      <a:cs typeface="Times New Roman"/>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4D74-4100-93A3-FD4E8BB3222C}"/>
                </c:ext>
              </c:extLst>
            </c:dLbl>
            <c:dLbl>
              <c:idx val="1"/>
              <c:layout>
                <c:manualLayout>
                  <c:x val="0.15699420929425073"/>
                  <c:y val="-3.0479272282745478E-2"/>
                </c:manualLayout>
              </c:layout>
              <c:spPr/>
              <c:txPr>
                <a:bodyPr/>
                <a:lstStyle/>
                <a:p>
                  <a:pPr>
                    <a:defRPr sz="1050" b="0" i="0" u="none" strike="noStrike" baseline="0">
                      <a:solidFill>
                        <a:srgbClr val="000000"/>
                      </a:solidFill>
                      <a:latin typeface="Times New Roman"/>
                      <a:ea typeface="Times New Roman"/>
                      <a:cs typeface="Times New Roman"/>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4D74-4100-93A3-FD4E8BB3222C}"/>
                </c:ext>
              </c:extLst>
            </c:dLbl>
            <c:dLbl>
              <c:idx val="2"/>
              <c:layout>
                <c:manualLayout>
                  <c:x val="-0.10323017588662015"/>
                  <c:y val="-6.7156797181174399E-2"/>
                </c:manualLayout>
              </c:layout>
              <c:spPr/>
              <c:txPr>
                <a:bodyPr/>
                <a:lstStyle/>
                <a:p>
                  <a:pPr>
                    <a:defRPr sz="1050" b="0" i="0" u="none" strike="noStrike" baseline="0">
                      <a:solidFill>
                        <a:srgbClr val="000000"/>
                      </a:solidFill>
                      <a:latin typeface="Times New Roman"/>
                      <a:ea typeface="Times New Roman"/>
                      <a:cs typeface="Times New Roman"/>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4D74-4100-93A3-FD4E8BB3222C}"/>
                </c:ext>
              </c:extLst>
            </c:dLbl>
            <c:dLbl>
              <c:idx val="3"/>
              <c:layout>
                <c:manualLayout>
                  <c:x val="-0.10344627262986153"/>
                  <c:y val="-0.16229331607521663"/>
                </c:manualLayout>
              </c:layout>
              <c:spPr/>
              <c:txPr>
                <a:bodyPr/>
                <a:lstStyle/>
                <a:p>
                  <a:pPr>
                    <a:defRPr sz="1050" b="0" i="0" u="none" strike="noStrike" baseline="0">
                      <a:solidFill>
                        <a:srgbClr val="000000"/>
                      </a:solidFill>
                      <a:latin typeface="Times New Roman"/>
                      <a:ea typeface="Times New Roman"/>
                      <a:cs typeface="Times New Roman"/>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4D74-4100-93A3-FD4E8BB3222C}"/>
                </c:ext>
              </c:extLst>
            </c:dLbl>
            <c:dLbl>
              <c:idx val="4"/>
              <c:layout>
                <c:manualLayout>
                  <c:x val="-6.0485433630895709E-2"/>
                  <c:y val="-0.25366957897386117"/>
                </c:manualLayout>
              </c:layout>
              <c:spPr/>
              <c:txPr>
                <a:bodyPr/>
                <a:lstStyle/>
                <a:p>
                  <a:pPr>
                    <a:defRPr sz="1050" b="0" i="0" u="none" strike="noStrike" baseline="0">
                      <a:solidFill>
                        <a:srgbClr val="000000"/>
                      </a:solidFill>
                      <a:latin typeface="Times New Roman"/>
                      <a:ea typeface="Times New Roman"/>
                      <a:cs typeface="Times New Roman"/>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4D74-4100-93A3-FD4E8BB3222C}"/>
                </c:ext>
              </c:extLst>
            </c:dLbl>
            <c:dLbl>
              <c:idx val="5"/>
              <c:layout>
                <c:manualLayout>
                  <c:x val="-6.430378990677374E-2"/>
                  <c:y val="-0.1990545428396793"/>
                </c:manualLayout>
              </c:layout>
              <c:spPr/>
              <c:txPr>
                <a:bodyPr/>
                <a:lstStyle/>
                <a:p>
                  <a:pPr>
                    <a:defRPr sz="1050" b="0" i="0" u="none" strike="noStrike" baseline="0">
                      <a:solidFill>
                        <a:srgbClr val="000000"/>
                      </a:solidFill>
                      <a:latin typeface="Times New Roman"/>
                      <a:ea typeface="Times New Roman"/>
                      <a:cs typeface="Times New Roman"/>
                    </a:defRPr>
                  </a:pPr>
                  <a:endParaRPr lang="en-M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4D74-4100-93A3-FD4E8BB3222C}"/>
                </c:ext>
              </c:extLst>
            </c:dLbl>
            <c:dLbl>
              <c:idx val="6"/>
              <c:layout>
                <c:manualLayout>
                  <c:x val="-2.942425226718641E-2"/>
                  <c:y val="-9.736166540826237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4D74-4100-93A3-FD4E8BB3222C}"/>
                </c:ext>
              </c:extLst>
            </c:dLbl>
            <c:spPr>
              <a:noFill/>
              <a:ln w="25400">
                <a:noFill/>
              </a:ln>
            </c:spPr>
            <c:txPr>
              <a:bodyPr wrap="square" lIns="38100" tIns="19050" rIns="38100" bIns="19050" anchor="ctr">
                <a:spAutoFit/>
              </a:bodyPr>
              <a:lstStyle/>
              <a:p>
                <a:pPr>
                  <a:defRPr sz="1050" b="0" i="0" u="none" strike="noStrike" baseline="0">
                    <a:solidFill>
                      <a:srgbClr val="000000"/>
                    </a:solidFill>
                    <a:latin typeface="Times New Roman"/>
                    <a:ea typeface="Times New Roman"/>
                    <a:cs typeface="Times New Roman"/>
                  </a:defRPr>
                </a:pPr>
                <a:endParaRPr lang="en-MU"/>
              </a:p>
            </c:txPr>
            <c:showLegendKey val="0"/>
            <c:showVal val="0"/>
            <c:showCatName val="1"/>
            <c:showSerName val="0"/>
            <c:showPercent val="1"/>
            <c:showBubbleSize val="0"/>
            <c:showLeaderLines val="1"/>
            <c:extLst>
              <c:ext xmlns:c15="http://schemas.microsoft.com/office/drawing/2012/chart" uri="{CE6537A1-D6FC-4f65-9D91-7224C49458BB}"/>
            </c:extLst>
          </c:dLbls>
          <c:cat>
            <c:strRef>
              <c:f>'Chart 5 - EMP'!$G$5:$G$11</c:f>
              <c:strCache>
                <c:ptCount val="7"/>
                <c:pt idx="0">
                  <c:v>Accommodation services industry</c:v>
                </c:pt>
                <c:pt idx="1">
                  <c:v>Food and beverage serving industry</c:v>
                </c:pt>
                <c:pt idx="2">
                  <c:v>Road, air and water transport and related services industry</c:v>
                </c:pt>
                <c:pt idx="3">
                  <c:v>Travel agencies and other reservation services</c:v>
                </c:pt>
                <c:pt idx="4">
                  <c:v>Recreational, cultural and sports industry; and others</c:v>
                </c:pt>
                <c:pt idx="5">
                  <c:v>Retail trade of country-specific goods</c:v>
                </c:pt>
                <c:pt idx="6">
                  <c:v>other industries</c:v>
                </c:pt>
              </c:strCache>
            </c:strRef>
          </c:cat>
          <c:val>
            <c:numRef>
              <c:f>'Chart 5 - EMP'!$H$5:$H$11</c:f>
              <c:numCache>
                <c:formatCode>_ * #,##0_ ;_ * \-#,##0_ ;_ * "-"??_ ;_ @_ </c:formatCode>
                <c:ptCount val="7"/>
                <c:pt idx="0">
                  <c:v>27011</c:v>
                </c:pt>
                <c:pt idx="1">
                  <c:v>15636</c:v>
                </c:pt>
                <c:pt idx="2">
                  <c:v>7882.5500000000011</c:v>
                </c:pt>
                <c:pt idx="3">
                  <c:v>2490</c:v>
                </c:pt>
                <c:pt idx="4">
                  <c:v>5100</c:v>
                </c:pt>
                <c:pt idx="5">
                  <c:v>6918</c:v>
                </c:pt>
                <c:pt idx="6">
                  <c:v>11822.65</c:v>
                </c:pt>
              </c:numCache>
            </c:numRef>
          </c:val>
          <c:extLst>
            <c:ext xmlns:c16="http://schemas.microsoft.com/office/drawing/2014/chart" uri="{C3380CC4-5D6E-409C-BE32-E72D297353CC}">
              <c16:uniqueId val="{00000014-4D74-4100-93A3-FD4E8BB3222C}"/>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zero"/>
    <c:showDLblsOverMax val="0"/>
  </c:chart>
  <c:spPr>
    <a:solidFill>
      <a:schemeClr val="bg1"/>
    </a:solidFill>
    <a:ln w="12700" cap="flat" cmpd="sng" algn="ctr">
      <a:solidFill>
        <a:schemeClr val="tx1"/>
      </a:solidFill>
      <a:round/>
    </a:ln>
    <a:effectLst/>
  </c:spPr>
  <c:txPr>
    <a:bodyPr/>
    <a:lstStyle/>
    <a:p>
      <a:pPr>
        <a:defRPr sz="1200" b="0" i="0" u="none" strike="noStrike" baseline="0">
          <a:solidFill>
            <a:srgbClr val="000000"/>
          </a:solidFill>
          <a:latin typeface="Times New Roman"/>
          <a:ea typeface="Times New Roman"/>
          <a:cs typeface="Times New Roman"/>
        </a:defRPr>
      </a:pPr>
      <a:endParaRPr lang="en-M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9A9312-A571-47B2-A9CF-7134F6D5E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C0101B-D5A0-4DD3-B89A-C302C62329FA}">
  <ds:schemaRefs>
    <ds:schemaRef ds:uri="http://schemas.openxmlformats.org/officeDocument/2006/bibliography"/>
  </ds:schemaRefs>
</ds:datastoreItem>
</file>

<file path=customXml/itemProps3.xml><?xml version="1.0" encoding="utf-8"?>
<ds:datastoreItem xmlns:ds="http://schemas.openxmlformats.org/officeDocument/2006/customXml" ds:itemID="{19A47EE3-81B2-4CDD-8477-1BC26888DBCE}">
  <ds:schemaRefs>
    <ds:schemaRef ds:uri="http://schemas.microsoft.com/sharepoint/v3/contenttype/forms"/>
  </ds:schemaRefs>
</ds:datastoreItem>
</file>

<file path=customXml/itemProps4.xml><?xml version="1.0" encoding="utf-8"?>
<ds:datastoreItem xmlns:ds="http://schemas.openxmlformats.org/officeDocument/2006/customXml" ds:itemID="{9C269159-A25E-45C1-8237-29EBA5362B6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10</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Links>
    <vt:vector size="6" baseType="variant">
      <vt:variant>
        <vt:i4>720937</vt:i4>
      </vt:variant>
      <vt:variant>
        <vt:i4>0</vt:i4>
      </vt:variant>
      <vt:variant>
        <vt:i4>0</vt:i4>
      </vt:variant>
      <vt:variant>
        <vt:i4>5</vt:i4>
      </vt:variant>
      <vt:variant>
        <vt:lpwstr>mailto:rmoraby@govmu.org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Ri papiah</cp:lastModifiedBy>
  <cp:revision>160</cp:revision>
  <cp:lastPrinted>2023-07-19T06:37:00Z</cp:lastPrinted>
  <dcterms:created xsi:type="dcterms:W3CDTF">2023-07-17T05:36:00Z</dcterms:created>
  <dcterms:modified xsi:type="dcterms:W3CDTF">2023-08-09T04:27:00Z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52e706dae475dbc7669b8e67874eac7bbda68108f0400620e37f2a51d522a1b0</vt:lpwstr>
  </property>
  <property fmtid="{D5CDD505-2E9C-101B-9397-08002B2CF9AE}" pid="3" name="ContentTypeId">
    <vt:lpwstr>0x0101002493FC4C48176D4BA39FB2B3A58FDD54</vt:lpwstr>
  </property>
</Properties>
</file>