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4649B" w14:textId="77777777" w:rsidR="00AA4F09" w:rsidRPr="00A100A6" w:rsidRDefault="00AA4F09" w:rsidP="001416A7">
      <w:pPr>
        <w:pStyle w:val="Heading1"/>
        <w:tabs>
          <w:tab w:val="center" w:pos="4370"/>
        </w:tabs>
        <w:spacing w:before="0" w:after="0" w:line="360" w:lineRule="auto"/>
        <w:ind w:left="0"/>
        <w:jc w:val="center"/>
        <w:rPr>
          <w:rFonts w:ascii="Tahoma" w:hAnsi="Tahoma" w:cs="Tahoma"/>
          <w:spacing w:val="4"/>
          <w:sz w:val="22"/>
          <w:szCs w:val="22"/>
        </w:rPr>
      </w:pPr>
      <w:r w:rsidRPr="00A100A6">
        <w:rPr>
          <w:rFonts w:ascii="Tahoma" w:hAnsi="Tahoma" w:cs="Tahoma"/>
          <w:spacing w:val="4"/>
          <w:sz w:val="22"/>
          <w:szCs w:val="22"/>
        </w:rPr>
        <w:t>Concepts and definitions</w:t>
      </w:r>
    </w:p>
    <w:p w14:paraId="14648898" w14:textId="77777777" w:rsidR="00AA4F09" w:rsidRPr="00A100A6" w:rsidRDefault="00AA4F09" w:rsidP="001416A7">
      <w:pPr>
        <w:pStyle w:val="Heading1"/>
        <w:tabs>
          <w:tab w:val="center" w:pos="4370"/>
        </w:tabs>
        <w:spacing w:before="0" w:after="0" w:line="360" w:lineRule="auto"/>
        <w:ind w:left="0"/>
        <w:rPr>
          <w:rFonts w:ascii="Tahoma" w:hAnsi="Tahoma" w:cs="Tahoma"/>
          <w:spacing w:val="4"/>
          <w:sz w:val="22"/>
          <w:szCs w:val="22"/>
        </w:rPr>
      </w:pPr>
    </w:p>
    <w:p w14:paraId="6FD8F37A" w14:textId="77777777" w:rsidR="000C076B" w:rsidRPr="009A151B" w:rsidRDefault="00090C35" w:rsidP="001416A7">
      <w:pPr>
        <w:pStyle w:val="Heading1"/>
        <w:tabs>
          <w:tab w:val="center" w:pos="4370"/>
        </w:tabs>
        <w:spacing w:before="0" w:after="0" w:line="360" w:lineRule="auto"/>
        <w:ind w:left="0"/>
        <w:rPr>
          <w:rFonts w:ascii="Tahoma" w:hAnsi="Tahoma" w:cs="Tahoma"/>
          <w:spacing w:val="4"/>
          <w:sz w:val="22"/>
          <w:szCs w:val="22"/>
        </w:rPr>
      </w:pPr>
      <w:r w:rsidRPr="009A151B">
        <w:rPr>
          <w:rFonts w:ascii="Tahoma" w:hAnsi="Tahoma" w:cs="Tahoma"/>
          <w:spacing w:val="4"/>
          <w:sz w:val="22"/>
          <w:szCs w:val="22"/>
        </w:rPr>
        <w:t xml:space="preserve">1. </w:t>
      </w:r>
      <w:r w:rsidR="004852B2" w:rsidRPr="009A151B">
        <w:rPr>
          <w:rFonts w:ascii="Tahoma" w:hAnsi="Tahoma" w:cs="Tahoma"/>
          <w:spacing w:val="4"/>
          <w:sz w:val="22"/>
          <w:szCs w:val="22"/>
        </w:rPr>
        <w:t xml:space="preserve">       </w:t>
      </w:r>
      <w:r w:rsidR="000C076B" w:rsidRPr="009A151B">
        <w:rPr>
          <w:rFonts w:ascii="Tahoma" w:hAnsi="Tahoma" w:cs="Tahoma"/>
          <w:spacing w:val="4"/>
          <w:sz w:val="22"/>
          <w:szCs w:val="22"/>
        </w:rPr>
        <w:t>Concepts</w:t>
      </w:r>
    </w:p>
    <w:p w14:paraId="71017B5D" w14:textId="77777777" w:rsidR="00396DF4" w:rsidRPr="009A151B" w:rsidRDefault="005C405E" w:rsidP="001416A7">
      <w:pPr>
        <w:pStyle w:val="BodyText"/>
        <w:spacing w:line="360" w:lineRule="auto"/>
        <w:ind w:left="0"/>
        <w:rPr>
          <w:rFonts w:cs="Tahoma"/>
          <w:sz w:val="22"/>
          <w:szCs w:val="22"/>
        </w:rPr>
      </w:pPr>
      <w:r w:rsidRPr="009A151B">
        <w:rPr>
          <w:rFonts w:cs="Tahoma"/>
          <w:sz w:val="22"/>
          <w:szCs w:val="22"/>
        </w:rPr>
        <w:t>The Government Finance Statistics (GFS) framework is a specialized macroeconomics statistical framework designed by the International Monetary Fund (IMF) to provide statistics that enable policymakers and analysts to study developments in the financial operations and financial position of Government.</w:t>
      </w:r>
    </w:p>
    <w:p w14:paraId="60E69C4A" w14:textId="77777777" w:rsidR="005C405E" w:rsidRPr="009A151B" w:rsidRDefault="005C405E" w:rsidP="001416A7">
      <w:pPr>
        <w:pStyle w:val="BodyText"/>
        <w:spacing w:line="360" w:lineRule="auto"/>
        <w:ind w:left="0"/>
        <w:rPr>
          <w:rFonts w:cs="Tahoma"/>
          <w:sz w:val="22"/>
          <w:szCs w:val="22"/>
        </w:rPr>
      </w:pPr>
    </w:p>
    <w:p w14:paraId="0A06A651" w14:textId="77777777" w:rsidR="000C076B" w:rsidRPr="009A151B" w:rsidRDefault="000C076B" w:rsidP="00FF3469">
      <w:pPr>
        <w:pStyle w:val="BodyText"/>
        <w:spacing w:line="360" w:lineRule="auto"/>
        <w:ind w:left="0"/>
        <w:rPr>
          <w:rFonts w:cs="Tahoma"/>
          <w:sz w:val="22"/>
          <w:szCs w:val="22"/>
        </w:rPr>
      </w:pPr>
      <w:r w:rsidRPr="009A151B">
        <w:rPr>
          <w:rFonts w:cs="Tahoma"/>
          <w:sz w:val="22"/>
          <w:szCs w:val="22"/>
        </w:rPr>
        <w:t xml:space="preserve">Data </w:t>
      </w:r>
      <w:r w:rsidR="00284016" w:rsidRPr="009A151B">
        <w:rPr>
          <w:rFonts w:cs="Tahoma"/>
          <w:sz w:val="22"/>
          <w:szCs w:val="22"/>
        </w:rPr>
        <w:t>prior to 2008/09</w:t>
      </w:r>
      <w:r w:rsidRPr="009A151B">
        <w:rPr>
          <w:rFonts w:cs="Tahoma"/>
          <w:sz w:val="22"/>
          <w:szCs w:val="22"/>
        </w:rPr>
        <w:t xml:space="preserve"> have been compiled according to the concepts and definitions laid down in “A Manual on Government Finance Statistics (GFS) 1986” of the IMF.</w:t>
      </w:r>
      <w:r w:rsidR="00FF3469" w:rsidRPr="009A151B">
        <w:rPr>
          <w:rFonts w:cs="Tahoma"/>
          <w:sz w:val="22"/>
          <w:szCs w:val="22"/>
        </w:rPr>
        <w:t xml:space="preserve">  As from financial year 2008/09 detailed data on GFS have been prepared in accordance with the Government Finance Statistics Manual 2001 (GFSM 2001).</w:t>
      </w:r>
    </w:p>
    <w:p w14:paraId="3C272653" w14:textId="77777777" w:rsidR="00020001" w:rsidRPr="009A151B" w:rsidRDefault="00020001" w:rsidP="001416A7">
      <w:pPr>
        <w:pStyle w:val="BodyText"/>
        <w:spacing w:line="360" w:lineRule="auto"/>
        <w:ind w:left="0"/>
        <w:rPr>
          <w:rFonts w:cs="Tahoma"/>
          <w:sz w:val="22"/>
          <w:szCs w:val="22"/>
        </w:rPr>
      </w:pPr>
    </w:p>
    <w:p w14:paraId="44F62122" w14:textId="69BC6A0E" w:rsidR="00020001" w:rsidRPr="009A151B" w:rsidRDefault="005D5D4E" w:rsidP="001416A7">
      <w:pPr>
        <w:pStyle w:val="BodyText"/>
        <w:spacing w:line="360" w:lineRule="auto"/>
        <w:ind w:left="0"/>
        <w:rPr>
          <w:rFonts w:cs="Tahoma"/>
          <w:iCs/>
          <w:sz w:val="22"/>
          <w:szCs w:val="22"/>
        </w:rPr>
      </w:pPr>
      <w:r w:rsidRPr="009A151B">
        <w:rPr>
          <w:rFonts w:cs="Tahoma"/>
          <w:sz w:val="22"/>
          <w:szCs w:val="22"/>
        </w:rPr>
        <w:t xml:space="preserve">An updated manual (GFSM 2014) has been released </w:t>
      </w:r>
      <w:r w:rsidR="00CF2161" w:rsidRPr="009A151B">
        <w:rPr>
          <w:rFonts w:cs="Tahoma"/>
          <w:sz w:val="22"/>
          <w:szCs w:val="22"/>
        </w:rPr>
        <w:t>in 2014</w:t>
      </w:r>
      <w:r w:rsidR="00AA1BF7" w:rsidRPr="009A151B">
        <w:rPr>
          <w:rFonts w:cs="Tahoma"/>
          <w:sz w:val="22"/>
          <w:szCs w:val="22"/>
        </w:rPr>
        <w:t xml:space="preserve">.  </w:t>
      </w:r>
      <w:r w:rsidRPr="009A151B">
        <w:rPr>
          <w:rFonts w:cs="Tahoma"/>
          <w:iCs/>
          <w:sz w:val="22"/>
          <w:szCs w:val="22"/>
        </w:rPr>
        <w:t>One of the changes brought in the GFSM 2014 is the classification of the Social Securi</w:t>
      </w:r>
      <w:r w:rsidR="00DE703D" w:rsidRPr="009A151B">
        <w:rPr>
          <w:rFonts w:cs="Tahoma"/>
          <w:iCs/>
          <w:sz w:val="22"/>
          <w:szCs w:val="22"/>
        </w:rPr>
        <w:t>ty Fund</w:t>
      </w:r>
      <w:r w:rsidR="001A1C60" w:rsidRPr="009A151B">
        <w:rPr>
          <w:rFonts w:cs="Tahoma"/>
          <w:iCs/>
          <w:sz w:val="22"/>
          <w:szCs w:val="22"/>
        </w:rPr>
        <w:t xml:space="preserve"> (National Pension Fund)</w:t>
      </w:r>
      <w:r w:rsidR="00DE703D" w:rsidRPr="009A151B">
        <w:rPr>
          <w:rFonts w:cs="Tahoma"/>
          <w:iCs/>
          <w:sz w:val="22"/>
          <w:szCs w:val="22"/>
        </w:rPr>
        <w:t xml:space="preserve"> as a sector of General G</w:t>
      </w:r>
      <w:r w:rsidR="005C761B">
        <w:rPr>
          <w:rFonts w:cs="Tahoma"/>
          <w:iCs/>
          <w:sz w:val="22"/>
          <w:szCs w:val="22"/>
        </w:rPr>
        <w:t xml:space="preserve">overnment instead of </w:t>
      </w:r>
      <w:r w:rsidR="00AD6AAA" w:rsidRPr="009A151B">
        <w:rPr>
          <w:rFonts w:cs="Tahoma"/>
          <w:iCs/>
          <w:sz w:val="22"/>
          <w:szCs w:val="22"/>
        </w:rPr>
        <w:t xml:space="preserve">a </w:t>
      </w:r>
      <w:r w:rsidRPr="009A151B">
        <w:rPr>
          <w:rFonts w:cs="Tahoma"/>
          <w:iCs/>
          <w:sz w:val="22"/>
          <w:szCs w:val="22"/>
        </w:rPr>
        <w:t xml:space="preserve">sector </w:t>
      </w:r>
      <w:r w:rsidR="00AD6AAA" w:rsidRPr="009A151B">
        <w:rPr>
          <w:rFonts w:cs="Tahoma"/>
          <w:iCs/>
          <w:sz w:val="22"/>
          <w:szCs w:val="22"/>
        </w:rPr>
        <w:t>of the Central Government</w:t>
      </w:r>
      <w:r w:rsidRPr="009A151B">
        <w:rPr>
          <w:rFonts w:cs="Tahoma"/>
          <w:iCs/>
          <w:sz w:val="22"/>
          <w:szCs w:val="22"/>
        </w:rPr>
        <w:t xml:space="preserve">.  </w:t>
      </w:r>
    </w:p>
    <w:p w14:paraId="3161ED2B" w14:textId="77777777" w:rsidR="00712D16" w:rsidRPr="009A151B" w:rsidRDefault="00712D16" w:rsidP="001416A7">
      <w:pPr>
        <w:pStyle w:val="BodyText"/>
        <w:spacing w:line="360" w:lineRule="auto"/>
        <w:ind w:left="0"/>
        <w:rPr>
          <w:rFonts w:cs="Tahoma"/>
          <w:iCs/>
          <w:sz w:val="22"/>
          <w:szCs w:val="22"/>
        </w:rPr>
      </w:pPr>
    </w:p>
    <w:p w14:paraId="14D45FF8" w14:textId="77777777" w:rsidR="0084396C" w:rsidRPr="009A151B" w:rsidRDefault="005D5D4E" w:rsidP="001416A7">
      <w:pPr>
        <w:pStyle w:val="Heading1"/>
        <w:tabs>
          <w:tab w:val="left" w:pos="8647"/>
        </w:tabs>
        <w:spacing w:before="0" w:after="0" w:line="360" w:lineRule="auto"/>
        <w:ind w:left="0"/>
        <w:rPr>
          <w:rFonts w:cs="Tahoma"/>
          <w:b w:val="0"/>
          <w:iCs/>
          <w:sz w:val="22"/>
          <w:szCs w:val="22"/>
        </w:rPr>
      </w:pPr>
      <w:r w:rsidRPr="009A151B">
        <w:rPr>
          <w:rFonts w:cs="Tahoma"/>
          <w:b w:val="0"/>
          <w:iCs/>
          <w:sz w:val="22"/>
          <w:szCs w:val="22"/>
        </w:rPr>
        <w:t>Although the GFSM 2014 has not yet been</w:t>
      </w:r>
      <w:r w:rsidR="00701454" w:rsidRPr="009A151B">
        <w:rPr>
          <w:rFonts w:cs="Tahoma"/>
          <w:b w:val="0"/>
          <w:iCs/>
          <w:sz w:val="22"/>
          <w:szCs w:val="22"/>
        </w:rPr>
        <w:t xml:space="preserve"> fully</w:t>
      </w:r>
      <w:r w:rsidR="00CF2161" w:rsidRPr="009A151B">
        <w:rPr>
          <w:rFonts w:cs="Tahoma"/>
          <w:b w:val="0"/>
          <w:iCs/>
          <w:sz w:val="22"/>
          <w:szCs w:val="22"/>
        </w:rPr>
        <w:t xml:space="preserve"> implemented, the new </w:t>
      </w:r>
      <w:proofErr w:type="spellStart"/>
      <w:r w:rsidR="00CF2161" w:rsidRPr="009A151B">
        <w:rPr>
          <w:rFonts w:cs="Tahoma"/>
          <w:b w:val="0"/>
          <w:iCs/>
          <w:sz w:val="22"/>
          <w:szCs w:val="22"/>
        </w:rPr>
        <w:t>sectoriz</w:t>
      </w:r>
      <w:r w:rsidRPr="009A151B">
        <w:rPr>
          <w:rFonts w:cs="Tahoma"/>
          <w:b w:val="0"/>
          <w:iCs/>
          <w:sz w:val="22"/>
          <w:szCs w:val="22"/>
        </w:rPr>
        <w:t>ation</w:t>
      </w:r>
      <w:proofErr w:type="spellEnd"/>
      <w:r w:rsidRPr="009A151B">
        <w:rPr>
          <w:rFonts w:cs="Tahoma"/>
          <w:b w:val="0"/>
          <w:iCs/>
          <w:sz w:val="22"/>
          <w:szCs w:val="22"/>
        </w:rPr>
        <w:t xml:space="preserve"> of the Social Security Fund has been adopted when compiling the data published in this volume.</w:t>
      </w:r>
    </w:p>
    <w:p w14:paraId="32725C4D" w14:textId="77777777" w:rsidR="0084396C" w:rsidRPr="009A151B" w:rsidRDefault="0084396C" w:rsidP="001416A7">
      <w:pPr>
        <w:pStyle w:val="Heading1"/>
        <w:spacing w:before="0" w:after="0" w:line="360" w:lineRule="auto"/>
        <w:ind w:left="0"/>
        <w:rPr>
          <w:rFonts w:cs="Tahoma"/>
          <w:b w:val="0"/>
          <w:iCs/>
          <w:sz w:val="22"/>
          <w:szCs w:val="22"/>
        </w:rPr>
      </w:pPr>
    </w:p>
    <w:p w14:paraId="684BBA15" w14:textId="77777777" w:rsidR="0084396C" w:rsidRPr="009A151B" w:rsidRDefault="00AA1BF7" w:rsidP="001416A7">
      <w:pPr>
        <w:pStyle w:val="Heading1"/>
        <w:spacing w:before="0" w:after="0" w:line="360" w:lineRule="auto"/>
        <w:ind w:left="0"/>
        <w:rPr>
          <w:rFonts w:ascii="Tahoma" w:hAnsi="Tahoma" w:cs="Tahoma"/>
          <w:spacing w:val="4"/>
          <w:sz w:val="22"/>
          <w:szCs w:val="22"/>
        </w:rPr>
      </w:pPr>
      <w:r w:rsidRPr="009A151B">
        <w:rPr>
          <w:rFonts w:ascii="Tahoma" w:hAnsi="Tahoma" w:cs="Tahoma"/>
          <w:spacing w:val="4"/>
          <w:sz w:val="22"/>
          <w:szCs w:val="22"/>
        </w:rPr>
        <w:t xml:space="preserve">2. </w:t>
      </w:r>
      <w:r w:rsidR="004852B2" w:rsidRPr="009A151B">
        <w:rPr>
          <w:rFonts w:ascii="Tahoma" w:hAnsi="Tahoma" w:cs="Tahoma"/>
          <w:spacing w:val="4"/>
          <w:sz w:val="22"/>
          <w:szCs w:val="22"/>
        </w:rPr>
        <w:tab/>
      </w:r>
      <w:r w:rsidR="000C076B" w:rsidRPr="009A151B">
        <w:rPr>
          <w:rFonts w:ascii="Tahoma" w:hAnsi="Tahoma" w:cs="Tahoma"/>
          <w:spacing w:val="4"/>
          <w:sz w:val="22"/>
          <w:szCs w:val="22"/>
        </w:rPr>
        <w:t xml:space="preserve">Definition of main aggregates </w:t>
      </w:r>
    </w:p>
    <w:p w14:paraId="3C2E95BD" w14:textId="77777777" w:rsidR="0084396C" w:rsidRPr="009A151B" w:rsidRDefault="000C076B" w:rsidP="001416A7">
      <w:pPr>
        <w:spacing w:line="360" w:lineRule="auto"/>
        <w:ind w:left="0"/>
        <w:rPr>
          <w:rFonts w:ascii="Tahoma" w:hAnsi="Tahoma" w:cs="Tahoma"/>
          <w:sz w:val="22"/>
          <w:szCs w:val="22"/>
        </w:rPr>
      </w:pPr>
      <w:r w:rsidRPr="009A151B">
        <w:rPr>
          <w:rFonts w:ascii="Tahoma" w:hAnsi="Tahoma" w:cs="Tahoma"/>
          <w:b/>
          <w:sz w:val="22"/>
          <w:szCs w:val="22"/>
        </w:rPr>
        <w:t>Revenue</w:t>
      </w:r>
      <w:r w:rsidRPr="009A151B">
        <w:rPr>
          <w:rFonts w:ascii="Tahoma" w:hAnsi="Tahoma" w:cs="Tahoma"/>
          <w:sz w:val="22"/>
          <w:szCs w:val="22"/>
        </w:rPr>
        <w:t xml:space="preserve"> </w:t>
      </w:r>
      <w:r w:rsidR="001A0FF2" w:rsidRPr="009A151B">
        <w:rPr>
          <w:rFonts w:ascii="Tahoma" w:hAnsi="Tahoma" w:cs="Tahoma"/>
          <w:sz w:val="22"/>
          <w:szCs w:val="22"/>
        </w:rPr>
        <w:t xml:space="preserve">is an increase </w:t>
      </w:r>
      <w:r w:rsidR="00950C98" w:rsidRPr="009A151B">
        <w:rPr>
          <w:rFonts w:ascii="Tahoma" w:hAnsi="Tahoma" w:cs="Tahoma"/>
          <w:sz w:val="22"/>
          <w:szCs w:val="22"/>
        </w:rPr>
        <w:t>in Net Worth r</w:t>
      </w:r>
      <w:r w:rsidR="001A0FF2" w:rsidRPr="009A151B">
        <w:rPr>
          <w:rFonts w:ascii="Tahoma" w:hAnsi="Tahoma" w:cs="Tahoma"/>
          <w:sz w:val="22"/>
          <w:szCs w:val="22"/>
        </w:rPr>
        <w:t xml:space="preserve">esulting from a </w:t>
      </w:r>
      <w:r w:rsidR="002636FC" w:rsidRPr="009A151B">
        <w:rPr>
          <w:rFonts w:ascii="Tahoma" w:hAnsi="Tahoma" w:cs="Tahoma"/>
          <w:sz w:val="22"/>
          <w:szCs w:val="22"/>
        </w:rPr>
        <w:t>transaction</w:t>
      </w:r>
      <w:r w:rsidR="00A63390" w:rsidRPr="009A151B">
        <w:rPr>
          <w:rFonts w:ascii="Tahoma" w:hAnsi="Tahoma" w:cs="Tahoma"/>
          <w:sz w:val="22"/>
          <w:szCs w:val="22"/>
        </w:rPr>
        <w:t xml:space="preserve">. </w:t>
      </w:r>
      <w:r w:rsidR="002636FC" w:rsidRPr="009A151B">
        <w:rPr>
          <w:rFonts w:ascii="Tahoma" w:hAnsi="Tahoma" w:cs="Tahoma"/>
          <w:sz w:val="22"/>
          <w:szCs w:val="22"/>
        </w:rPr>
        <w:t>Net Worth</w:t>
      </w:r>
      <w:r w:rsidR="00A63390" w:rsidRPr="009A151B">
        <w:rPr>
          <w:rFonts w:ascii="Tahoma" w:hAnsi="Tahoma" w:cs="Tahoma"/>
          <w:sz w:val="22"/>
          <w:szCs w:val="22"/>
        </w:rPr>
        <w:t xml:space="preserve"> </w:t>
      </w:r>
      <w:r w:rsidR="001A0FF2" w:rsidRPr="009A151B">
        <w:rPr>
          <w:rFonts w:ascii="Tahoma" w:hAnsi="Tahoma" w:cs="Tahoma"/>
          <w:sz w:val="22"/>
          <w:szCs w:val="22"/>
        </w:rPr>
        <w:t xml:space="preserve">is the total value of assets less </w:t>
      </w:r>
      <w:r w:rsidR="00950C98" w:rsidRPr="009A151B">
        <w:rPr>
          <w:rFonts w:ascii="Tahoma" w:hAnsi="Tahoma" w:cs="Tahoma"/>
          <w:sz w:val="22"/>
          <w:szCs w:val="22"/>
        </w:rPr>
        <w:t xml:space="preserve">the </w:t>
      </w:r>
      <w:r w:rsidR="001A0FF2" w:rsidRPr="009A151B">
        <w:rPr>
          <w:rFonts w:ascii="Tahoma" w:hAnsi="Tahoma" w:cs="Tahoma"/>
          <w:sz w:val="22"/>
          <w:szCs w:val="22"/>
        </w:rPr>
        <w:t xml:space="preserve">total value of liabilities.  </w:t>
      </w:r>
      <w:r w:rsidR="00950C98" w:rsidRPr="009A151B">
        <w:rPr>
          <w:rFonts w:ascii="Tahoma" w:hAnsi="Tahoma" w:cs="Tahoma"/>
          <w:sz w:val="22"/>
          <w:szCs w:val="22"/>
        </w:rPr>
        <w:t xml:space="preserve">Net Worth </w:t>
      </w:r>
      <w:r w:rsidR="00A63390" w:rsidRPr="009A151B">
        <w:rPr>
          <w:rFonts w:ascii="Tahoma" w:hAnsi="Tahoma" w:cs="Tahoma"/>
          <w:sz w:val="22"/>
          <w:szCs w:val="22"/>
          <w:shd w:val="clear" w:color="auto" w:fill="FFFFFF"/>
        </w:rPr>
        <w:t>represents the value of the government</w:t>
      </w:r>
      <w:r w:rsidR="00950C98" w:rsidRPr="009A151B">
        <w:rPr>
          <w:rFonts w:ascii="Tahoma" w:hAnsi="Tahoma" w:cs="Tahoma"/>
          <w:sz w:val="22"/>
          <w:szCs w:val="22"/>
          <w:shd w:val="clear" w:color="auto" w:fill="FFFFFF"/>
        </w:rPr>
        <w:t xml:space="preserve"> and also indicates th</w:t>
      </w:r>
      <w:r w:rsidR="00CE4AED" w:rsidRPr="009A151B">
        <w:rPr>
          <w:rFonts w:ascii="Tahoma" w:hAnsi="Tahoma" w:cs="Tahoma"/>
          <w:sz w:val="22"/>
          <w:szCs w:val="22"/>
          <w:shd w:val="clear" w:color="auto" w:fill="FFFFFF"/>
        </w:rPr>
        <w:t>e financial position of the government.</w:t>
      </w:r>
    </w:p>
    <w:p w14:paraId="623352E4" w14:textId="77777777" w:rsidR="00A63390" w:rsidRPr="009A151B" w:rsidRDefault="00A63390" w:rsidP="001416A7">
      <w:pPr>
        <w:spacing w:line="360" w:lineRule="auto"/>
        <w:ind w:left="0"/>
        <w:rPr>
          <w:rFonts w:ascii="Tahoma" w:eastAsia="Calibri" w:hAnsi="Tahoma" w:cs="Tahoma"/>
          <w:sz w:val="22"/>
          <w:szCs w:val="22"/>
          <w:shd w:val="clear" w:color="auto" w:fill="FFFFFF"/>
          <w:lang w:val="en-US"/>
        </w:rPr>
      </w:pPr>
    </w:p>
    <w:p w14:paraId="65FFEFDC" w14:textId="77777777" w:rsidR="006149B2" w:rsidRPr="00A100A6" w:rsidRDefault="00A63390" w:rsidP="001416A7">
      <w:pPr>
        <w:spacing w:line="360" w:lineRule="auto"/>
        <w:ind w:left="0"/>
        <w:rPr>
          <w:rFonts w:ascii="Tahoma" w:hAnsi="Tahoma" w:cs="Tahoma"/>
          <w:sz w:val="22"/>
          <w:szCs w:val="22"/>
        </w:rPr>
      </w:pPr>
      <w:r w:rsidRPr="009A151B">
        <w:rPr>
          <w:rFonts w:ascii="Tahoma" w:eastAsia="Calibri" w:hAnsi="Tahoma" w:cs="Tahoma"/>
          <w:sz w:val="22"/>
          <w:szCs w:val="22"/>
          <w:shd w:val="clear" w:color="auto" w:fill="FFFFFF"/>
          <w:lang w:val="en-US"/>
        </w:rPr>
        <w:t>There are four main sources of revenue, namely:</w:t>
      </w:r>
    </w:p>
    <w:p w14:paraId="26A1AE81" w14:textId="77777777" w:rsidR="00A63390" w:rsidRPr="00A100A6" w:rsidRDefault="00A63390" w:rsidP="001416A7">
      <w:pPr>
        <w:numPr>
          <w:ilvl w:val="0"/>
          <w:numId w:val="6"/>
        </w:numPr>
        <w:spacing w:line="360" w:lineRule="auto"/>
        <w:ind w:left="0" w:firstLine="0"/>
        <w:rPr>
          <w:rFonts w:ascii="Tahoma" w:hAnsi="Tahoma" w:cs="Tahoma"/>
          <w:sz w:val="22"/>
          <w:szCs w:val="22"/>
        </w:rPr>
      </w:pPr>
      <w:r w:rsidRPr="00A100A6">
        <w:rPr>
          <w:rFonts w:ascii="Tahoma" w:eastAsia="Calibri" w:hAnsi="Tahoma" w:cs="Tahoma"/>
          <w:b/>
          <w:sz w:val="22"/>
          <w:szCs w:val="22"/>
          <w:shd w:val="clear" w:color="auto" w:fill="FFFFFF"/>
          <w:lang w:val="en-US"/>
        </w:rPr>
        <w:t>Taxes</w:t>
      </w:r>
    </w:p>
    <w:p w14:paraId="23B04DB4" w14:textId="77777777" w:rsidR="001A642E" w:rsidRPr="00A100A6" w:rsidRDefault="00A63390" w:rsidP="001416A7">
      <w:pPr>
        <w:numPr>
          <w:ilvl w:val="0"/>
          <w:numId w:val="6"/>
        </w:numPr>
        <w:spacing w:line="360" w:lineRule="auto"/>
        <w:ind w:left="0" w:firstLine="0"/>
        <w:contextualSpacing/>
        <w:rPr>
          <w:rFonts w:ascii="Tahoma" w:eastAsia="Calibri" w:hAnsi="Tahoma" w:cs="Tahoma"/>
          <w:b/>
          <w:sz w:val="22"/>
          <w:szCs w:val="22"/>
          <w:lang w:val="en-US"/>
        </w:rPr>
      </w:pPr>
      <w:r w:rsidRPr="00A100A6">
        <w:rPr>
          <w:rFonts w:ascii="Tahoma" w:eastAsia="Calibri" w:hAnsi="Tahoma" w:cs="Tahoma"/>
          <w:b/>
          <w:sz w:val="22"/>
          <w:szCs w:val="22"/>
          <w:shd w:val="clear" w:color="auto" w:fill="FFFFFF"/>
          <w:lang w:val="en-US"/>
        </w:rPr>
        <w:t xml:space="preserve">Social contributions </w:t>
      </w:r>
    </w:p>
    <w:p w14:paraId="3DA1A6C4" w14:textId="77777777" w:rsidR="00A63390" w:rsidRPr="00A100A6" w:rsidRDefault="00A63390" w:rsidP="001416A7">
      <w:pPr>
        <w:numPr>
          <w:ilvl w:val="0"/>
          <w:numId w:val="6"/>
        </w:numPr>
        <w:spacing w:line="360" w:lineRule="auto"/>
        <w:ind w:left="0" w:firstLine="0"/>
        <w:contextualSpacing/>
        <w:rPr>
          <w:rFonts w:ascii="Tahoma" w:eastAsia="Calibri" w:hAnsi="Tahoma" w:cs="Tahoma"/>
          <w:b/>
          <w:sz w:val="22"/>
          <w:szCs w:val="22"/>
          <w:lang w:val="en-US"/>
        </w:rPr>
      </w:pPr>
      <w:r w:rsidRPr="00A100A6">
        <w:rPr>
          <w:rFonts w:ascii="Tahoma" w:eastAsia="Calibri" w:hAnsi="Tahoma" w:cs="Tahoma"/>
          <w:b/>
          <w:sz w:val="22"/>
          <w:szCs w:val="22"/>
          <w:shd w:val="clear" w:color="auto" w:fill="FFFFFF"/>
          <w:lang w:val="en-US"/>
        </w:rPr>
        <w:t xml:space="preserve">Grants </w:t>
      </w:r>
    </w:p>
    <w:p w14:paraId="7D8785C4" w14:textId="77777777" w:rsidR="009D7FD0" w:rsidRPr="00A100A6" w:rsidRDefault="00A63390" w:rsidP="001416A7">
      <w:pPr>
        <w:numPr>
          <w:ilvl w:val="0"/>
          <w:numId w:val="6"/>
        </w:numPr>
        <w:autoSpaceDE w:val="0"/>
        <w:autoSpaceDN w:val="0"/>
        <w:adjustRightInd w:val="0"/>
        <w:spacing w:line="360" w:lineRule="auto"/>
        <w:ind w:left="0" w:firstLine="0"/>
        <w:contextualSpacing/>
        <w:rPr>
          <w:rFonts w:ascii="Tahoma" w:eastAsia="Calibri" w:hAnsi="Tahoma" w:cs="Tahoma"/>
          <w:b/>
          <w:sz w:val="22"/>
          <w:szCs w:val="22"/>
          <w:lang w:val="en-US"/>
        </w:rPr>
      </w:pPr>
      <w:r w:rsidRPr="00A100A6">
        <w:rPr>
          <w:rFonts w:ascii="Tahoma" w:eastAsia="Calibri" w:hAnsi="Tahoma" w:cs="Tahoma"/>
          <w:b/>
          <w:sz w:val="22"/>
          <w:szCs w:val="22"/>
          <w:shd w:val="clear" w:color="auto" w:fill="FFFFFF"/>
          <w:lang w:val="en-US"/>
        </w:rPr>
        <w:t>Other revenue</w:t>
      </w:r>
    </w:p>
    <w:p w14:paraId="5323A4DE" w14:textId="77777777" w:rsidR="00A81D69" w:rsidRPr="00A100A6" w:rsidRDefault="00A81D69" w:rsidP="001416A7">
      <w:pPr>
        <w:spacing w:line="360" w:lineRule="auto"/>
        <w:ind w:left="0"/>
        <w:rPr>
          <w:rFonts w:ascii="Tahoma" w:hAnsi="Tahoma" w:cs="Tahoma"/>
          <w:b/>
          <w:sz w:val="22"/>
          <w:szCs w:val="22"/>
        </w:rPr>
      </w:pPr>
    </w:p>
    <w:p w14:paraId="1978AB72" w14:textId="77777777" w:rsidR="0084396C" w:rsidRPr="00A100A6" w:rsidRDefault="002556B4" w:rsidP="001416A7">
      <w:pPr>
        <w:spacing w:line="360" w:lineRule="auto"/>
        <w:ind w:left="0"/>
        <w:rPr>
          <w:rFonts w:ascii="Tahoma" w:hAnsi="Tahoma" w:cs="Tahoma"/>
          <w:sz w:val="22"/>
          <w:szCs w:val="22"/>
        </w:rPr>
      </w:pPr>
      <w:bookmarkStart w:id="0" w:name="OLE_LINK1"/>
      <w:r w:rsidRPr="00A100A6">
        <w:rPr>
          <w:rFonts w:ascii="Tahoma" w:hAnsi="Tahoma" w:cs="Tahoma"/>
          <w:b/>
          <w:sz w:val="22"/>
          <w:szCs w:val="22"/>
        </w:rPr>
        <w:t xml:space="preserve">Taxes </w:t>
      </w:r>
      <w:r w:rsidR="007660E1" w:rsidRPr="00A100A6">
        <w:rPr>
          <w:rFonts w:ascii="Tahoma" w:hAnsi="Tahoma" w:cs="Tahoma"/>
          <w:sz w:val="22"/>
          <w:szCs w:val="22"/>
        </w:rPr>
        <w:t>include the following items of revenue: i</w:t>
      </w:r>
      <w:r w:rsidRPr="00A100A6">
        <w:rPr>
          <w:rFonts w:ascii="Tahoma" w:hAnsi="Tahoma" w:cs="Tahoma"/>
          <w:sz w:val="22"/>
          <w:szCs w:val="22"/>
        </w:rPr>
        <w:t xml:space="preserve">ncome </w:t>
      </w:r>
      <w:r w:rsidR="007660E1" w:rsidRPr="00A100A6">
        <w:rPr>
          <w:rFonts w:ascii="Tahoma" w:hAnsi="Tahoma" w:cs="Tahoma"/>
          <w:sz w:val="22"/>
          <w:szCs w:val="22"/>
        </w:rPr>
        <w:t>t</w:t>
      </w:r>
      <w:r w:rsidRPr="00A100A6">
        <w:rPr>
          <w:rFonts w:ascii="Tahoma" w:hAnsi="Tahoma" w:cs="Tahoma"/>
          <w:sz w:val="22"/>
          <w:szCs w:val="22"/>
        </w:rPr>
        <w:t xml:space="preserve">ax (Individuals and Companies), VAT, </w:t>
      </w:r>
      <w:r w:rsidR="007660E1" w:rsidRPr="00A100A6">
        <w:rPr>
          <w:rFonts w:ascii="Tahoma" w:hAnsi="Tahoma" w:cs="Tahoma"/>
          <w:sz w:val="22"/>
          <w:szCs w:val="22"/>
        </w:rPr>
        <w:t>e</w:t>
      </w:r>
      <w:r w:rsidRPr="00A100A6">
        <w:rPr>
          <w:rFonts w:ascii="Tahoma" w:hAnsi="Tahoma" w:cs="Tahoma"/>
          <w:sz w:val="22"/>
          <w:szCs w:val="22"/>
        </w:rPr>
        <w:t xml:space="preserve">xcise duties on spirits, liquors and alcoholic beverages, tobacco products, </w:t>
      </w:r>
      <w:r w:rsidR="001A642E" w:rsidRPr="00A100A6">
        <w:rPr>
          <w:rFonts w:ascii="Tahoma" w:hAnsi="Tahoma" w:cs="Tahoma"/>
          <w:sz w:val="22"/>
          <w:szCs w:val="22"/>
        </w:rPr>
        <w:t>motor vehicles and motor cycles</w:t>
      </w:r>
      <w:r w:rsidR="00CE4AED" w:rsidRPr="00A100A6">
        <w:rPr>
          <w:rFonts w:ascii="Tahoma" w:hAnsi="Tahoma" w:cs="Tahoma"/>
          <w:sz w:val="22"/>
          <w:szCs w:val="22"/>
        </w:rPr>
        <w:t xml:space="preserve"> and</w:t>
      </w:r>
      <w:r w:rsidR="001A642E" w:rsidRPr="00A100A6">
        <w:rPr>
          <w:rFonts w:ascii="Tahoma" w:hAnsi="Tahoma" w:cs="Tahoma"/>
          <w:sz w:val="22"/>
          <w:szCs w:val="22"/>
        </w:rPr>
        <w:t xml:space="preserve"> petroleum products, betting and gaming taxes, road motor vehicles licences and customs du</w:t>
      </w:r>
      <w:r w:rsidR="007660E1" w:rsidRPr="00A100A6">
        <w:rPr>
          <w:rFonts w:ascii="Tahoma" w:hAnsi="Tahoma" w:cs="Tahoma"/>
          <w:sz w:val="22"/>
          <w:szCs w:val="22"/>
        </w:rPr>
        <w:t>t</w:t>
      </w:r>
      <w:r w:rsidR="001A642E" w:rsidRPr="00A100A6">
        <w:rPr>
          <w:rFonts w:ascii="Tahoma" w:hAnsi="Tahoma" w:cs="Tahoma"/>
          <w:sz w:val="22"/>
          <w:szCs w:val="22"/>
        </w:rPr>
        <w:t>ies.</w:t>
      </w:r>
    </w:p>
    <w:bookmarkEnd w:id="0"/>
    <w:p w14:paraId="4556033D" w14:textId="77777777" w:rsidR="001A642E" w:rsidRPr="00A100A6" w:rsidRDefault="001A642E" w:rsidP="001416A7">
      <w:pPr>
        <w:spacing w:line="360" w:lineRule="auto"/>
        <w:ind w:left="0"/>
        <w:rPr>
          <w:rFonts w:ascii="Tahoma" w:hAnsi="Tahoma" w:cs="Tahoma"/>
          <w:sz w:val="22"/>
          <w:szCs w:val="22"/>
        </w:rPr>
      </w:pPr>
    </w:p>
    <w:p w14:paraId="0FC7184D" w14:textId="77777777" w:rsidR="0084396C" w:rsidRPr="009A151B" w:rsidRDefault="001A642E" w:rsidP="001416A7">
      <w:pPr>
        <w:spacing w:line="360" w:lineRule="auto"/>
        <w:ind w:left="0"/>
        <w:rPr>
          <w:rFonts w:ascii="Tahoma" w:hAnsi="Tahoma" w:cs="Tahoma"/>
          <w:sz w:val="22"/>
          <w:szCs w:val="22"/>
        </w:rPr>
      </w:pPr>
      <w:r w:rsidRPr="009A151B">
        <w:rPr>
          <w:rFonts w:ascii="Tahoma" w:hAnsi="Tahoma" w:cs="Tahoma"/>
          <w:b/>
          <w:sz w:val="22"/>
          <w:szCs w:val="22"/>
        </w:rPr>
        <w:lastRenderedPageBreak/>
        <w:t>Social Contributions</w:t>
      </w:r>
      <w:r w:rsidRPr="009A151B">
        <w:rPr>
          <w:rFonts w:ascii="Tahoma" w:hAnsi="Tahoma" w:cs="Tahoma"/>
          <w:sz w:val="22"/>
          <w:szCs w:val="22"/>
        </w:rPr>
        <w:t xml:space="preserve"> are </w:t>
      </w:r>
      <w:r w:rsidR="00A81D69" w:rsidRPr="009A151B">
        <w:rPr>
          <w:rFonts w:ascii="Tahoma" w:hAnsi="Tahoma" w:cs="Tahoma"/>
          <w:sz w:val="22"/>
          <w:szCs w:val="22"/>
        </w:rPr>
        <w:t>c</w:t>
      </w:r>
      <w:r w:rsidRPr="009A151B">
        <w:rPr>
          <w:rFonts w:ascii="Tahoma" w:hAnsi="Tahoma" w:cs="Tahoma"/>
          <w:sz w:val="22"/>
          <w:szCs w:val="22"/>
        </w:rPr>
        <w:t xml:space="preserve">ontributions </w:t>
      </w:r>
      <w:r w:rsidR="00CE4AED" w:rsidRPr="009A151B">
        <w:rPr>
          <w:rFonts w:ascii="Tahoma" w:hAnsi="Tahoma" w:cs="Tahoma"/>
          <w:sz w:val="22"/>
          <w:szCs w:val="22"/>
        </w:rPr>
        <w:t xml:space="preserve">made by </w:t>
      </w:r>
      <w:r w:rsidR="001E05D8" w:rsidRPr="009A151B">
        <w:rPr>
          <w:rFonts w:ascii="Tahoma" w:hAnsi="Tahoma" w:cs="Tahoma"/>
          <w:sz w:val="22"/>
          <w:szCs w:val="22"/>
        </w:rPr>
        <w:t>employers and employees for pension schemes (</w:t>
      </w:r>
      <w:proofErr w:type="spellStart"/>
      <w:r w:rsidR="001E05D8" w:rsidRPr="009A151B">
        <w:rPr>
          <w:rFonts w:ascii="Tahoma" w:hAnsi="Tahoma" w:cs="Tahoma"/>
          <w:sz w:val="22"/>
          <w:szCs w:val="22"/>
        </w:rPr>
        <w:t>e.g</w:t>
      </w:r>
      <w:proofErr w:type="spellEnd"/>
      <w:r w:rsidR="001E05D8" w:rsidRPr="009A151B">
        <w:rPr>
          <w:rFonts w:ascii="Tahoma" w:hAnsi="Tahoma" w:cs="Tahoma"/>
          <w:sz w:val="22"/>
          <w:szCs w:val="22"/>
        </w:rPr>
        <w:t xml:space="preserve"> National Pension Fund) and other social security schemes (</w:t>
      </w:r>
      <w:proofErr w:type="spellStart"/>
      <w:r w:rsidR="001E05D8" w:rsidRPr="009A151B">
        <w:rPr>
          <w:rFonts w:ascii="Tahoma" w:hAnsi="Tahoma" w:cs="Tahoma"/>
          <w:sz w:val="22"/>
          <w:szCs w:val="22"/>
        </w:rPr>
        <w:t>e.g</w:t>
      </w:r>
      <w:proofErr w:type="spellEnd"/>
      <w:r w:rsidR="001E05D8" w:rsidRPr="009A151B">
        <w:rPr>
          <w:rFonts w:ascii="Tahoma" w:hAnsi="Tahoma" w:cs="Tahoma"/>
          <w:sz w:val="22"/>
          <w:szCs w:val="22"/>
        </w:rPr>
        <w:t xml:space="preserve"> </w:t>
      </w:r>
      <w:r w:rsidRPr="009A151B">
        <w:rPr>
          <w:rFonts w:ascii="Tahoma" w:hAnsi="Tahoma" w:cs="Tahoma"/>
          <w:sz w:val="22"/>
          <w:szCs w:val="22"/>
        </w:rPr>
        <w:t xml:space="preserve">Civil Service </w:t>
      </w:r>
      <w:r w:rsidR="001E05D8" w:rsidRPr="009A151B">
        <w:rPr>
          <w:rFonts w:ascii="Tahoma" w:hAnsi="Tahoma" w:cs="Tahoma"/>
          <w:sz w:val="22"/>
          <w:szCs w:val="22"/>
        </w:rPr>
        <w:t xml:space="preserve">Family </w:t>
      </w:r>
      <w:r w:rsidRPr="009A151B">
        <w:rPr>
          <w:rFonts w:ascii="Tahoma" w:hAnsi="Tahoma" w:cs="Tahoma"/>
          <w:sz w:val="22"/>
          <w:szCs w:val="22"/>
        </w:rPr>
        <w:t>Protection Scheme</w:t>
      </w:r>
      <w:r w:rsidR="001E05D8" w:rsidRPr="009A151B">
        <w:rPr>
          <w:rFonts w:ascii="Tahoma" w:hAnsi="Tahoma" w:cs="Tahoma"/>
          <w:sz w:val="22"/>
          <w:szCs w:val="22"/>
        </w:rPr>
        <w:t xml:space="preserve"> and Statutory Body Family Protection Scheme)</w:t>
      </w:r>
    </w:p>
    <w:p w14:paraId="63FBECFB" w14:textId="77777777" w:rsidR="00831F4A" w:rsidRPr="009A151B" w:rsidRDefault="00831F4A" w:rsidP="001416A7">
      <w:pPr>
        <w:spacing w:line="360" w:lineRule="auto"/>
        <w:ind w:left="0"/>
        <w:rPr>
          <w:rFonts w:ascii="Tahoma" w:hAnsi="Tahoma" w:cs="Tahoma"/>
          <w:b/>
          <w:sz w:val="22"/>
          <w:szCs w:val="22"/>
        </w:rPr>
      </w:pPr>
    </w:p>
    <w:p w14:paraId="52BF3D10" w14:textId="77777777" w:rsidR="0084396C" w:rsidRPr="009A151B" w:rsidRDefault="001A642E" w:rsidP="001416A7">
      <w:pPr>
        <w:spacing w:line="360" w:lineRule="auto"/>
        <w:ind w:left="0"/>
        <w:rPr>
          <w:rFonts w:ascii="Tahoma" w:hAnsi="Tahoma" w:cs="Tahoma"/>
          <w:sz w:val="22"/>
          <w:szCs w:val="22"/>
        </w:rPr>
      </w:pPr>
      <w:r w:rsidRPr="009A151B">
        <w:rPr>
          <w:rFonts w:ascii="Tahoma" w:hAnsi="Tahoma" w:cs="Tahoma"/>
          <w:b/>
          <w:sz w:val="22"/>
          <w:szCs w:val="22"/>
        </w:rPr>
        <w:t>Grants</w:t>
      </w:r>
      <w:r w:rsidRPr="009A151B">
        <w:rPr>
          <w:rFonts w:ascii="Tahoma" w:hAnsi="Tahoma" w:cs="Tahoma"/>
          <w:sz w:val="22"/>
          <w:szCs w:val="22"/>
        </w:rPr>
        <w:t xml:space="preserve"> are</w:t>
      </w:r>
      <w:r w:rsidR="007660E1" w:rsidRPr="009A151B">
        <w:rPr>
          <w:rFonts w:ascii="Tahoma" w:hAnsi="Tahoma" w:cs="Tahoma"/>
          <w:sz w:val="22"/>
          <w:szCs w:val="22"/>
        </w:rPr>
        <w:t xml:space="preserve"> </w:t>
      </w:r>
      <w:r w:rsidR="003729FA" w:rsidRPr="009A151B">
        <w:rPr>
          <w:rFonts w:ascii="Tahoma" w:hAnsi="Tahoma" w:cs="Tahoma"/>
          <w:sz w:val="22"/>
          <w:szCs w:val="22"/>
        </w:rPr>
        <w:t xml:space="preserve">transfers (current or capital) received from other levels of government, </w:t>
      </w:r>
      <w:r w:rsidR="007660E1" w:rsidRPr="009A151B">
        <w:rPr>
          <w:rFonts w:ascii="Tahoma" w:hAnsi="Tahoma" w:cs="Tahoma"/>
          <w:sz w:val="22"/>
          <w:szCs w:val="22"/>
        </w:rPr>
        <w:t>f</w:t>
      </w:r>
      <w:r w:rsidRPr="009A151B">
        <w:rPr>
          <w:rFonts w:ascii="Tahoma" w:hAnsi="Tahoma" w:cs="Tahoma"/>
          <w:sz w:val="22"/>
          <w:szCs w:val="22"/>
        </w:rPr>
        <w:t xml:space="preserve">oreign </w:t>
      </w:r>
      <w:proofErr w:type="gramStart"/>
      <w:r w:rsidRPr="009A151B">
        <w:rPr>
          <w:rFonts w:ascii="Tahoma" w:hAnsi="Tahoma" w:cs="Tahoma"/>
          <w:sz w:val="22"/>
          <w:szCs w:val="22"/>
        </w:rPr>
        <w:t>governments</w:t>
      </w:r>
      <w:proofErr w:type="gramEnd"/>
      <w:r w:rsidRPr="009A151B">
        <w:rPr>
          <w:rFonts w:ascii="Tahoma" w:hAnsi="Tahoma" w:cs="Tahoma"/>
          <w:sz w:val="22"/>
          <w:szCs w:val="22"/>
        </w:rPr>
        <w:t xml:space="preserve"> and </w:t>
      </w:r>
      <w:r w:rsidR="007660E1" w:rsidRPr="009A151B">
        <w:rPr>
          <w:rFonts w:ascii="Tahoma" w:hAnsi="Tahoma" w:cs="Tahoma"/>
          <w:sz w:val="22"/>
          <w:szCs w:val="22"/>
        </w:rPr>
        <w:t>i</w:t>
      </w:r>
      <w:r w:rsidRPr="009A151B">
        <w:rPr>
          <w:rFonts w:ascii="Tahoma" w:hAnsi="Tahoma" w:cs="Tahoma"/>
          <w:sz w:val="22"/>
          <w:szCs w:val="22"/>
        </w:rPr>
        <w:t>nternational organisations.</w:t>
      </w:r>
    </w:p>
    <w:p w14:paraId="0D966D86" w14:textId="77777777" w:rsidR="007660E1" w:rsidRPr="009A151B" w:rsidRDefault="007660E1" w:rsidP="001416A7">
      <w:pPr>
        <w:spacing w:line="360" w:lineRule="auto"/>
        <w:ind w:left="0"/>
        <w:rPr>
          <w:rFonts w:ascii="Tahoma" w:hAnsi="Tahoma" w:cs="Tahoma"/>
          <w:sz w:val="22"/>
          <w:szCs w:val="22"/>
        </w:rPr>
      </w:pPr>
    </w:p>
    <w:p w14:paraId="5EF477EF" w14:textId="77777777" w:rsidR="0084396C" w:rsidRPr="009A151B" w:rsidRDefault="00A81D69" w:rsidP="001416A7">
      <w:pPr>
        <w:spacing w:line="360" w:lineRule="auto"/>
        <w:ind w:left="0"/>
        <w:rPr>
          <w:rFonts w:ascii="Tahoma" w:hAnsi="Tahoma" w:cs="Tahoma"/>
          <w:sz w:val="22"/>
          <w:szCs w:val="22"/>
        </w:rPr>
      </w:pPr>
      <w:r w:rsidRPr="009A151B">
        <w:rPr>
          <w:rFonts w:ascii="Tahoma" w:hAnsi="Tahoma" w:cs="Tahoma"/>
          <w:b/>
          <w:sz w:val="22"/>
          <w:szCs w:val="22"/>
        </w:rPr>
        <w:t>Other revenue</w:t>
      </w:r>
      <w:r w:rsidRPr="009A151B">
        <w:rPr>
          <w:rFonts w:ascii="Tahoma" w:hAnsi="Tahoma" w:cs="Tahoma"/>
          <w:sz w:val="22"/>
          <w:szCs w:val="22"/>
        </w:rPr>
        <w:t xml:space="preserve"> includes </w:t>
      </w:r>
      <w:r w:rsidR="008237F4" w:rsidRPr="009A151B">
        <w:rPr>
          <w:rFonts w:ascii="Tahoma" w:hAnsi="Tahoma" w:cs="Tahoma"/>
          <w:sz w:val="22"/>
          <w:szCs w:val="22"/>
        </w:rPr>
        <w:t>i</w:t>
      </w:r>
      <w:r w:rsidR="001E1FE2" w:rsidRPr="009A151B">
        <w:rPr>
          <w:rFonts w:ascii="Tahoma" w:hAnsi="Tahoma" w:cs="Tahoma"/>
          <w:sz w:val="22"/>
          <w:szCs w:val="22"/>
        </w:rPr>
        <w:t>tems such as p</w:t>
      </w:r>
      <w:r w:rsidR="001A642E" w:rsidRPr="009A151B">
        <w:rPr>
          <w:rFonts w:ascii="Tahoma" w:hAnsi="Tahoma" w:cs="Tahoma"/>
          <w:sz w:val="22"/>
          <w:szCs w:val="22"/>
        </w:rPr>
        <w:t xml:space="preserve">roperty income </w:t>
      </w:r>
      <w:r w:rsidR="001E1FE2" w:rsidRPr="009A151B">
        <w:rPr>
          <w:rFonts w:ascii="Tahoma" w:hAnsi="Tahoma" w:cs="Tahoma"/>
          <w:sz w:val="22"/>
          <w:szCs w:val="22"/>
        </w:rPr>
        <w:t>(</w:t>
      </w:r>
      <w:r w:rsidR="001A642E" w:rsidRPr="009A151B">
        <w:rPr>
          <w:rFonts w:ascii="Tahoma" w:hAnsi="Tahoma" w:cs="Tahoma"/>
          <w:sz w:val="22"/>
          <w:szCs w:val="22"/>
        </w:rPr>
        <w:t>interest and dividends</w:t>
      </w:r>
      <w:r w:rsidR="001E1FE2" w:rsidRPr="009A151B">
        <w:rPr>
          <w:rFonts w:ascii="Tahoma" w:hAnsi="Tahoma" w:cs="Tahoma"/>
          <w:sz w:val="22"/>
          <w:szCs w:val="22"/>
        </w:rPr>
        <w:t>)</w:t>
      </w:r>
      <w:r w:rsidR="001A642E" w:rsidRPr="009A151B">
        <w:rPr>
          <w:rFonts w:ascii="Tahoma" w:hAnsi="Tahoma" w:cs="Tahoma"/>
          <w:sz w:val="22"/>
          <w:szCs w:val="22"/>
        </w:rPr>
        <w:t xml:space="preserve">, </w:t>
      </w:r>
      <w:r w:rsidR="001E1FE2" w:rsidRPr="009A151B">
        <w:rPr>
          <w:rFonts w:ascii="Tahoma" w:hAnsi="Tahoma" w:cs="Tahoma"/>
          <w:sz w:val="22"/>
          <w:szCs w:val="22"/>
        </w:rPr>
        <w:t>f</w:t>
      </w:r>
      <w:r w:rsidR="009D7FD0" w:rsidRPr="009A151B">
        <w:rPr>
          <w:rFonts w:ascii="Tahoma" w:hAnsi="Tahoma" w:cs="Tahoma"/>
          <w:sz w:val="22"/>
          <w:szCs w:val="22"/>
        </w:rPr>
        <w:t xml:space="preserve">ines and </w:t>
      </w:r>
      <w:r w:rsidR="001E1FE2" w:rsidRPr="009A151B">
        <w:rPr>
          <w:rFonts w:ascii="Tahoma" w:hAnsi="Tahoma" w:cs="Tahoma"/>
          <w:sz w:val="22"/>
          <w:szCs w:val="22"/>
        </w:rPr>
        <w:t>s</w:t>
      </w:r>
      <w:r w:rsidR="001A642E" w:rsidRPr="009A151B">
        <w:rPr>
          <w:rFonts w:ascii="Tahoma" w:hAnsi="Tahoma" w:cs="Tahoma"/>
          <w:sz w:val="22"/>
          <w:szCs w:val="22"/>
        </w:rPr>
        <w:t>ales of goods and services</w:t>
      </w:r>
      <w:r w:rsidR="009D7FD0" w:rsidRPr="009A151B">
        <w:rPr>
          <w:rFonts w:ascii="Tahoma" w:hAnsi="Tahoma" w:cs="Tahoma"/>
          <w:sz w:val="22"/>
          <w:szCs w:val="22"/>
        </w:rPr>
        <w:t>.</w:t>
      </w:r>
      <w:r w:rsidR="00950C98" w:rsidRPr="009A151B">
        <w:rPr>
          <w:rFonts w:ascii="Tahoma" w:hAnsi="Tahoma" w:cs="Tahoma"/>
          <w:sz w:val="22"/>
          <w:szCs w:val="22"/>
        </w:rPr>
        <w:t xml:space="preserve">  The sale of a nonfinancial assets</w:t>
      </w:r>
      <w:r w:rsidR="009A7E81" w:rsidRPr="009A151B">
        <w:rPr>
          <w:rFonts w:ascii="Tahoma" w:hAnsi="Tahoma" w:cs="Tahoma"/>
          <w:sz w:val="22"/>
          <w:szCs w:val="22"/>
        </w:rPr>
        <w:t xml:space="preserve"> (</w:t>
      </w:r>
      <w:proofErr w:type="spellStart"/>
      <w:r w:rsidR="009A7E81" w:rsidRPr="009A151B">
        <w:rPr>
          <w:rFonts w:ascii="Tahoma" w:hAnsi="Tahoma" w:cs="Tahoma"/>
          <w:sz w:val="22"/>
          <w:szCs w:val="22"/>
        </w:rPr>
        <w:t>e.g</w:t>
      </w:r>
      <w:proofErr w:type="spellEnd"/>
      <w:r w:rsidR="009A7E81" w:rsidRPr="009A151B">
        <w:rPr>
          <w:rFonts w:ascii="Tahoma" w:hAnsi="Tahoma" w:cs="Tahoma"/>
          <w:sz w:val="22"/>
          <w:szCs w:val="22"/>
        </w:rPr>
        <w:t xml:space="preserve"> land, buildings, motor vehicles, </w:t>
      </w:r>
      <w:proofErr w:type="spellStart"/>
      <w:r w:rsidR="009A7E81" w:rsidRPr="009A151B">
        <w:rPr>
          <w:rFonts w:ascii="Tahoma" w:hAnsi="Tahoma" w:cs="Tahoma"/>
          <w:sz w:val="22"/>
          <w:szCs w:val="22"/>
        </w:rPr>
        <w:t>etc</w:t>
      </w:r>
      <w:proofErr w:type="spellEnd"/>
      <w:r w:rsidR="009A7E81" w:rsidRPr="009A151B">
        <w:rPr>
          <w:rFonts w:ascii="Tahoma" w:hAnsi="Tahoma" w:cs="Tahoma"/>
          <w:sz w:val="22"/>
          <w:szCs w:val="22"/>
        </w:rPr>
        <w:t>)</w:t>
      </w:r>
      <w:r w:rsidR="00950C98" w:rsidRPr="009A151B">
        <w:rPr>
          <w:rFonts w:ascii="Tahoma" w:hAnsi="Tahoma" w:cs="Tahoma"/>
          <w:sz w:val="22"/>
          <w:szCs w:val="22"/>
        </w:rPr>
        <w:t xml:space="preserve"> is </w:t>
      </w:r>
      <w:r w:rsidR="00950C98" w:rsidRPr="009A151B">
        <w:rPr>
          <w:rFonts w:ascii="Tahoma" w:hAnsi="Tahoma" w:cs="Tahoma"/>
          <w:sz w:val="22"/>
          <w:szCs w:val="22"/>
          <w:u w:val="single"/>
        </w:rPr>
        <w:t>not</w:t>
      </w:r>
      <w:r w:rsidR="00950C98" w:rsidRPr="009A151B">
        <w:rPr>
          <w:rFonts w:ascii="Tahoma" w:hAnsi="Tahoma" w:cs="Tahoma"/>
          <w:sz w:val="22"/>
          <w:szCs w:val="22"/>
        </w:rPr>
        <w:t xml:space="preserve"> recognized as a revenue since it does not change the composition of the balance sheet</w:t>
      </w:r>
      <w:r w:rsidR="009A7E81" w:rsidRPr="009A151B">
        <w:rPr>
          <w:rFonts w:ascii="Tahoma" w:hAnsi="Tahoma" w:cs="Tahoma"/>
          <w:sz w:val="22"/>
          <w:szCs w:val="22"/>
        </w:rPr>
        <w:t xml:space="preserve"> hence not affecting Net Worth.</w:t>
      </w:r>
    </w:p>
    <w:p w14:paraId="63A9E5E3" w14:textId="77777777" w:rsidR="00282471" w:rsidRPr="009A151B" w:rsidRDefault="00282471" w:rsidP="001416A7">
      <w:pPr>
        <w:spacing w:line="360" w:lineRule="auto"/>
        <w:ind w:left="0"/>
        <w:rPr>
          <w:rFonts w:ascii="Tahoma" w:hAnsi="Tahoma" w:cs="Tahoma"/>
          <w:sz w:val="22"/>
          <w:szCs w:val="22"/>
        </w:rPr>
      </w:pPr>
    </w:p>
    <w:p w14:paraId="07E51C0C" w14:textId="77777777" w:rsidR="0084396C" w:rsidRPr="00A100A6" w:rsidRDefault="000C076B" w:rsidP="001416A7">
      <w:pPr>
        <w:spacing w:line="360" w:lineRule="auto"/>
        <w:ind w:left="0"/>
        <w:rPr>
          <w:rFonts w:ascii="Tahoma" w:hAnsi="Tahoma" w:cs="Tahoma"/>
          <w:sz w:val="22"/>
          <w:szCs w:val="22"/>
        </w:rPr>
      </w:pPr>
      <w:r w:rsidRPr="009A151B">
        <w:rPr>
          <w:rFonts w:ascii="Tahoma" w:hAnsi="Tahoma" w:cs="Tahoma"/>
          <w:b/>
          <w:sz w:val="22"/>
          <w:szCs w:val="22"/>
        </w:rPr>
        <w:t>Expense</w:t>
      </w:r>
      <w:r w:rsidRPr="009A151B">
        <w:rPr>
          <w:rFonts w:ascii="Tahoma" w:hAnsi="Tahoma" w:cs="Tahoma"/>
          <w:sz w:val="22"/>
          <w:szCs w:val="22"/>
        </w:rPr>
        <w:t xml:space="preserve"> </w:t>
      </w:r>
      <w:r w:rsidR="009A7E81" w:rsidRPr="009A151B">
        <w:rPr>
          <w:rFonts w:ascii="Tahoma" w:hAnsi="Tahoma" w:cs="Tahoma"/>
          <w:sz w:val="22"/>
          <w:szCs w:val="22"/>
        </w:rPr>
        <w:t xml:space="preserve">is a decrease in Net Worth resulting from a transaction.  </w:t>
      </w:r>
      <w:r w:rsidR="00475552" w:rsidRPr="009A151B">
        <w:rPr>
          <w:rFonts w:ascii="Tahoma" w:hAnsi="Tahoma" w:cs="Tahoma"/>
          <w:sz w:val="22"/>
          <w:szCs w:val="22"/>
        </w:rPr>
        <w:t>However, t</w:t>
      </w:r>
      <w:r w:rsidR="009A7E81" w:rsidRPr="009A151B">
        <w:rPr>
          <w:rFonts w:ascii="Tahoma" w:hAnsi="Tahoma" w:cs="Tahoma"/>
          <w:sz w:val="22"/>
          <w:szCs w:val="22"/>
        </w:rPr>
        <w:t xml:space="preserve">he acquisition of a nonfinancial assets is </w:t>
      </w:r>
      <w:r w:rsidR="009A7E81" w:rsidRPr="009A151B">
        <w:rPr>
          <w:rFonts w:ascii="Tahoma" w:hAnsi="Tahoma" w:cs="Tahoma"/>
          <w:sz w:val="22"/>
          <w:szCs w:val="22"/>
          <w:u w:val="single"/>
        </w:rPr>
        <w:t>not</w:t>
      </w:r>
      <w:r w:rsidR="009A7E81" w:rsidRPr="009A151B">
        <w:rPr>
          <w:rFonts w:ascii="Tahoma" w:hAnsi="Tahoma" w:cs="Tahoma"/>
          <w:sz w:val="22"/>
          <w:szCs w:val="22"/>
        </w:rPr>
        <w:t xml:space="preserve"> recognized as an expense since it does not change the composition of the balance sheet hence not affecting Net Worth.</w:t>
      </w:r>
    </w:p>
    <w:p w14:paraId="7B719F05" w14:textId="77777777" w:rsidR="006149B2" w:rsidRPr="00A100A6" w:rsidRDefault="006149B2" w:rsidP="001416A7">
      <w:pPr>
        <w:spacing w:line="360" w:lineRule="auto"/>
        <w:ind w:left="0"/>
        <w:rPr>
          <w:rFonts w:ascii="Tahoma" w:eastAsia="Calibri" w:hAnsi="Tahoma" w:cs="Tahoma"/>
          <w:sz w:val="22"/>
          <w:szCs w:val="22"/>
          <w:shd w:val="clear" w:color="auto" w:fill="FFFFFF"/>
          <w:lang w:val="en-US"/>
        </w:rPr>
      </w:pPr>
    </w:p>
    <w:p w14:paraId="50EE7887" w14:textId="77777777" w:rsidR="004B4E71" w:rsidRPr="00A100A6" w:rsidRDefault="006149B2" w:rsidP="001416A7">
      <w:pPr>
        <w:spacing w:line="360" w:lineRule="auto"/>
        <w:ind w:left="0"/>
        <w:rPr>
          <w:rFonts w:ascii="Tahoma" w:eastAsia="Calibri" w:hAnsi="Tahoma" w:cs="Tahoma"/>
          <w:sz w:val="22"/>
          <w:szCs w:val="22"/>
          <w:shd w:val="clear" w:color="auto" w:fill="FFFFFF"/>
          <w:lang w:val="en-US"/>
        </w:rPr>
      </w:pPr>
      <w:r w:rsidRPr="00A100A6">
        <w:rPr>
          <w:rFonts w:ascii="Tahoma" w:eastAsia="Calibri" w:hAnsi="Tahoma" w:cs="Tahoma"/>
          <w:sz w:val="22"/>
          <w:szCs w:val="22"/>
          <w:shd w:val="clear" w:color="auto" w:fill="FFFFFF"/>
          <w:lang w:val="en-US"/>
        </w:rPr>
        <w:t>The main items of expense are:</w:t>
      </w:r>
    </w:p>
    <w:p w14:paraId="6792BAAB" w14:textId="77777777" w:rsidR="004B4E71" w:rsidRPr="00A100A6" w:rsidRDefault="006149B2" w:rsidP="001416A7">
      <w:pPr>
        <w:numPr>
          <w:ilvl w:val="0"/>
          <w:numId w:val="10"/>
        </w:numPr>
        <w:spacing w:line="360" w:lineRule="auto"/>
        <w:ind w:left="0" w:firstLine="0"/>
        <w:rPr>
          <w:rFonts w:ascii="Tahoma" w:eastAsia="Calibri" w:hAnsi="Tahoma" w:cs="Tahoma"/>
          <w:sz w:val="22"/>
          <w:szCs w:val="22"/>
          <w:shd w:val="clear" w:color="auto" w:fill="FFFFFF"/>
          <w:lang w:val="en-US"/>
        </w:rPr>
      </w:pPr>
      <w:r w:rsidRPr="00A100A6">
        <w:rPr>
          <w:rFonts w:ascii="Tahoma" w:eastAsia="Calibri" w:hAnsi="Tahoma" w:cs="Tahoma"/>
          <w:b/>
          <w:sz w:val="22"/>
          <w:szCs w:val="22"/>
          <w:lang w:val="en-US"/>
        </w:rPr>
        <w:t>Compensation of employees</w:t>
      </w:r>
    </w:p>
    <w:p w14:paraId="031013FB" w14:textId="77777777" w:rsidR="004B4E71" w:rsidRPr="00A100A6" w:rsidRDefault="006149B2" w:rsidP="001416A7">
      <w:pPr>
        <w:numPr>
          <w:ilvl w:val="0"/>
          <w:numId w:val="10"/>
        </w:numPr>
        <w:spacing w:line="360" w:lineRule="auto"/>
        <w:ind w:left="0" w:firstLine="0"/>
        <w:rPr>
          <w:rFonts w:ascii="Tahoma" w:eastAsia="Calibri" w:hAnsi="Tahoma" w:cs="Tahoma"/>
          <w:sz w:val="22"/>
          <w:szCs w:val="22"/>
          <w:shd w:val="clear" w:color="auto" w:fill="FFFFFF"/>
          <w:lang w:val="en-US"/>
        </w:rPr>
      </w:pPr>
      <w:r w:rsidRPr="00A100A6">
        <w:rPr>
          <w:rFonts w:ascii="Tahoma" w:eastAsia="Calibri" w:hAnsi="Tahoma" w:cs="Tahoma"/>
          <w:b/>
          <w:sz w:val="22"/>
          <w:szCs w:val="22"/>
          <w:lang w:val="en-US"/>
        </w:rPr>
        <w:t>Use of goods and services</w:t>
      </w:r>
    </w:p>
    <w:p w14:paraId="1ADB4034" w14:textId="77777777" w:rsidR="004B4E71" w:rsidRPr="00A100A6" w:rsidRDefault="006149B2" w:rsidP="001416A7">
      <w:pPr>
        <w:numPr>
          <w:ilvl w:val="0"/>
          <w:numId w:val="10"/>
        </w:numPr>
        <w:spacing w:line="360" w:lineRule="auto"/>
        <w:ind w:left="0" w:firstLine="0"/>
        <w:rPr>
          <w:rFonts w:ascii="Tahoma" w:eastAsia="Calibri" w:hAnsi="Tahoma" w:cs="Tahoma"/>
          <w:sz w:val="22"/>
          <w:szCs w:val="22"/>
          <w:shd w:val="clear" w:color="auto" w:fill="FFFFFF"/>
          <w:lang w:val="en-US"/>
        </w:rPr>
      </w:pPr>
      <w:r w:rsidRPr="00A100A6">
        <w:rPr>
          <w:rFonts w:ascii="Tahoma" w:eastAsia="Calibri" w:hAnsi="Tahoma" w:cs="Tahoma"/>
          <w:b/>
          <w:sz w:val="22"/>
          <w:szCs w:val="22"/>
          <w:lang w:val="en-US"/>
        </w:rPr>
        <w:t>Interest expense</w:t>
      </w:r>
    </w:p>
    <w:p w14:paraId="683AD153" w14:textId="77777777" w:rsidR="004B4E71" w:rsidRPr="00A100A6" w:rsidRDefault="006149B2" w:rsidP="001416A7">
      <w:pPr>
        <w:numPr>
          <w:ilvl w:val="0"/>
          <w:numId w:val="10"/>
        </w:numPr>
        <w:spacing w:line="360" w:lineRule="auto"/>
        <w:ind w:left="0" w:firstLine="0"/>
        <w:rPr>
          <w:rFonts w:ascii="Tahoma" w:eastAsia="Calibri" w:hAnsi="Tahoma" w:cs="Tahoma"/>
          <w:sz w:val="22"/>
          <w:szCs w:val="22"/>
          <w:shd w:val="clear" w:color="auto" w:fill="FFFFFF"/>
          <w:lang w:val="en-US"/>
        </w:rPr>
      </w:pPr>
      <w:r w:rsidRPr="00A100A6">
        <w:rPr>
          <w:rFonts w:ascii="Tahoma" w:eastAsia="Calibri" w:hAnsi="Tahoma" w:cs="Tahoma"/>
          <w:b/>
          <w:sz w:val="22"/>
          <w:szCs w:val="22"/>
          <w:lang w:val="en-US"/>
        </w:rPr>
        <w:t>Subsidies</w:t>
      </w:r>
    </w:p>
    <w:p w14:paraId="337D441B" w14:textId="77777777" w:rsidR="004B4E71" w:rsidRPr="00A100A6" w:rsidRDefault="006149B2" w:rsidP="001416A7">
      <w:pPr>
        <w:numPr>
          <w:ilvl w:val="0"/>
          <w:numId w:val="10"/>
        </w:numPr>
        <w:spacing w:line="360" w:lineRule="auto"/>
        <w:ind w:left="0" w:firstLine="0"/>
        <w:rPr>
          <w:rFonts w:ascii="Tahoma" w:eastAsia="Calibri" w:hAnsi="Tahoma" w:cs="Tahoma"/>
          <w:sz w:val="22"/>
          <w:szCs w:val="22"/>
          <w:shd w:val="clear" w:color="auto" w:fill="FFFFFF"/>
          <w:lang w:val="en-US"/>
        </w:rPr>
      </w:pPr>
      <w:r w:rsidRPr="00A100A6">
        <w:rPr>
          <w:rFonts w:ascii="Tahoma" w:eastAsia="Calibri" w:hAnsi="Tahoma" w:cs="Tahoma"/>
          <w:b/>
          <w:sz w:val="22"/>
          <w:szCs w:val="22"/>
          <w:lang w:val="en-US"/>
        </w:rPr>
        <w:t>Grants</w:t>
      </w:r>
    </w:p>
    <w:p w14:paraId="67AA8950" w14:textId="77777777" w:rsidR="006149B2" w:rsidRPr="00A100A6" w:rsidRDefault="006149B2" w:rsidP="001416A7">
      <w:pPr>
        <w:numPr>
          <w:ilvl w:val="0"/>
          <w:numId w:val="10"/>
        </w:numPr>
        <w:spacing w:line="360" w:lineRule="auto"/>
        <w:ind w:left="0" w:firstLine="0"/>
        <w:rPr>
          <w:rFonts w:ascii="Tahoma" w:eastAsia="Calibri" w:hAnsi="Tahoma" w:cs="Tahoma"/>
          <w:sz w:val="22"/>
          <w:szCs w:val="22"/>
          <w:shd w:val="clear" w:color="auto" w:fill="FFFFFF"/>
          <w:lang w:val="en-US"/>
        </w:rPr>
      </w:pPr>
      <w:r w:rsidRPr="00A100A6">
        <w:rPr>
          <w:rFonts w:ascii="Tahoma" w:eastAsia="Calibri" w:hAnsi="Tahoma" w:cs="Tahoma"/>
          <w:b/>
          <w:sz w:val="22"/>
          <w:szCs w:val="22"/>
          <w:lang w:val="en-US"/>
        </w:rPr>
        <w:t>Social benefits</w:t>
      </w:r>
    </w:p>
    <w:p w14:paraId="1462A32C" w14:textId="77777777" w:rsidR="004B4E71" w:rsidRPr="00A100A6" w:rsidRDefault="006149B2" w:rsidP="001416A7">
      <w:pPr>
        <w:spacing w:line="360" w:lineRule="auto"/>
        <w:ind w:left="0"/>
        <w:rPr>
          <w:rFonts w:ascii="Tahoma" w:eastAsia="Calibri" w:hAnsi="Tahoma" w:cs="Tahoma"/>
          <w:sz w:val="22"/>
          <w:szCs w:val="22"/>
          <w:lang w:val="en-US"/>
        </w:rPr>
      </w:pPr>
      <w:r w:rsidRPr="00A100A6">
        <w:rPr>
          <w:rFonts w:ascii="Tahoma" w:eastAsia="Calibri" w:hAnsi="Tahoma" w:cs="Tahoma"/>
          <w:sz w:val="22"/>
          <w:szCs w:val="22"/>
          <w:lang w:val="en-US"/>
        </w:rPr>
        <w:tab/>
      </w:r>
    </w:p>
    <w:p w14:paraId="271A920C" w14:textId="77777777" w:rsidR="0084396C" w:rsidRPr="009A151B" w:rsidRDefault="00A63390" w:rsidP="001416A7">
      <w:pPr>
        <w:spacing w:line="360" w:lineRule="auto"/>
        <w:ind w:left="0"/>
        <w:rPr>
          <w:rFonts w:ascii="Tahoma" w:eastAsia="Calibri" w:hAnsi="Tahoma" w:cs="Tahoma"/>
          <w:sz w:val="22"/>
          <w:szCs w:val="22"/>
          <w:shd w:val="clear" w:color="auto" w:fill="FFFFFF"/>
          <w:lang w:val="en-US"/>
        </w:rPr>
      </w:pPr>
      <w:r w:rsidRPr="009A151B">
        <w:rPr>
          <w:rFonts w:ascii="Tahoma" w:eastAsia="Calibri" w:hAnsi="Tahoma" w:cs="Tahoma"/>
          <w:b/>
          <w:sz w:val="22"/>
          <w:szCs w:val="22"/>
          <w:lang w:val="en-US"/>
        </w:rPr>
        <w:t xml:space="preserve">Compensation </w:t>
      </w:r>
      <w:r w:rsidR="00A81D69" w:rsidRPr="009A151B">
        <w:rPr>
          <w:rFonts w:ascii="Tahoma" w:eastAsia="Calibri" w:hAnsi="Tahoma" w:cs="Tahoma"/>
          <w:b/>
          <w:sz w:val="22"/>
          <w:szCs w:val="22"/>
          <w:lang w:val="en-US"/>
        </w:rPr>
        <w:t>of</w:t>
      </w:r>
      <w:r w:rsidRPr="009A151B">
        <w:rPr>
          <w:rFonts w:ascii="Tahoma" w:eastAsia="Calibri" w:hAnsi="Tahoma" w:cs="Tahoma"/>
          <w:b/>
          <w:sz w:val="22"/>
          <w:szCs w:val="22"/>
          <w:lang w:val="en-US"/>
        </w:rPr>
        <w:t xml:space="preserve"> employees</w:t>
      </w:r>
      <w:r w:rsidRPr="009A151B">
        <w:rPr>
          <w:rFonts w:ascii="Tahoma" w:eastAsia="Calibri" w:hAnsi="Tahoma" w:cs="Tahoma"/>
          <w:sz w:val="22"/>
          <w:szCs w:val="22"/>
          <w:lang w:val="en-US"/>
        </w:rPr>
        <w:t xml:space="preserve"> </w:t>
      </w:r>
      <w:r w:rsidR="001D544B" w:rsidRPr="009A151B">
        <w:rPr>
          <w:rFonts w:ascii="Tahoma" w:eastAsia="Calibri" w:hAnsi="Tahoma" w:cs="Tahoma"/>
          <w:sz w:val="22"/>
          <w:szCs w:val="22"/>
          <w:lang w:val="en-US"/>
        </w:rPr>
        <w:t xml:space="preserve">consists of payments of </w:t>
      </w:r>
      <w:r w:rsidRPr="009A151B">
        <w:rPr>
          <w:rFonts w:ascii="Tahoma" w:eastAsia="Calibri" w:hAnsi="Tahoma" w:cs="Tahoma"/>
          <w:sz w:val="22"/>
          <w:szCs w:val="22"/>
          <w:lang w:val="en-US"/>
        </w:rPr>
        <w:t>salaries, allowances</w:t>
      </w:r>
      <w:r w:rsidR="00FE5E56" w:rsidRPr="009A151B">
        <w:rPr>
          <w:rFonts w:ascii="Tahoma" w:eastAsia="Calibri" w:hAnsi="Tahoma" w:cs="Tahoma"/>
          <w:sz w:val="22"/>
          <w:szCs w:val="22"/>
          <w:lang w:val="en-US"/>
        </w:rPr>
        <w:t xml:space="preserve">, wages, travelling </w:t>
      </w:r>
      <w:r w:rsidR="009F1E74" w:rsidRPr="009A151B">
        <w:rPr>
          <w:rFonts w:ascii="Tahoma" w:eastAsia="Calibri" w:hAnsi="Tahoma" w:cs="Tahoma"/>
          <w:sz w:val="22"/>
          <w:szCs w:val="22"/>
          <w:lang w:val="en-US"/>
        </w:rPr>
        <w:t xml:space="preserve">and transport, passage benefits and </w:t>
      </w:r>
      <w:r w:rsidR="00C45BBB" w:rsidRPr="009A151B">
        <w:rPr>
          <w:rFonts w:ascii="Tahoma" w:eastAsia="Calibri" w:hAnsi="Tahoma" w:cs="Tahoma"/>
          <w:sz w:val="22"/>
          <w:szCs w:val="22"/>
          <w:lang w:val="en-US"/>
        </w:rPr>
        <w:t xml:space="preserve">any actual and imputed </w:t>
      </w:r>
      <w:r w:rsidR="009F1E74" w:rsidRPr="009A151B">
        <w:rPr>
          <w:rFonts w:ascii="Tahoma" w:eastAsia="Calibri" w:hAnsi="Tahoma" w:cs="Tahoma"/>
          <w:sz w:val="22"/>
          <w:szCs w:val="22"/>
          <w:lang w:val="en-US"/>
        </w:rPr>
        <w:t xml:space="preserve">contributions </w:t>
      </w:r>
      <w:r w:rsidR="00C45BBB" w:rsidRPr="009A151B">
        <w:rPr>
          <w:rFonts w:ascii="Tahoma" w:eastAsia="Calibri" w:hAnsi="Tahoma" w:cs="Tahoma"/>
          <w:sz w:val="22"/>
          <w:szCs w:val="22"/>
          <w:lang w:val="en-US"/>
        </w:rPr>
        <w:t>made by an</w:t>
      </w:r>
      <w:r w:rsidR="009F1E74" w:rsidRPr="009A151B">
        <w:rPr>
          <w:rFonts w:ascii="Tahoma" w:eastAsia="Calibri" w:hAnsi="Tahoma" w:cs="Tahoma"/>
          <w:sz w:val="22"/>
          <w:szCs w:val="22"/>
          <w:lang w:val="en-US"/>
        </w:rPr>
        <w:t xml:space="preserve"> </w:t>
      </w:r>
      <w:r w:rsidR="00C45BBB" w:rsidRPr="009A151B">
        <w:rPr>
          <w:rFonts w:ascii="Tahoma" w:eastAsia="Calibri" w:hAnsi="Tahoma" w:cs="Tahoma"/>
          <w:sz w:val="22"/>
          <w:szCs w:val="22"/>
          <w:lang w:val="en-US"/>
        </w:rPr>
        <w:t xml:space="preserve">employer on behalf its </w:t>
      </w:r>
      <w:r w:rsidR="00D13839" w:rsidRPr="009A151B">
        <w:rPr>
          <w:rFonts w:ascii="Tahoma" w:eastAsia="Calibri" w:hAnsi="Tahoma" w:cs="Tahoma"/>
          <w:sz w:val="22"/>
          <w:szCs w:val="22"/>
          <w:lang w:val="en-US"/>
        </w:rPr>
        <w:t>employees for pension schemes or</w:t>
      </w:r>
      <w:r w:rsidR="00C45BBB" w:rsidRPr="009A151B">
        <w:rPr>
          <w:rFonts w:ascii="Tahoma" w:eastAsia="Calibri" w:hAnsi="Tahoma" w:cs="Tahoma"/>
          <w:sz w:val="22"/>
          <w:szCs w:val="22"/>
          <w:lang w:val="en-US"/>
        </w:rPr>
        <w:t xml:space="preserve"> any other schemes (</w:t>
      </w:r>
      <w:proofErr w:type="spellStart"/>
      <w:r w:rsidR="00C45BBB" w:rsidRPr="009A151B">
        <w:rPr>
          <w:rFonts w:ascii="Tahoma" w:eastAsia="Calibri" w:hAnsi="Tahoma" w:cs="Tahoma"/>
          <w:sz w:val="22"/>
          <w:szCs w:val="22"/>
          <w:lang w:val="en-US"/>
        </w:rPr>
        <w:t>e.g</w:t>
      </w:r>
      <w:proofErr w:type="spellEnd"/>
      <w:r w:rsidR="00C45BBB" w:rsidRPr="009A151B">
        <w:rPr>
          <w:rFonts w:ascii="Tahoma" w:eastAsia="Calibri" w:hAnsi="Tahoma" w:cs="Tahoma"/>
          <w:sz w:val="22"/>
          <w:szCs w:val="22"/>
          <w:lang w:val="en-US"/>
        </w:rPr>
        <w:t xml:space="preserve"> retirement pension</w:t>
      </w:r>
      <w:r w:rsidR="00665663" w:rsidRPr="009A151B">
        <w:rPr>
          <w:rFonts w:ascii="Tahoma" w:eastAsia="Calibri" w:hAnsi="Tahoma" w:cs="Tahoma"/>
          <w:sz w:val="22"/>
          <w:szCs w:val="22"/>
          <w:lang w:val="en-US"/>
        </w:rPr>
        <w:t xml:space="preserve">s, family protection schemes, </w:t>
      </w:r>
      <w:r w:rsidR="00FE5E56" w:rsidRPr="009A151B">
        <w:rPr>
          <w:rFonts w:ascii="Tahoma" w:eastAsia="Calibri" w:hAnsi="Tahoma" w:cs="Tahoma"/>
          <w:sz w:val="22"/>
          <w:szCs w:val="22"/>
          <w:lang w:val="en-US"/>
        </w:rPr>
        <w:t>National Savings Fund</w:t>
      </w:r>
      <w:r w:rsidR="00665663" w:rsidRPr="009A151B">
        <w:rPr>
          <w:rFonts w:ascii="Tahoma" w:eastAsia="Calibri" w:hAnsi="Tahoma" w:cs="Tahoma"/>
          <w:sz w:val="22"/>
          <w:szCs w:val="22"/>
          <w:lang w:val="en-US"/>
        </w:rPr>
        <w:t xml:space="preserve"> </w:t>
      </w:r>
      <w:proofErr w:type="spellStart"/>
      <w:r w:rsidR="00665663" w:rsidRPr="009A151B">
        <w:rPr>
          <w:rFonts w:ascii="Tahoma" w:eastAsia="Calibri" w:hAnsi="Tahoma" w:cs="Tahoma"/>
          <w:sz w:val="22"/>
          <w:szCs w:val="22"/>
          <w:lang w:val="en-US"/>
        </w:rPr>
        <w:t>etc</w:t>
      </w:r>
      <w:proofErr w:type="spellEnd"/>
      <w:r w:rsidR="00665663" w:rsidRPr="009A151B">
        <w:rPr>
          <w:rFonts w:ascii="Tahoma" w:eastAsia="Calibri" w:hAnsi="Tahoma" w:cs="Tahoma"/>
          <w:sz w:val="22"/>
          <w:szCs w:val="22"/>
          <w:lang w:val="en-US"/>
        </w:rPr>
        <w:t>)</w:t>
      </w:r>
      <w:r w:rsidR="00FE5E56" w:rsidRPr="009A151B">
        <w:rPr>
          <w:rFonts w:ascii="Tahoma" w:eastAsia="Calibri" w:hAnsi="Tahoma" w:cs="Tahoma"/>
          <w:sz w:val="22"/>
          <w:szCs w:val="22"/>
          <w:lang w:val="en-US"/>
        </w:rPr>
        <w:t>.</w:t>
      </w:r>
    </w:p>
    <w:p w14:paraId="41619FA4" w14:textId="77777777" w:rsidR="004B4E71" w:rsidRPr="009A151B" w:rsidRDefault="004B4E71" w:rsidP="001416A7">
      <w:pPr>
        <w:spacing w:line="360" w:lineRule="auto"/>
        <w:ind w:left="0"/>
        <w:rPr>
          <w:rFonts w:ascii="Tahoma" w:eastAsia="Calibri" w:hAnsi="Tahoma" w:cs="Tahoma"/>
          <w:b/>
          <w:sz w:val="22"/>
          <w:szCs w:val="22"/>
          <w:lang w:val="en-US"/>
        </w:rPr>
      </w:pPr>
    </w:p>
    <w:p w14:paraId="593622C7" w14:textId="18F22EA6" w:rsidR="0084396C" w:rsidRPr="00A100A6" w:rsidRDefault="00A63390" w:rsidP="001416A7">
      <w:pPr>
        <w:spacing w:line="360" w:lineRule="auto"/>
        <w:ind w:left="0"/>
        <w:rPr>
          <w:rFonts w:ascii="Tahoma" w:eastAsia="Calibri" w:hAnsi="Tahoma" w:cs="Tahoma"/>
          <w:sz w:val="22"/>
          <w:szCs w:val="22"/>
          <w:shd w:val="clear" w:color="auto" w:fill="FFFFFF"/>
          <w:lang w:val="en-US"/>
        </w:rPr>
      </w:pPr>
      <w:r w:rsidRPr="009A151B">
        <w:rPr>
          <w:rFonts w:ascii="Tahoma" w:eastAsia="Calibri" w:hAnsi="Tahoma" w:cs="Tahoma"/>
          <w:b/>
          <w:sz w:val="22"/>
          <w:szCs w:val="22"/>
          <w:lang w:val="en-US"/>
        </w:rPr>
        <w:t>Use of goods and services</w:t>
      </w:r>
      <w:r w:rsidRPr="009A151B">
        <w:rPr>
          <w:rFonts w:ascii="Tahoma" w:eastAsia="Calibri" w:hAnsi="Tahoma" w:cs="Tahoma"/>
          <w:sz w:val="22"/>
          <w:szCs w:val="22"/>
          <w:lang w:val="en-US"/>
        </w:rPr>
        <w:t xml:space="preserve"> </w:t>
      </w:r>
      <w:r w:rsidR="001D544B" w:rsidRPr="009A151B">
        <w:rPr>
          <w:rFonts w:ascii="Tahoma" w:eastAsia="Calibri" w:hAnsi="Tahoma" w:cs="Tahoma"/>
          <w:sz w:val="22"/>
          <w:szCs w:val="22"/>
          <w:lang w:val="en-US"/>
        </w:rPr>
        <w:t xml:space="preserve">consists of </w:t>
      </w:r>
      <w:r w:rsidR="00C12CA8" w:rsidRPr="009A151B">
        <w:rPr>
          <w:rFonts w:ascii="Tahoma" w:eastAsia="Calibri" w:hAnsi="Tahoma" w:cs="Tahoma"/>
          <w:sz w:val="22"/>
          <w:szCs w:val="22"/>
          <w:lang w:val="en-US"/>
        </w:rPr>
        <w:t>the value</w:t>
      </w:r>
      <w:r w:rsidR="001D544B" w:rsidRPr="009A151B">
        <w:rPr>
          <w:rFonts w:ascii="Tahoma" w:eastAsia="Calibri" w:hAnsi="Tahoma" w:cs="Tahoma"/>
          <w:sz w:val="22"/>
          <w:szCs w:val="22"/>
          <w:lang w:val="en-US"/>
        </w:rPr>
        <w:t xml:space="preserve"> </w:t>
      </w:r>
      <w:r w:rsidR="00C12CA8" w:rsidRPr="009A151B">
        <w:rPr>
          <w:rFonts w:ascii="Tahoma" w:eastAsia="Calibri" w:hAnsi="Tahoma" w:cs="Tahoma"/>
          <w:sz w:val="22"/>
          <w:szCs w:val="22"/>
          <w:lang w:val="en-US"/>
        </w:rPr>
        <w:t>of</w:t>
      </w:r>
      <w:r w:rsidR="001D544B" w:rsidRPr="009A151B">
        <w:rPr>
          <w:rFonts w:ascii="Tahoma" w:eastAsia="Calibri" w:hAnsi="Tahoma" w:cs="Tahoma"/>
          <w:sz w:val="22"/>
          <w:szCs w:val="22"/>
          <w:lang w:val="en-US"/>
        </w:rPr>
        <w:t xml:space="preserve"> goods and services</w:t>
      </w:r>
      <w:r w:rsidR="00C12CA8" w:rsidRPr="009A151B">
        <w:rPr>
          <w:rFonts w:ascii="Tahoma" w:eastAsia="Calibri" w:hAnsi="Tahoma" w:cs="Tahoma"/>
          <w:sz w:val="22"/>
          <w:szCs w:val="22"/>
          <w:lang w:val="en-US"/>
        </w:rPr>
        <w:t xml:space="preserve"> used for the production of no</w:t>
      </w:r>
      <w:r w:rsidR="00C504C7">
        <w:rPr>
          <w:rFonts w:ascii="Tahoma" w:eastAsia="Calibri" w:hAnsi="Tahoma" w:cs="Tahoma"/>
          <w:sz w:val="22"/>
          <w:szCs w:val="22"/>
          <w:lang w:val="en-US"/>
        </w:rPr>
        <w:t>nmarket services.  Examples are</w:t>
      </w:r>
      <w:r w:rsidR="001D544B" w:rsidRPr="009A151B">
        <w:rPr>
          <w:rFonts w:ascii="Tahoma" w:eastAsia="Calibri" w:hAnsi="Tahoma" w:cs="Tahoma"/>
          <w:sz w:val="22"/>
          <w:szCs w:val="22"/>
          <w:lang w:val="en-US"/>
        </w:rPr>
        <w:t>:</w:t>
      </w:r>
      <w:r w:rsidR="00FE5E56" w:rsidRPr="009A151B">
        <w:rPr>
          <w:rFonts w:ascii="Tahoma" w:eastAsia="Calibri" w:hAnsi="Tahoma" w:cs="Tahoma"/>
          <w:sz w:val="22"/>
          <w:szCs w:val="22"/>
          <w:lang w:val="en-US"/>
        </w:rPr>
        <w:t xml:space="preserve"> office equipment and furniture, electricity charges, water charges, telephone</w:t>
      </w:r>
      <w:r w:rsidR="001D544B" w:rsidRPr="009A151B">
        <w:rPr>
          <w:rFonts w:ascii="Tahoma" w:eastAsia="Calibri" w:hAnsi="Tahoma" w:cs="Tahoma"/>
          <w:sz w:val="22"/>
          <w:szCs w:val="22"/>
          <w:lang w:val="en-US"/>
        </w:rPr>
        <w:t xml:space="preserve"> bills</w:t>
      </w:r>
      <w:r w:rsidR="00FE5E56" w:rsidRPr="009A151B">
        <w:rPr>
          <w:rFonts w:ascii="Tahoma" w:eastAsia="Calibri" w:hAnsi="Tahoma" w:cs="Tahoma"/>
          <w:sz w:val="22"/>
          <w:szCs w:val="22"/>
          <w:lang w:val="en-US"/>
        </w:rPr>
        <w:t xml:space="preserve">, fuel and oil, rental of building, printing and stationery, air tickets, medical supplies and drugs, </w:t>
      </w:r>
      <w:r w:rsidRPr="009A151B">
        <w:rPr>
          <w:rFonts w:ascii="Tahoma" w:eastAsia="Calibri" w:hAnsi="Tahoma" w:cs="Tahoma"/>
          <w:sz w:val="22"/>
          <w:szCs w:val="22"/>
          <w:lang w:val="en-US"/>
        </w:rPr>
        <w:t>repairs and maintenance of vehicles</w:t>
      </w:r>
      <w:r w:rsidR="00280DB4" w:rsidRPr="009A151B">
        <w:rPr>
          <w:rFonts w:ascii="Tahoma" w:eastAsia="Calibri" w:hAnsi="Tahoma" w:cs="Tahoma"/>
          <w:sz w:val="22"/>
          <w:szCs w:val="22"/>
          <w:lang w:val="en-US"/>
        </w:rPr>
        <w:t>.</w:t>
      </w:r>
    </w:p>
    <w:p w14:paraId="0CE12215" w14:textId="77777777" w:rsidR="004B4E71" w:rsidRPr="00A100A6" w:rsidRDefault="004B4E71" w:rsidP="001416A7">
      <w:pPr>
        <w:spacing w:line="360" w:lineRule="auto"/>
        <w:ind w:left="0"/>
        <w:rPr>
          <w:rFonts w:ascii="Tahoma" w:eastAsia="Calibri" w:hAnsi="Tahoma" w:cs="Tahoma"/>
          <w:b/>
          <w:sz w:val="22"/>
          <w:szCs w:val="22"/>
          <w:lang w:val="en-US"/>
        </w:rPr>
      </w:pPr>
    </w:p>
    <w:p w14:paraId="33E547C9" w14:textId="77777777" w:rsidR="004B4E71" w:rsidRPr="00A100A6" w:rsidRDefault="00A63390" w:rsidP="001416A7">
      <w:pPr>
        <w:spacing w:line="360" w:lineRule="auto"/>
        <w:ind w:left="0"/>
        <w:rPr>
          <w:rFonts w:ascii="Tahoma" w:eastAsia="Calibri" w:hAnsi="Tahoma" w:cs="Tahoma"/>
          <w:sz w:val="22"/>
          <w:szCs w:val="22"/>
          <w:shd w:val="clear" w:color="auto" w:fill="FFFFFF"/>
          <w:lang w:val="en-US"/>
        </w:rPr>
      </w:pPr>
      <w:r w:rsidRPr="00A100A6">
        <w:rPr>
          <w:rFonts w:ascii="Tahoma" w:eastAsia="Calibri" w:hAnsi="Tahoma" w:cs="Tahoma"/>
          <w:b/>
          <w:sz w:val="22"/>
          <w:szCs w:val="22"/>
          <w:lang w:val="en-US"/>
        </w:rPr>
        <w:t>Interest</w:t>
      </w:r>
      <w:r w:rsidR="0059798C" w:rsidRPr="00A100A6">
        <w:rPr>
          <w:rFonts w:ascii="Tahoma" w:eastAsia="Calibri" w:hAnsi="Tahoma" w:cs="Tahoma"/>
          <w:sz w:val="22"/>
          <w:szCs w:val="22"/>
          <w:lang w:val="en-US"/>
        </w:rPr>
        <w:t xml:space="preserve"> </w:t>
      </w:r>
      <w:r w:rsidR="001D544B" w:rsidRPr="00A100A6">
        <w:rPr>
          <w:rFonts w:ascii="Tahoma" w:eastAsia="Calibri" w:hAnsi="Tahoma" w:cs="Tahoma"/>
          <w:sz w:val="22"/>
          <w:szCs w:val="22"/>
          <w:lang w:val="en-US"/>
        </w:rPr>
        <w:t xml:space="preserve">represents interest payments on </w:t>
      </w:r>
      <w:r w:rsidR="006707C3" w:rsidRPr="00A100A6">
        <w:rPr>
          <w:rFonts w:ascii="Tahoma" w:eastAsia="Calibri" w:hAnsi="Tahoma" w:cs="Tahoma"/>
          <w:sz w:val="22"/>
          <w:szCs w:val="22"/>
          <w:lang w:val="en-US"/>
        </w:rPr>
        <w:t xml:space="preserve">securities and </w:t>
      </w:r>
      <w:r w:rsidR="0059798C" w:rsidRPr="00A100A6">
        <w:rPr>
          <w:rFonts w:ascii="Tahoma" w:eastAsia="Calibri" w:hAnsi="Tahoma" w:cs="Tahoma"/>
          <w:sz w:val="22"/>
          <w:szCs w:val="22"/>
          <w:lang w:val="en-US"/>
        </w:rPr>
        <w:t>loans</w:t>
      </w:r>
      <w:r w:rsidR="00280DB4" w:rsidRPr="00A100A6">
        <w:rPr>
          <w:rFonts w:ascii="Tahoma" w:eastAsia="Calibri" w:hAnsi="Tahoma" w:cs="Tahoma"/>
          <w:sz w:val="22"/>
          <w:szCs w:val="22"/>
          <w:lang w:val="en-US"/>
        </w:rPr>
        <w:t>.</w:t>
      </w:r>
    </w:p>
    <w:p w14:paraId="7DFFC0C8" w14:textId="77777777" w:rsidR="002636FC" w:rsidRDefault="002636FC" w:rsidP="001416A7">
      <w:pPr>
        <w:spacing w:line="360" w:lineRule="auto"/>
        <w:ind w:left="0"/>
        <w:rPr>
          <w:rFonts w:ascii="Tahoma" w:eastAsia="Calibri" w:hAnsi="Tahoma" w:cs="Tahoma"/>
          <w:b/>
          <w:sz w:val="22"/>
          <w:szCs w:val="22"/>
          <w:lang w:val="en-US"/>
        </w:rPr>
      </w:pPr>
    </w:p>
    <w:p w14:paraId="5793C5E5" w14:textId="77777777" w:rsidR="0084396C" w:rsidRPr="00A100A6" w:rsidRDefault="00A63390" w:rsidP="001416A7">
      <w:pPr>
        <w:spacing w:line="360" w:lineRule="auto"/>
        <w:ind w:left="0"/>
        <w:rPr>
          <w:rFonts w:ascii="Tahoma" w:eastAsia="Calibri" w:hAnsi="Tahoma" w:cs="Tahoma"/>
          <w:sz w:val="22"/>
          <w:szCs w:val="22"/>
          <w:shd w:val="clear" w:color="auto" w:fill="FFFFFF"/>
          <w:lang w:val="en-US"/>
        </w:rPr>
      </w:pPr>
      <w:r w:rsidRPr="009A151B">
        <w:rPr>
          <w:rFonts w:ascii="Tahoma" w:eastAsia="Calibri" w:hAnsi="Tahoma" w:cs="Tahoma"/>
          <w:b/>
          <w:sz w:val="22"/>
          <w:szCs w:val="22"/>
          <w:lang w:val="en-US"/>
        </w:rPr>
        <w:lastRenderedPageBreak/>
        <w:t>Subsidies</w:t>
      </w:r>
      <w:r w:rsidR="0059798C" w:rsidRPr="009A151B">
        <w:rPr>
          <w:rFonts w:ascii="Tahoma" w:eastAsia="Calibri" w:hAnsi="Tahoma" w:cs="Tahoma"/>
          <w:sz w:val="22"/>
          <w:szCs w:val="22"/>
          <w:lang w:val="en-US"/>
        </w:rPr>
        <w:t xml:space="preserve"> </w:t>
      </w:r>
      <w:r w:rsidR="00967D65" w:rsidRPr="009A151B">
        <w:rPr>
          <w:rFonts w:ascii="Tahoma" w:eastAsia="Calibri" w:hAnsi="Tahoma" w:cs="Tahoma"/>
          <w:sz w:val="22"/>
          <w:szCs w:val="22"/>
          <w:lang w:val="en-US"/>
        </w:rPr>
        <w:t xml:space="preserve">are </w:t>
      </w:r>
      <w:r w:rsidR="00C12CA8" w:rsidRPr="009A151B">
        <w:rPr>
          <w:rFonts w:ascii="Tahoma" w:eastAsia="Calibri" w:hAnsi="Tahoma" w:cs="Tahoma"/>
          <w:sz w:val="22"/>
          <w:szCs w:val="22"/>
          <w:lang w:val="en-US"/>
        </w:rPr>
        <w:t>current unrequited transfers that government units make to enterprises</w:t>
      </w:r>
      <w:r w:rsidR="007E4AD0" w:rsidRPr="009A151B">
        <w:rPr>
          <w:rFonts w:ascii="Tahoma" w:eastAsia="Calibri" w:hAnsi="Tahoma" w:cs="Tahoma"/>
          <w:sz w:val="22"/>
          <w:szCs w:val="22"/>
          <w:lang w:val="en-US"/>
        </w:rPr>
        <w:t xml:space="preserve"> to influence levels of production, the prices at which outputs are sold or th</w:t>
      </w:r>
      <w:r w:rsidR="004812AF" w:rsidRPr="009A151B">
        <w:rPr>
          <w:rFonts w:ascii="Tahoma" w:eastAsia="Calibri" w:hAnsi="Tahoma" w:cs="Tahoma"/>
          <w:sz w:val="22"/>
          <w:szCs w:val="22"/>
          <w:lang w:val="en-US"/>
        </w:rPr>
        <w:t xml:space="preserve">e profits of the enterprises. </w:t>
      </w:r>
      <w:r w:rsidR="007E4AD0" w:rsidRPr="009A151B">
        <w:rPr>
          <w:rFonts w:ascii="Tahoma" w:eastAsia="Calibri" w:hAnsi="Tahoma" w:cs="Tahoma"/>
          <w:sz w:val="22"/>
          <w:szCs w:val="22"/>
          <w:lang w:val="en-US"/>
        </w:rPr>
        <w:t>For example, subsidies are paid to</w:t>
      </w:r>
      <w:r w:rsidR="001456B4" w:rsidRPr="009A151B">
        <w:rPr>
          <w:rFonts w:ascii="Tahoma" w:eastAsia="Calibri" w:hAnsi="Tahoma" w:cs="Tahoma"/>
          <w:sz w:val="22"/>
          <w:szCs w:val="22"/>
          <w:lang w:val="en-US"/>
        </w:rPr>
        <w:t xml:space="preserve"> fruit</w:t>
      </w:r>
      <w:r w:rsidR="004833EB" w:rsidRPr="009A151B">
        <w:rPr>
          <w:rFonts w:ascii="Tahoma" w:eastAsia="Calibri" w:hAnsi="Tahoma" w:cs="Tahoma"/>
          <w:sz w:val="22"/>
          <w:szCs w:val="22"/>
          <w:lang w:val="en-US"/>
        </w:rPr>
        <w:t xml:space="preserve"> growers</w:t>
      </w:r>
      <w:r w:rsidR="00967D65" w:rsidRPr="009A151B">
        <w:rPr>
          <w:rFonts w:ascii="Tahoma" w:eastAsia="Calibri" w:hAnsi="Tahoma" w:cs="Tahoma"/>
          <w:sz w:val="22"/>
          <w:szCs w:val="22"/>
          <w:lang w:val="en-US"/>
        </w:rPr>
        <w:t xml:space="preserve"> and</w:t>
      </w:r>
      <w:r w:rsidR="004833EB" w:rsidRPr="009A151B">
        <w:rPr>
          <w:rFonts w:ascii="Tahoma" w:eastAsia="Calibri" w:hAnsi="Tahoma" w:cs="Tahoma"/>
          <w:sz w:val="22"/>
          <w:szCs w:val="22"/>
          <w:lang w:val="en-US"/>
        </w:rPr>
        <w:t xml:space="preserve"> crop producers</w:t>
      </w:r>
      <w:r w:rsidR="00280DB4" w:rsidRPr="009A151B">
        <w:rPr>
          <w:rFonts w:ascii="Tahoma" w:eastAsia="Calibri" w:hAnsi="Tahoma" w:cs="Tahoma"/>
          <w:sz w:val="22"/>
          <w:szCs w:val="22"/>
          <w:lang w:val="en-US"/>
        </w:rPr>
        <w:t>.</w:t>
      </w:r>
    </w:p>
    <w:p w14:paraId="5B1BCB2A" w14:textId="77777777" w:rsidR="004B4E71" w:rsidRPr="00A100A6" w:rsidRDefault="004B4E71" w:rsidP="001416A7">
      <w:pPr>
        <w:spacing w:line="360" w:lineRule="auto"/>
        <w:ind w:left="0"/>
        <w:rPr>
          <w:rFonts w:ascii="Tahoma" w:eastAsia="Calibri" w:hAnsi="Tahoma" w:cs="Tahoma"/>
          <w:b/>
          <w:sz w:val="22"/>
          <w:szCs w:val="22"/>
          <w:lang w:val="en-US"/>
        </w:rPr>
      </w:pPr>
    </w:p>
    <w:p w14:paraId="544DF674" w14:textId="77777777" w:rsidR="004B4E71" w:rsidRPr="00A100A6" w:rsidRDefault="00FE5E56" w:rsidP="001416A7">
      <w:pPr>
        <w:spacing w:line="360" w:lineRule="auto"/>
        <w:ind w:left="0"/>
        <w:rPr>
          <w:rFonts w:ascii="Tahoma" w:eastAsia="Calibri" w:hAnsi="Tahoma" w:cs="Tahoma"/>
          <w:sz w:val="22"/>
          <w:szCs w:val="22"/>
          <w:lang w:val="en-US"/>
        </w:rPr>
      </w:pPr>
      <w:r w:rsidRPr="00A100A6">
        <w:rPr>
          <w:rFonts w:ascii="Tahoma" w:eastAsia="Calibri" w:hAnsi="Tahoma" w:cs="Tahoma"/>
          <w:b/>
          <w:sz w:val="22"/>
          <w:szCs w:val="22"/>
          <w:lang w:val="en-US"/>
        </w:rPr>
        <w:t>Grants</w:t>
      </w:r>
      <w:r w:rsidR="004833EB" w:rsidRPr="00A100A6">
        <w:rPr>
          <w:rFonts w:ascii="Tahoma" w:eastAsia="Calibri" w:hAnsi="Tahoma" w:cs="Tahoma"/>
          <w:b/>
          <w:sz w:val="22"/>
          <w:szCs w:val="22"/>
          <w:lang w:val="en-US"/>
        </w:rPr>
        <w:t xml:space="preserve"> </w:t>
      </w:r>
      <w:r w:rsidR="00554ABE" w:rsidRPr="00A100A6">
        <w:rPr>
          <w:rFonts w:ascii="Tahoma" w:eastAsia="Calibri" w:hAnsi="Tahoma" w:cs="Tahoma"/>
          <w:sz w:val="22"/>
          <w:szCs w:val="22"/>
          <w:lang w:val="en-US"/>
        </w:rPr>
        <w:t>are transfers payable</w:t>
      </w:r>
      <w:r w:rsidR="00554ABE" w:rsidRPr="00A100A6">
        <w:rPr>
          <w:rFonts w:ascii="Tahoma" w:eastAsia="Calibri" w:hAnsi="Tahoma" w:cs="Tahoma"/>
          <w:b/>
          <w:sz w:val="22"/>
          <w:szCs w:val="22"/>
          <w:lang w:val="en-US"/>
        </w:rPr>
        <w:t xml:space="preserve"> </w:t>
      </w:r>
      <w:r w:rsidR="004833EB" w:rsidRPr="00A100A6">
        <w:rPr>
          <w:rFonts w:ascii="Tahoma" w:eastAsia="Calibri" w:hAnsi="Tahoma" w:cs="Tahoma"/>
          <w:sz w:val="22"/>
          <w:szCs w:val="22"/>
          <w:lang w:val="en-US"/>
        </w:rPr>
        <w:t>to</w:t>
      </w:r>
      <w:r w:rsidR="00B26441" w:rsidRPr="00A100A6">
        <w:rPr>
          <w:rFonts w:ascii="Tahoma" w:eastAsia="Calibri" w:hAnsi="Tahoma" w:cs="Tahoma"/>
          <w:sz w:val="22"/>
          <w:szCs w:val="22"/>
          <w:lang w:val="en-US"/>
        </w:rPr>
        <w:t xml:space="preserve"> </w:t>
      </w:r>
      <w:r w:rsidR="00561C93" w:rsidRPr="00A100A6">
        <w:rPr>
          <w:rFonts w:ascii="Tahoma" w:eastAsia="Calibri" w:hAnsi="Tahoma" w:cs="Tahoma"/>
          <w:sz w:val="22"/>
          <w:szCs w:val="22"/>
          <w:lang w:val="en-US"/>
        </w:rPr>
        <w:t>Extra Budgetary Units</w:t>
      </w:r>
      <w:r w:rsidR="00B26441" w:rsidRPr="00A100A6">
        <w:rPr>
          <w:rFonts w:ascii="Tahoma" w:eastAsia="Calibri" w:hAnsi="Tahoma" w:cs="Tahoma"/>
          <w:sz w:val="22"/>
          <w:szCs w:val="22"/>
          <w:lang w:val="en-US"/>
        </w:rPr>
        <w:t xml:space="preserve">, Rodrigues Regional Assembly, </w:t>
      </w:r>
      <w:r w:rsidR="00B76485" w:rsidRPr="00A100A6">
        <w:rPr>
          <w:rFonts w:ascii="Tahoma" w:eastAsia="Calibri" w:hAnsi="Tahoma" w:cs="Tahoma"/>
          <w:sz w:val="22"/>
          <w:szCs w:val="22"/>
          <w:lang w:val="en-US"/>
        </w:rPr>
        <w:t>l</w:t>
      </w:r>
      <w:r w:rsidR="00B26441" w:rsidRPr="00A100A6">
        <w:rPr>
          <w:rFonts w:ascii="Tahoma" w:eastAsia="Calibri" w:hAnsi="Tahoma" w:cs="Tahoma"/>
          <w:sz w:val="22"/>
          <w:szCs w:val="22"/>
          <w:lang w:val="en-US"/>
        </w:rPr>
        <w:t xml:space="preserve">ocal </w:t>
      </w:r>
      <w:r w:rsidR="00B76485" w:rsidRPr="00A100A6">
        <w:rPr>
          <w:rFonts w:ascii="Tahoma" w:eastAsia="Calibri" w:hAnsi="Tahoma" w:cs="Tahoma"/>
          <w:sz w:val="22"/>
          <w:szCs w:val="22"/>
          <w:lang w:val="en-US"/>
        </w:rPr>
        <w:t>a</w:t>
      </w:r>
      <w:r w:rsidR="00B26441" w:rsidRPr="00A100A6">
        <w:rPr>
          <w:rFonts w:ascii="Tahoma" w:eastAsia="Calibri" w:hAnsi="Tahoma" w:cs="Tahoma"/>
          <w:sz w:val="22"/>
          <w:szCs w:val="22"/>
          <w:lang w:val="en-US"/>
        </w:rPr>
        <w:t xml:space="preserve">uthorities, international </w:t>
      </w:r>
      <w:proofErr w:type="spellStart"/>
      <w:r w:rsidR="00B26441" w:rsidRPr="00A100A6">
        <w:rPr>
          <w:rFonts w:ascii="Tahoma" w:eastAsia="Calibri" w:hAnsi="Tahoma" w:cs="Tahoma"/>
          <w:sz w:val="22"/>
          <w:szCs w:val="22"/>
          <w:lang w:val="en-US"/>
        </w:rPr>
        <w:t>organisations</w:t>
      </w:r>
      <w:proofErr w:type="spellEnd"/>
      <w:r w:rsidR="00B26441" w:rsidRPr="00A100A6">
        <w:rPr>
          <w:rFonts w:ascii="Tahoma" w:eastAsia="Calibri" w:hAnsi="Tahoma" w:cs="Tahoma"/>
          <w:sz w:val="22"/>
          <w:szCs w:val="22"/>
          <w:lang w:val="en-US"/>
        </w:rPr>
        <w:t xml:space="preserve"> and</w:t>
      </w:r>
      <w:r w:rsidR="006707C3" w:rsidRPr="00A100A6">
        <w:rPr>
          <w:rFonts w:ascii="Tahoma" w:eastAsia="Calibri" w:hAnsi="Tahoma" w:cs="Tahoma"/>
          <w:sz w:val="22"/>
          <w:szCs w:val="22"/>
          <w:lang w:val="en-US"/>
        </w:rPr>
        <w:t xml:space="preserve"> </w:t>
      </w:r>
      <w:r w:rsidR="00B26441" w:rsidRPr="00A100A6">
        <w:rPr>
          <w:rFonts w:ascii="Tahoma" w:eastAsia="Calibri" w:hAnsi="Tahoma" w:cs="Tahoma"/>
          <w:sz w:val="22"/>
          <w:szCs w:val="22"/>
          <w:lang w:val="en-US"/>
        </w:rPr>
        <w:t>foreign governments</w:t>
      </w:r>
      <w:r w:rsidR="00B76485" w:rsidRPr="00A100A6">
        <w:rPr>
          <w:rFonts w:ascii="Tahoma" w:eastAsia="Calibri" w:hAnsi="Tahoma" w:cs="Tahoma"/>
          <w:sz w:val="22"/>
          <w:szCs w:val="22"/>
          <w:lang w:val="en-US"/>
        </w:rPr>
        <w:t>.</w:t>
      </w:r>
    </w:p>
    <w:p w14:paraId="4DF4A512" w14:textId="77777777" w:rsidR="004B4E71" w:rsidRPr="00A100A6" w:rsidRDefault="004B4E71" w:rsidP="001416A7">
      <w:pPr>
        <w:spacing w:line="360" w:lineRule="auto"/>
        <w:ind w:left="0"/>
        <w:rPr>
          <w:rFonts w:ascii="Tahoma" w:eastAsia="Calibri" w:hAnsi="Tahoma" w:cs="Tahoma"/>
          <w:b/>
          <w:sz w:val="22"/>
          <w:szCs w:val="22"/>
          <w:lang w:val="en-US"/>
        </w:rPr>
      </w:pPr>
    </w:p>
    <w:p w14:paraId="3D6D70B7" w14:textId="77777777" w:rsidR="004B4E71" w:rsidRPr="00A100A6" w:rsidRDefault="00A63390" w:rsidP="001416A7">
      <w:pPr>
        <w:spacing w:line="360" w:lineRule="auto"/>
        <w:ind w:left="0"/>
        <w:rPr>
          <w:rFonts w:ascii="Tahoma" w:eastAsia="Calibri" w:hAnsi="Tahoma" w:cs="Tahoma"/>
          <w:sz w:val="22"/>
          <w:szCs w:val="22"/>
          <w:lang w:val="en-US"/>
        </w:rPr>
      </w:pPr>
      <w:r w:rsidRPr="00A100A6">
        <w:rPr>
          <w:rFonts w:ascii="Tahoma" w:eastAsia="Calibri" w:hAnsi="Tahoma" w:cs="Tahoma"/>
          <w:b/>
          <w:sz w:val="22"/>
          <w:szCs w:val="22"/>
          <w:lang w:val="en-US"/>
        </w:rPr>
        <w:t>Social benefits</w:t>
      </w:r>
      <w:r w:rsidR="00B26441" w:rsidRPr="00A100A6">
        <w:rPr>
          <w:rFonts w:ascii="Tahoma" w:eastAsia="Calibri" w:hAnsi="Tahoma" w:cs="Tahoma"/>
          <w:b/>
          <w:sz w:val="22"/>
          <w:szCs w:val="22"/>
          <w:lang w:val="en-US"/>
        </w:rPr>
        <w:t xml:space="preserve"> </w:t>
      </w:r>
      <w:r w:rsidR="00B26441" w:rsidRPr="00A100A6">
        <w:rPr>
          <w:rFonts w:ascii="Tahoma" w:eastAsia="Calibri" w:hAnsi="Tahoma" w:cs="Tahoma"/>
          <w:sz w:val="22"/>
          <w:szCs w:val="22"/>
          <w:lang w:val="en-US"/>
        </w:rPr>
        <w:t>are payments made</w:t>
      </w:r>
      <w:r w:rsidRPr="00A100A6">
        <w:rPr>
          <w:rFonts w:ascii="Tahoma" w:eastAsia="Calibri" w:hAnsi="Tahoma" w:cs="Tahoma"/>
          <w:sz w:val="22"/>
          <w:szCs w:val="22"/>
          <w:lang w:val="en-US"/>
        </w:rPr>
        <w:t xml:space="preserve"> </w:t>
      </w:r>
      <w:r w:rsidR="00561C93" w:rsidRPr="00A100A6">
        <w:rPr>
          <w:rFonts w:ascii="Tahoma" w:eastAsia="Calibri" w:hAnsi="Tahoma" w:cs="Tahoma"/>
          <w:sz w:val="22"/>
          <w:szCs w:val="22"/>
          <w:lang w:val="en-US"/>
        </w:rPr>
        <w:t>fo</w:t>
      </w:r>
      <w:r w:rsidR="00B26441" w:rsidRPr="00A100A6">
        <w:rPr>
          <w:rFonts w:ascii="Tahoma" w:eastAsia="Calibri" w:hAnsi="Tahoma" w:cs="Tahoma"/>
          <w:sz w:val="22"/>
          <w:szCs w:val="22"/>
          <w:lang w:val="en-US"/>
        </w:rPr>
        <w:t>r</w:t>
      </w:r>
      <w:r w:rsidR="00561C93" w:rsidRPr="00A100A6">
        <w:rPr>
          <w:rFonts w:ascii="Tahoma" w:eastAsia="Calibri" w:hAnsi="Tahoma" w:cs="Tahoma"/>
          <w:sz w:val="22"/>
          <w:szCs w:val="22"/>
          <w:lang w:val="en-US"/>
        </w:rPr>
        <w:t xml:space="preserve"> </w:t>
      </w:r>
      <w:r w:rsidR="00B26441" w:rsidRPr="00A100A6">
        <w:rPr>
          <w:rFonts w:ascii="Tahoma" w:eastAsia="Calibri" w:hAnsi="Tahoma" w:cs="Tahoma"/>
          <w:sz w:val="22"/>
          <w:szCs w:val="22"/>
          <w:lang w:val="en-US"/>
        </w:rPr>
        <w:t xml:space="preserve">the following: </w:t>
      </w:r>
      <w:r w:rsidR="002648BF" w:rsidRPr="00A100A6">
        <w:rPr>
          <w:rFonts w:ascii="Tahoma" w:eastAsia="Calibri" w:hAnsi="Tahoma" w:cs="Tahoma"/>
          <w:sz w:val="22"/>
          <w:szCs w:val="22"/>
          <w:lang w:val="en-US"/>
        </w:rPr>
        <w:t xml:space="preserve">social aid, basic retirement pension, basic </w:t>
      </w:r>
      <w:r w:rsidR="00A05C50" w:rsidRPr="00A100A6">
        <w:rPr>
          <w:rFonts w:ascii="Tahoma" w:eastAsia="Calibri" w:hAnsi="Tahoma" w:cs="Tahoma"/>
          <w:sz w:val="22"/>
          <w:szCs w:val="22"/>
          <w:lang w:val="en-US"/>
        </w:rPr>
        <w:t>widow</w:t>
      </w:r>
      <w:r w:rsidR="003219DA" w:rsidRPr="00A100A6">
        <w:rPr>
          <w:rFonts w:ascii="Tahoma" w:eastAsia="Calibri" w:hAnsi="Tahoma" w:cs="Tahoma"/>
          <w:sz w:val="22"/>
          <w:szCs w:val="22"/>
          <w:lang w:val="en-US"/>
        </w:rPr>
        <w:t>’</w:t>
      </w:r>
      <w:r w:rsidR="00A05C50" w:rsidRPr="00A100A6">
        <w:rPr>
          <w:rFonts w:ascii="Tahoma" w:eastAsia="Calibri" w:hAnsi="Tahoma" w:cs="Tahoma"/>
          <w:sz w:val="22"/>
          <w:szCs w:val="22"/>
          <w:lang w:val="en-US"/>
        </w:rPr>
        <w:t>s pension, basic invalidity pension</w:t>
      </w:r>
      <w:r w:rsidR="00B26441" w:rsidRPr="00A100A6">
        <w:rPr>
          <w:rFonts w:ascii="Tahoma" w:eastAsia="Calibri" w:hAnsi="Tahoma" w:cs="Tahoma"/>
          <w:sz w:val="22"/>
          <w:szCs w:val="22"/>
          <w:lang w:val="en-US"/>
        </w:rPr>
        <w:t xml:space="preserve"> and </w:t>
      </w:r>
      <w:r w:rsidR="00967D65" w:rsidRPr="00A100A6">
        <w:rPr>
          <w:rFonts w:ascii="Tahoma" w:eastAsia="Calibri" w:hAnsi="Tahoma" w:cs="Tahoma"/>
          <w:sz w:val="22"/>
          <w:szCs w:val="22"/>
          <w:lang w:val="en-US"/>
        </w:rPr>
        <w:t>pensions and gratuities</w:t>
      </w:r>
      <w:r w:rsidR="00B26441" w:rsidRPr="00A100A6">
        <w:rPr>
          <w:rFonts w:ascii="Tahoma" w:eastAsia="Calibri" w:hAnsi="Tahoma" w:cs="Tahoma"/>
          <w:sz w:val="22"/>
          <w:szCs w:val="22"/>
          <w:lang w:val="en-US"/>
        </w:rPr>
        <w:t>.</w:t>
      </w:r>
    </w:p>
    <w:p w14:paraId="2A89F9C5" w14:textId="77777777" w:rsidR="004B4E71" w:rsidRPr="00A100A6" w:rsidRDefault="004B4E71" w:rsidP="001416A7">
      <w:pPr>
        <w:spacing w:line="360" w:lineRule="auto"/>
        <w:ind w:left="0"/>
        <w:rPr>
          <w:rFonts w:ascii="Tahoma" w:eastAsia="Calibri" w:hAnsi="Tahoma" w:cs="Tahoma"/>
          <w:b/>
          <w:sz w:val="22"/>
          <w:szCs w:val="22"/>
          <w:lang w:val="en-US"/>
        </w:rPr>
      </w:pPr>
    </w:p>
    <w:p w14:paraId="0A3FB384" w14:textId="77777777" w:rsidR="00DB7F4F" w:rsidRPr="00A100A6" w:rsidRDefault="00A63390" w:rsidP="001416A7">
      <w:pPr>
        <w:spacing w:line="360" w:lineRule="auto"/>
        <w:ind w:left="0"/>
        <w:rPr>
          <w:rFonts w:ascii="Tahoma" w:eastAsia="Calibri" w:hAnsi="Tahoma" w:cs="Tahoma"/>
          <w:sz w:val="22"/>
          <w:szCs w:val="22"/>
          <w:lang w:val="en-US"/>
        </w:rPr>
      </w:pPr>
      <w:r w:rsidRPr="00A100A6">
        <w:rPr>
          <w:rFonts w:ascii="Tahoma" w:eastAsia="Calibri" w:hAnsi="Tahoma" w:cs="Tahoma"/>
          <w:b/>
          <w:sz w:val="22"/>
          <w:szCs w:val="22"/>
          <w:lang w:val="en-US"/>
        </w:rPr>
        <w:t>Other expenses</w:t>
      </w:r>
      <w:r w:rsidR="00F41314" w:rsidRPr="00A100A6">
        <w:rPr>
          <w:rFonts w:ascii="Tahoma" w:eastAsia="Calibri" w:hAnsi="Tahoma" w:cs="Tahoma"/>
          <w:sz w:val="22"/>
          <w:szCs w:val="22"/>
          <w:lang w:val="en-US"/>
        </w:rPr>
        <w:t xml:space="preserve"> </w:t>
      </w:r>
      <w:r w:rsidR="00B76485" w:rsidRPr="00A100A6">
        <w:rPr>
          <w:rFonts w:ascii="Tahoma" w:eastAsia="Calibri" w:hAnsi="Tahoma" w:cs="Tahoma"/>
          <w:sz w:val="22"/>
          <w:szCs w:val="22"/>
          <w:lang w:val="en-US"/>
        </w:rPr>
        <w:t xml:space="preserve">include transfers (current and capital) to non-governmental </w:t>
      </w:r>
      <w:r w:rsidR="00907F8E" w:rsidRPr="00A100A6">
        <w:rPr>
          <w:rFonts w:ascii="Tahoma" w:eastAsia="Calibri" w:hAnsi="Tahoma" w:cs="Tahoma"/>
          <w:sz w:val="22"/>
          <w:szCs w:val="22"/>
          <w:lang w:val="en-US"/>
        </w:rPr>
        <w:t>organizations</w:t>
      </w:r>
      <w:r w:rsidR="006707C3" w:rsidRPr="00A100A6">
        <w:rPr>
          <w:rFonts w:ascii="Tahoma" w:eastAsia="Calibri" w:hAnsi="Tahoma" w:cs="Tahoma"/>
          <w:sz w:val="22"/>
          <w:szCs w:val="22"/>
          <w:lang w:val="en-US"/>
        </w:rPr>
        <w:t xml:space="preserve"> and other miscellaneous </w:t>
      </w:r>
      <w:r w:rsidR="005D1998" w:rsidRPr="00A100A6">
        <w:rPr>
          <w:rFonts w:ascii="Tahoma" w:eastAsia="Calibri" w:hAnsi="Tahoma" w:cs="Tahoma"/>
          <w:sz w:val="22"/>
          <w:szCs w:val="22"/>
          <w:lang w:val="en-US"/>
        </w:rPr>
        <w:t>expenses</w:t>
      </w:r>
      <w:r w:rsidR="006707C3" w:rsidRPr="00A100A6">
        <w:rPr>
          <w:rFonts w:ascii="Tahoma" w:eastAsia="Calibri" w:hAnsi="Tahoma" w:cs="Tahoma"/>
          <w:sz w:val="22"/>
          <w:szCs w:val="22"/>
          <w:lang w:val="en-US"/>
        </w:rPr>
        <w:t>.</w:t>
      </w:r>
    </w:p>
    <w:p w14:paraId="48D6843A" w14:textId="77777777" w:rsidR="00DB7F4F" w:rsidRPr="00A100A6" w:rsidRDefault="00DB7F4F" w:rsidP="001416A7">
      <w:pPr>
        <w:spacing w:line="360" w:lineRule="auto"/>
        <w:ind w:left="0"/>
        <w:rPr>
          <w:rFonts w:ascii="Tahoma" w:eastAsia="Calibri" w:hAnsi="Tahoma" w:cs="Tahoma"/>
          <w:sz w:val="22"/>
          <w:szCs w:val="22"/>
          <w:lang w:val="en-US"/>
        </w:rPr>
      </w:pPr>
    </w:p>
    <w:p w14:paraId="689B8487" w14:textId="46145BA2" w:rsidR="000C076B" w:rsidRPr="009A151B" w:rsidRDefault="00B60004" w:rsidP="001416A7">
      <w:pPr>
        <w:spacing w:line="360" w:lineRule="auto"/>
        <w:ind w:left="0"/>
        <w:rPr>
          <w:rFonts w:ascii="Tahoma" w:hAnsi="Tahoma" w:cs="Tahoma"/>
          <w:sz w:val="22"/>
          <w:szCs w:val="22"/>
        </w:rPr>
      </w:pPr>
      <w:r w:rsidRPr="009A151B">
        <w:rPr>
          <w:rFonts w:ascii="Tahoma" w:hAnsi="Tahoma" w:cs="Tahoma"/>
          <w:b/>
          <w:sz w:val="22"/>
          <w:szCs w:val="22"/>
        </w:rPr>
        <w:t>Acquisition of</w:t>
      </w:r>
      <w:r w:rsidR="000C076B" w:rsidRPr="009A151B">
        <w:rPr>
          <w:rFonts w:ascii="Tahoma" w:hAnsi="Tahoma" w:cs="Tahoma"/>
          <w:b/>
          <w:sz w:val="22"/>
          <w:szCs w:val="22"/>
        </w:rPr>
        <w:t xml:space="preserve"> nonfinancial assets </w:t>
      </w:r>
      <w:r w:rsidR="000C076B" w:rsidRPr="009A151B">
        <w:rPr>
          <w:rFonts w:ascii="Tahoma" w:hAnsi="Tahoma" w:cs="Tahoma"/>
          <w:sz w:val="22"/>
          <w:szCs w:val="22"/>
        </w:rPr>
        <w:t>changes the composition</w:t>
      </w:r>
      <w:r w:rsidR="000C076B" w:rsidRPr="009A151B">
        <w:rPr>
          <w:rFonts w:ascii="Tahoma" w:hAnsi="Tahoma" w:cs="Tahoma"/>
          <w:b/>
          <w:sz w:val="22"/>
          <w:szCs w:val="22"/>
        </w:rPr>
        <w:t xml:space="preserve"> </w:t>
      </w:r>
      <w:r w:rsidR="000C076B" w:rsidRPr="009A151B">
        <w:rPr>
          <w:rFonts w:ascii="Tahoma" w:hAnsi="Tahoma" w:cs="Tahoma"/>
          <w:sz w:val="22"/>
          <w:szCs w:val="22"/>
        </w:rPr>
        <w:t>of the balance sheet by exchanging one asset (the nonfinancial asset) for another or a liabili</w:t>
      </w:r>
      <w:r w:rsidR="0095001E" w:rsidRPr="009A151B">
        <w:rPr>
          <w:rFonts w:ascii="Tahoma" w:hAnsi="Tahoma" w:cs="Tahoma"/>
          <w:sz w:val="22"/>
          <w:szCs w:val="22"/>
        </w:rPr>
        <w:t>ty (the payment for the asset</w:t>
      </w:r>
      <w:r w:rsidR="005C761B">
        <w:rPr>
          <w:rFonts w:ascii="Tahoma" w:hAnsi="Tahoma" w:cs="Tahoma"/>
          <w:sz w:val="22"/>
          <w:szCs w:val="22"/>
        </w:rPr>
        <w:t>)</w:t>
      </w:r>
      <w:r w:rsidR="004812AF" w:rsidRPr="009A151B">
        <w:rPr>
          <w:rFonts w:ascii="Tahoma" w:hAnsi="Tahoma" w:cs="Tahoma"/>
          <w:sz w:val="22"/>
          <w:szCs w:val="22"/>
        </w:rPr>
        <w:t>.</w:t>
      </w:r>
      <w:r w:rsidRPr="009A151B">
        <w:rPr>
          <w:rFonts w:ascii="Tahoma" w:hAnsi="Tahoma" w:cs="Tahoma"/>
          <w:sz w:val="22"/>
          <w:szCs w:val="22"/>
        </w:rPr>
        <w:t xml:space="preserve"> Acquisition of nonfinancial assets </w:t>
      </w:r>
      <w:r w:rsidR="000C076B" w:rsidRPr="009A151B">
        <w:rPr>
          <w:rFonts w:ascii="Tahoma" w:hAnsi="Tahoma" w:cs="Tahoma"/>
          <w:sz w:val="22"/>
          <w:szCs w:val="22"/>
        </w:rPr>
        <w:t>is not an expense as it has no effect on net worth.</w:t>
      </w:r>
    </w:p>
    <w:p w14:paraId="3138189E" w14:textId="77777777" w:rsidR="00D13839" w:rsidRPr="009A151B" w:rsidRDefault="00D13839" w:rsidP="001416A7">
      <w:pPr>
        <w:spacing w:line="360" w:lineRule="auto"/>
        <w:ind w:left="0"/>
        <w:rPr>
          <w:rFonts w:ascii="Tahoma" w:hAnsi="Tahoma" w:cs="Tahoma"/>
          <w:sz w:val="22"/>
          <w:szCs w:val="22"/>
        </w:rPr>
      </w:pPr>
    </w:p>
    <w:p w14:paraId="50153C9D" w14:textId="77777777" w:rsidR="00AB6C7C" w:rsidRPr="009A151B" w:rsidRDefault="00B60004" w:rsidP="001416A7">
      <w:pPr>
        <w:spacing w:line="360" w:lineRule="auto"/>
        <w:ind w:left="0"/>
        <w:rPr>
          <w:rFonts w:ascii="Tahoma" w:hAnsi="Tahoma" w:cs="Tahoma"/>
        </w:rPr>
      </w:pPr>
      <w:r w:rsidRPr="009A151B">
        <w:rPr>
          <w:rFonts w:ascii="Tahoma" w:hAnsi="Tahoma" w:cs="Tahoma"/>
          <w:sz w:val="22"/>
          <w:szCs w:val="22"/>
        </w:rPr>
        <w:t>Non</w:t>
      </w:r>
      <w:r w:rsidR="00AB6C7C" w:rsidRPr="009A151B">
        <w:rPr>
          <w:rFonts w:ascii="Tahoma" w:hAnsi="Tahoma" w:cs="Tahoma"/>
          <w:sz w:val="22"/>
          <w:szCs w:val="22"/>
        </w:rPr>
        <w:t>financial assets comprise of the following:</w:t>
      </w:r>
    </w:p>
    <w:p w14:paraId="59C33D5B" w14:textId="6DE19BB6" w:rsidR="00AB6C7C" w:rsidRPr="009A151B" w:rsidRDefault="005C761B" w:rsidP="004852B2">
      <w:pPr>
        <w:pStyle w:val="ListParagraph"/>
        <w:numPr>
          <w:ilvl w:val="0"/>
          <w:numId w:val="10"/>
        </w:numPr>
        <w:spacing w:after="0" w:line="360" w:lineRule="auto"/>
        <w:jc w:val="both"/>
        <w:rPr>
          <w:rFonts w:ascii="Tahoma" w:hAnsi="Tahoma" w:cs="Tahoma"/>
        </w:rPr>
      </w:pPr>
      <w:r>
        <w:rPr>
          <w:rFonts w:ascii="Tahoma" w:hAnsi="Tahoma" w:cs="Tahoma"/>
        </w:rPr>
        <w:t xml:space="preserve">Fixed assets like </w:t>
      </w:r>
      <w:r w:rsidR="00AB6C7C" w:rsidRPr="009A151B">
        <w:rPr>
          <w:rFonts w:ascii="Tahoma" w:hAnsi="Tahoma" w:cs="Tahoma"/>
        </w:rPr>
        <w:t>buildings and structures, ma</w:t>
      </w:r>
      <w:r w:rsidR="002636FC" w:rsidRPr="009A151B">
        <w:rPr>
          <w:rFonts w:ascii="Tahoma" w:hAnsi="Tahoma" w:cs="Tahoma"/>
        </w:rPr>
        <w:t>chinery and equipment and other</w:t>
      </w:r>
      <w:r w:rsidR="004852B2" w:rsidRPr="009A151B">
        <w:rPr>
          <w:rFonts w:ascii="Tahoma" w:hAnsi="Tahoma" w:cs="Tahoma"/>
        </w:rPr>
        <w:t xml:space="preserve"> </w:t>
      </w:r>
      <w:r w:rsidR="00633020" w:rsidRPr="009A151B">
        <w:rPr>
          <w:rFonts w:ascii="Tahoma" w:hAnsi="Tahoma" w:cs="Tahoma"/>
        </w:rPr>
        <w:t>fixed assets.</w:t>
      </w:r>
    </w:p>
    <w:p w14:paraId="3215C299" w14:textId="77777777" w:rsidR="000C076B" w:rsidRPr="009A151B" w:rsidRDefault="00AB6C7C" w:rsidP="004852B2">
      <w:pPr>
        <w:pStyle w:val="ListParagraph"/>
        <w:numPr>
          <w:ilvl w:val="0"/>
          <w:numId w:val="10"/>
        </w:numPr>
        <w:spacing w:after="0" w:line="360" w:lineRule="auto"/>
        <w:jc w:val="both"/>
        <w:rPr>
          <w:rFonts w:ascii="Tahoma" w:hAnsi="Tahoma" w:cs="Tahoma"/>
        </w:rPr>
      </w:pPr>
      <w:proofErr w:type="gramStart"/>
      <w:r w:rsidRPr="009A151B">
        <w:rPr>
          <w:rFonts w:ascii="Tahoma" w:hAnsi="Tahoma" w:cs="Tahoma"/>
        </w:rPr>
        <w:t>Non</w:t>
      </w:r>
      <w:proofErr w:type="gramEnd"/>
      <w:r w:rsidR="00DB7F4F" w:rsidRPr="009A151B">
        <w:rPr>
          <w:rFonts w:ascii="Tahoma" w:hAnsi="Tahoma" w:cs="Tahoma"/>
        </w:rPr>
        <w:t xml:space="preserve"> </w:t>
      </w:r>
      <w:r w:rsidRPr="009A151B">
        <w:rPr>
          <w:rFonts w:ascii="Tahoma" w:hAnsi="Tahoma" w:cs="Tahoma"/>
        </w:rPr>
        <w:t xml:space="preserve">produced assets such as acquisition of land. </w:t>
      </w:r>
    </w:p>
    <w:p w14:paraId="07D728B3" w14:textId="77777777" w:rsidR="00AB6C7C" w:rsidRPr="00A100A6" w:rsidRDefault="00AB6C7C" w:rsidP="001416A7">
      <w:pPr>
        <w:spacing w:line="360" w:lineRule="auto"/>
        <w:ind w:left="0"/>
        <w:rPr>
          <w:rFonts w:ascii="Tahoma" w:hAnsi="Tahoma" w:cs="Tahoma"/>
          <w:sz w:val="22"/>
          <w:szCs w:val="22"/>
        </w:rPr>
      </w:pPr>
    </w:p>
    <w:p w14:paraId="64410895" w14:textId="77777777" w:rsidR="00395A4E" w:rsidRPr="00A100A6" w:rsidRDefault="00395A4E" w:rsidP="001416A7">
      <w:pPr>
        <w:tabs>
          <w:tab w:val="left" w:pos="0"/>
        </w:tabs>
        <w:spacing w:line="360" w:lineRule="auto"/>
        <w:ind w:left="0"/>
        <w:rPr>
          <w:rFonts w:ascii="Tahoma" w:hAnsi="Tahoma" w:cs="Tahoma"/>
          <w:sz w:val="22"/>
          <w:szCs w:val="22"/>
        </w:rPr>
      </w:pPr>
      <w:r w:rsidRPr="00A100A6">
        <w:rPr>
          <w:rFonts w:ascii="Tahoma" w:hAnsi="Tahoma" w:cs="Tahoma"/>
          <w:b/>
          <w:sz w:val="22"/>
          <w:szCs w:val="22"/>
        </w:rPr>
        <w:t xml:space="preserve">Consumption of fixed </w:t>
      </w:r>
      <w:r w:rsidR="00AB6C7C" w:rsidRPr="00A100A6">
        <w:rPr>
          <w:rFonts w:ascii="Tahoma" w:hAnsi="Tahoma" w:cs="Tahoma"/>
          <w:b/>
          <w:sz w:val="22"/>
          <w:szCs w:val="22"/>
        </w:rPr>
        <w:t>c</w:t>
      </w:r>
      <w:r w:rsidRPr="00A100A6">
        <w:rPr>
          <w:rFonts w:ascii="Tahoma" w:hAnsi="Tahoma" w:cs="Tahoma"/>
          <w:b/>
          <w:sz w:val="22"/>
          <w:szCs w:val="22"/>
        </w:rPr>
        <w:t xml:space="preserve">apital </w:t>
      </w:r>
      <w:r w:rsidRPr="00A100A6">
        <w:rPr>
          <w:rFonts w:ascii="Tahoma" w:hAnsi="Tahoma" w:cs="Tahoma"/>
          <w:sz w:val="22"/>
          <w:szCs w:val="22"/>
        </w:rPr>
        <w:t>is the decline in the value of the stock of fixed assets during the accounting period as a result of physical deterioration, normal obsolescence, and normal accidental damage.</w:t>
      </w:r>
    </w:p>
    <w:p w14:paraId="2DF326C1" w14:textId="77777777" w:rsidR="0002686D" w:rsidRPr="00A100A6" w:rsidRDefault="0002686D" w:rsidP="001416A7">
      <w:pPr>
        <w:tabs>
          <w:tab w:val="left" w:pos="0"/>
        </w:tabs>
        <w:spacing w:line="360" w:lineRule="auto"/>
        <w:ind w:left="0"/>
        <w:rPr>
          <w:rFonts w:ascii="Tahoma" w:hAnsi="Tahoma" w:cs="Tahoma"/>
          <w:b/>
          <w:sz w:val="22"/>
          <w:szCs w:val="22"/>
        </w:rPr>
      </w:pPr>
    </w:p>
    <w:p w14:paraId="64227FCB" w14:textId="77777777" w:rsidR="000C076B" w:rsidRPr="00A100A6" w:rsidRDefault="000C076B" w:rsidP="001416A7">
      <w:pPr>
        <w:tabs>
          <w:tab w:val="left" w:pos="0"/>
        </w:tabs>
        <w:spacing w:line="360" w:lineRule="auto"/>
        <w:ind w:left="0"/>
        <w:rPr>
          <w:rFonts w:ascii="Tahoma" w:hAnsi="Tahoma" w:cs="Tahoma"/>
          <w:sz w:val="22"/>
          <w:szCs w:val="22"/>
        </w:rPr>
      </w:pPr>
      <w:r w:rsidRPr="00A100A6">
        <w:rPr>
          <w:rFonts w:ascii="Tahoma" w:hAnsi="Tahoma" w:cs="Tahoma"/>
          <w:b/>
          <w:sz w:val="22"/>
          <w:szCs w:val="22"/>
        </w:rPr>
        <w:t xml:space="preserve">Financing </w:t>
      </w:r>
      <w:r w:rsidRPr="00A100A6">
        <w:rPr>
          <w:rFonts w:ascii="Tahoma" w:hAnsi="Tahoma" w:cs="Tahoma"/>
          <w:sz w:val="22"/>
          <w:szCs w:val="22"/>
        </w:rPr>
        <w:t xml:space="preserve">includes transactions in financial assets and liabilities which are identified separately by residency of counterparty (domestic or foreign), type of financial instrument (e.g. securities other than shares, loans, shares and other equity, etc.) and sector of counterparty (e.g. general government, central bank, other depository corporations, </w:t>
      </w:r>
      <w:proofErr w:type="spellStart"/>
      <w:r w:rsidRPr="00A100A6">
        <w:rPr>
          <w:rFonts w:ascii="Tahoma" w:hAnsi="Tahoma" w:cs="Tahoma"/>
          <w:sz w:val="22"/>
          <w:szCs w:val="22"/>
        </w:rPr>
        <w:t>etc</w:t>
      </w:r>
      <w:proofErr w:type="spellEnd"/>
      <w:r w:rsidRPr="00A100A6">
        <w:rPr>
          <w:rFonts w:ascii="Tahoma" w:hAnsi="Tahoma" w:cs="Tahoma"/>
          <w:sz w:val="22"/>
          <w:szCs w:val="22"/>
        </w:rPr>
        <w:t>).</w:t>
      </w:r>
    </w:p>
    <w:p w14:paraId="1A8D8C1B" w14:textId="77777777" w:rsidR="000C076B" w:rsidRPr="00A100A6" w:rsidRDefault="000C076B" w:rsidP="001416A7">
      <w:pPr>
        <w:tabs>
          <w:tab w:val="left" w:pos="0"/>
        </w:tabs>
        <w:spacing w:line="360" w:lineRule="auto"/>
        <w:ind w:left="0"/>
        <w:rPr>
          <w:rFonts w:ascii="Tahoma" w:hAnsi="Tahoma" w:cs="Tahoma"/>
          <w:sz w:val="22"/>
          <w:szCs w:val="22"/>
        </w:rPr>
      </w:pPr>
      <w:r w:rsidRPr="00A100A6">
        <w:rPr>
          <w:rFonts w:ascii="Tahoma" w:hAnsi="Tahoma" w:cs="Tahoma"/>
          <w:sz w:val="22"/>
          <w:szCs w:val="22"/>
        </w:rPr>
        <w:t xml:space="preserve"> </w:t>
      </w:r>
    </w:p>
    <w:p w14:paraId="434496DD" w14:textId="77777777" w:rsidR="00581848" w:rsidRPr="00A100A6" w:rsidRDefault="000C076B" w:rsidP="001416A7">
      <w:pPr>
        <w:spacing w:line="360" w:lineRule="auto"/>
        <w:ind w:left="0"/>
        <w:rPr>
          <w:rFonts w:ascii="Tahoma" w:hAnsi="Tahoma" w:cs="Tahoma"/>
          <w:sz w:val="22"/>
          <w:szCs w:val="22"/>
        </w:rPr>
      </w:pPr>
      <w:r w:rsidRPr="00A100A6">
        <w:rPr>
          <w:rFonts w:ascii="Tahoma" w:hAnsi="Tahoma" w:cs="Tahoma"/>
          <w:b/>
          <w:sz w:val="22"/>
          <w:szCs w:val="22"/>
        </w:rPr>
        <w:t>Net acquisition of financial assets</w:t>
      </w:r>
      <w:r w:rsidRPr="00A100A6">
        <w:rPr>
          <w:rFonts w:ascii="Tahoma" w:hAnsi="Tahoma" w:cs="Tahoma"/>
          <w:sz w:val="22"/>
          <w:szCs w:val="22"/>
        </w:rPr>
        <w:t xml:space="preserve"> is identified by residency of counterparty (domestic or foreign), type of financial instrument (e.g. securities other than shares, loans, shares and other equity, etc.) and sector of counterparty (e.g. general government, central bank, other depository corporations, </w:t>
      </w:r>
      <w:proofErr w:type="spellStart"/>
      <w:r w:rsidRPr="00A100A6">
        <w:rPr>
          <w:rFonts w:ascii="Tahoma" w:hAnsi="Tahoma" w:cs="Tahoma"/>
          <w:sz w:val="22"/>
          <w:szCs w:val="22"/>
        </w:rPr>
        <w:t>etc</w:t>
      </w:r>
      <w:proofErr w:type="spellEnd"/>
      <w:r w:rsidRPr="00A100A6">
        <w:rPr>
          <w:rFonts w:ascii="Tahoma" w:hAnsi="Tahoma" w:cs="Tahoma"/>
          <w:sz w:val="22"/>
          <w:szCs w:val="22"/>
        </w:rPr>
        <w:t>).</w:t>
      </w:r>
    </w:p>
    <w:p w14:paraId="395C78D3" w14:textId="77777777" w:rsidR="00581848" w:rsidRPr="00A100A6" w:rsidRDefault="00581848" w:rsidP="001416A7">
      <w:pPr>
        <w:spacing w:line="360" w:lineRule="auto"/>
        <w:ind w:left="0"/>
        <w:rPr>
          <w:rFonts w:ascii="Tahoma" w:hAnsi="Tahoma" w:cs="Tahoma"/>
          <w:b/>
          <w:sz w:val="22"/>
          <w:szCs w:val="22"/>
        </w:rPr>
      </w:pPr>
    </w:p>
    <w:p w14:paraId="2B93F6A5" w14:textId="77777777" w:rsidR="000C076B" w:rsidRPr="00A100A6" w:rsidRDefault="000C076B" w:rsidP="001416A7">
      <w:pPr>
        <w:tabs>
          <w:tab w:val="left" w:pos="8640"/>
        </w:tabs>
        <w:spacing w:line="360" w:lineRule="auto"/>
        <w:ind w:left="0"/>
        <w:rPr>
          <w:rFonts w:ascii="Tahoma" w:hAnsi="Tahoma" w:cs="Tahoma"/>
          <w:sz w:val="22"/>
          <w:szCs w:val="22"/>
        </w:rPr>
      </w:pPr>
      <w:r w:rsidRPr="00A100A6">
        <w:rPr>
          <w:rFonts w:ascii="Tahoma" w:hAnsi="Tahoma" w:cs="Tahoma"/>
          <w:b/>
          <w:sz w:val="22"/>
          <w:szCs w:val="22"/>
        </w:rPr>
        <w:lastRenderedPageBreak/>
        <w:t>Net incurrence of liabilities</w:t>
      </w:r>
      <w:r w:rsidRPr="00A100A6">
        <w:rPr>
          <w:rFonts w:ascii="Tahoma" w:hAnsi="Tahoma" w:cs="Tahoma"/>
          <w:sz w:val="22"/>
          <w:szCs w:val="22"/>
        </w:rPr>
        <w:t xml:space="preserve"> is identified by residency of counterparty (domestic or foreign), type of financial instrument (e.g. securities other than shares, loans, shares and other equity, etc.) and sector of counterparty (e.g. general government, central bank,  other depository corporations, </w:t>
      </w:r>
      <w:proofErr w:type="spellStart"/>
      <w:r w:rsidRPr="00A100A6">
        <w:rPr>
          <w:rFonts w:ascii="Tahoma" w:hAnsi="Tahoma" w:cs="Tahoma"/>
          <w:sz w:val="22"/>
          <w:szCs w:val="22"/>
        </w:rPr>
        <w:t>etc</w:t>
      </w:r>
      <w:proofErr w:type="spellEnd"/>
      <w:r w:rsidRPr="00A100A6">
        <w:rPr>
          <w:rFonts w:ascii="Tahoma" w:hAnsi="Tahoma" w:cs="Tahoma"/>
          <w:sz w:val="22"/>
          <w:szCs w:val="22"/>
        </w:rPr>
        <w:t>).</w:t>
      </w:r>
    </w:p>
    <w:p w14:paraId="6669D010" w14:textId="77777777" w:rsidR="000C076B" w:rsidRPr="00A100A6" w:rsidRDefault="000C076B" w:rsidP="001416A7">
      <w:pPr>
        <w:spacing w:line="360" w:lineRule="auto"/>
        <w:ind w:left="0"/>
        <w:rPr>
          <w:rFonts w:ascii="Tahoma" w:hAnsi="Tahoma" w:cs="Tahoma"/>
          <w:b/>
          <w:sz w:val="22"/>
          <w:szCs w:val="22"/>
        </w:rPr>
      </w:pPr>
    </w:p>
    <w:p w14:paraId="045FD187" w14:textId="77777777" w:rsidR="000C076B" w:rsidRPr="00A100A6" w:rsidRDefault="000C076B" w:rsidP="001416A7">
      <w:pPr>
        <w:spacing w:line="360" w:lineRule="auto"/>
        <w:ind w:left="0"/>
        <w:rPr>
          <w:rFonts w:ascii="Tahoma" w:hAnsi="Tahoma" w:cs="Tahoma"/>
          <w:sz w:val="22"/>
          <w:szCs w:val="22"/>
        </w:rPr>
      </w:pPr>
      <w:r w:rsidRPr="00A100A6">
        <w:rPr>
          <w:rFonts w:ascii="Tahoma" w:hAnsi="Tahoma" w:cs="Tahoma"/>
          <w:b/>
          <w:sz w:val="22"/>
          <w:szCs w:val="22"/>
        </w:rPr>
        <w:t>Net operating balance</w:t>
      </w:r>
      <w:r w:rsidRPr="00A100A6">
        <w:rPr>
          <w:rFonts w:ascii="Tahoma" w:hAnsi="Tahoma" w:cs="Tahoma"/>
          <w:sz w:val="22"/>
          <w:szCs w:val="22"/>
        </w:rPr>
        <w:t xml:space="preserve"> is the balance of transactions affecting net worth (revenue less expense).</w:t>
      </w:r>
    </w:p>
    <w:p w14:paraId="6AF5E81B" w14:textId="77777777" w:rsidR="00DB7F4F" w:rsidRPr="00A100A6" w:rsidRDefault="00DB7F4F" w:rsidP="001416A7">
      <w:pPr>
        <w:spacing w:line="360" w:lineRule="auto"/>
        <w:ind w:left="0"/>
        <w:rPr>
          <w:rFonts w:ascii="Tahoma" w:hAnsi="Tahoma" w:cs="Tahoma"/>
          <w:sz w:val="22"/>
          <w:szCs w:val="22"/>
        </w:rPr>
      </w:pPr>
    </w:p>
    <w:p w14:paraId="76D63942" w14:textId="77777777" w:rsidR="000C076B" w:rsidRPr="00A100A6" w:rsidRDefault="000C076B" w:rsidP="001416A7">
      <w:pPr>
        <w:spacing w:line="360" w:lineRule="auto"/>
        <w:ind w:left="0"/>
        <w:rPr>
          <w:rFonts w:ascii="Tahoma" w:hAnsi="Tahoma" w:cs="Tahoma"/>
          <w:sz w:val="22"/>
          <w:szCs w:val="22"/>
        </w:rPr>
      </w:pPr>
      <w:r w:rsidRPr="00A100A6">
        <w:rPr>
          <w:rFonts w:ascii="Tahoma" w:hAnsi="Tahoma" w:cs="Tahoma"/>
          <w:b/>
          <w:sz w:val="22"/>
          <w:szCs w:val="22"/>
        </w:rPr>
        <w:t>Net lending/ borrowing</w:t>
      </w:r>
      <w:r w:rsidRPr="00A100A6">
        <w:rPr>
          <w:rFonts w:ascii="Tahoma" w:hAnsi="Tahoma" w:cs="Tahoma"/>
          <w:sz w:val="22"/>
          <w:szCs w:val="22"/>
        </w:rPr>
        <w:t xml:space="preserve"> is the net operating balance less acquisition of nonfinancial assets</w:t>
      </w:r>
      <w:r w:rsidR="00172AF8" w:rsidRPr="00A100A6">
        <w:rPr>
          <w:rFonts w:ascii="Tahoma" w:hAnsi="Tahoma" w:cs="Tahoma"/>
          <w:sz w:val="22"/>
          <w:szCs w:val="22"/>
        </w:rPr>
        <w:t>.</w:t>
      </w:r>
    </w:p>
    <w:p w14:paraId="3F9C12EC" w14:textId="77777777" w:rsidR="000C076B" w:rsidRPr="00A100A6" w:rsidRDefault="000C076B" w:rsidP="001416A7">
      <w:pPr>
        <w:spacing w:line="360" w:lineRule="auto"/>
        <w:ind w:left="0"/>
        <w:rPr>
          <w:rFonts w:ascii="Tahoma" w:hAnsi="Tahoma" w:cs="Tahoma"/>
          <w:b/>
          <w:sz w:val="22"/>
          <w:szCs w:val="22"/>
        </w:rPr>
      </w:pPr>
    </w:p>
    <w:p w14:paraId="618ECDB6" w14:textId="77777777" w:rsidR="000C076B" w:rsidRPr="00A100A6" w:rsidRDefault="000C076B" w:rsidP="001416A7">
      <w:pPr>
        <w:spacing w:line="360" w:lineRule="auto"/>
        <w:ind w:left="0"/>
        <w:rPr>
          <w:rFonts w:ascii="Tahoma" w:hAnsi="Tahoma" w:cs="Tahoma"/>
          <w:sz w:val="22"/>
          <w:szCs w:val="22"/>
        </w:rPr>
      </w:pPr>
      <w:bookmarkStart w:id="1" w:name="OLE_LINK2"/>
      <w:r w:rsidRPr="00A100A6">
        <w:rPr>
          <w:rFonts w:ascii="Tahoma" w:hAnsi="Tahoma" w:cs="Tahoma"/>
          <w:b/>
          <w:sz w:val="22"/>
          <w:szCs w:val="22"/>
        </w:rPr>
        <w:t xml:space="preserve">Total </w:t>
      </w:r>
      <w:r w:rsidR="00EE460F" w:rsidRPr="00A100A6">
        <w:rPr>
          <w:rFonts w:ascii="Tahoma" w:hAnsi="Tahoma" w:cs="Tahoma"/>
          <w:b/>
          <w:sz w:val="22"/>
          <w:szCs w:val="22"/>
        </w:rPr>
        <w:t>expenditure</w:t>
      </w:r>
      <w:r w:rsidRPr="00A100A6">
        <w:rPr>
          <w:rFonts w:ascii="Tahoma" w:hAnsi="Tahoma" w:cs="Tahoma"/>
          <w:b/>
          <w:sz w:val="22"/>
          <w:szCs w:val="22"/>
        </w:rPr>
        <w:t xml:space="preserve"> by functions</w:t>
      </w:r>
      <w:r w:rsidRPr="00A100A6">
        <w:rPr>
          <w:rFonts w:ascii="Tahoma" w:hAnsi="Tahoma" w:cs="Tahoma"/>
          <w:sz w:val="22"/>
          <w:szCs w:val="22"/>
        </w:rPr>
        <w:t xml:space="preserve"> </w:t>
      </w:r>
      <w:bookmarkEnd w:id="1"/>
      <w:r w:rsidR="00EE460F" w:rsidRPr="00A100A6">
        <w:rPr>
          <w:rFonts w:ascii="Tahoma" w:hAnsi="Tahoma" w:cs="Tahoma"/>
          <w:sz w:val="22"/>
          <w:szCs w:val="22"/>
        </w:rPr>
        <w:t>represents</w:t>
      </w:r>
      <w:r w:rsidRPr="00A100A6">
        <w:rPr>
          <w:rFonts w:ascii="Tahoma" w:hAnsi="Tahoma" w:cs="Tahoma"/>
          <w:sz w:val="22"/>
          <w:szCs w:val="22"/>
        </w:rPr>
        <w:t xml:space="preserve"> expense plus the net acquisition of nonfinancial assets</w:t>
      </w:r>
      <w:r w:rsidR="00D13839">
        <w:rPr>
          <w:rFonts w:ascii="Tahoma" w:hAnsi="Tahoma" w:cs="Tahoma"/>
          <w:sz w:val="22"/>
          <w:szCs w:val="22"/>
        </w:rPr>
        <w:t xml:space="preserve"> </w:t>
      </w:r>
      <w:r w:rsidR="00D13839" w:rsidRPr="009A151B">
        <w:rPr>
          <w:rFonts w:ascii="Tahoma" w:hAnsi="Tahoma" w:cs="Tahoma"/>
          <w:sz w:val="22"/>
          <w:szCs w:val="22"/>
        </w:rPr>
        <w:t xml:space="preserve">disaggregated by the different functions of Government as defined by the Classification of the Functions of Government (COFOG). </w:t>
      </w:r>
      <w:r w:rsidR="00D13839">
        <w:rPr>
          <w:rFonts w:ascii="Tahoma" w:hAnsi="Tahoma" w:cs="Tahoma"/>
          <w:sz w:val="22"/>
          <w:szCs w:val="22"/>
        </w:rPr>
        <w:t xml:space="preserve">  </w:t>
      </w:r>
    </w:p>
    <w:p w14:paraId="3E76A120" w14:textId="77777777" w:rsidR="005969DD" w:rsidRPr="00A100A6" w:rsidRDefault="005969DD" w:rsidP="001416A7">
      <w:pPr>
        <w:spacing w:line="360" w:lineRule="auto"/>
        <w:ind w:left="0"/>
        <w:rPr>
          <w:rFonts w:ascii="Tahoma" w:hAnsi="Tahoma" w:cs="Tahoma"/>
          <w:spacing w:val="4"/>
          <w:sz w:val="22"/>
          <w:szCs w:val="22"/>
        </w:rPr>
      </w:pPr>
    </w:p>
    <w:p w14:paraId="68101294" w14:textId="77777777" w:rsidR="000C076B" w:rsidRPr="00A100A6" w:rsidRDefault="000C076B" w:rsidP="004852B2">
      <w:pPr>
        <w:numPr>
          <w:ilvl w:val="0"/>
          <w:numId w:val="1"/>
        </w:numPr>
        <w:autoSpaceDE w:val="0"/>
        <w:autoSpaceDN w:val="0"/>
        <w:adjustRightInd w:val="0"/>
        <w:spacing w:line="360" w:lineRule="auto"/>
        <w:ind w:left="0" w:firstLine="0"/>
        <w:rPr>
          <w:rFonts w:ascii="Tahoma" w:hAnsi="Tahoma" w:cs="Tahoma"/>
          <w:b/>
          <w:sz w:val="22"/>
          <w:szCs w:val="22"/>
        </w:rPr>
      </w:pPr>
      <w:r w:rsidRPr="00A100A6">
        <w:rPr>
          <w:rFonts w:ascii="Tahoma" w:hAnsi="Tahoma" w:cs="Tahoma"/>
          <w:b/>
          <w:sz w:val="22"/>
          <w:szCs w:val="22"/>
        </w:rPr>
        <w:t>GFSM 2001 Manual</w:t>
      </w:r>
    </w:p>
    <w:p w14:paraId="4BA59C52" w14:textId="77777777" w:rsidR="000C076B" w:rsidRPr="00A100A6" w:rsidRDefault="000C076B" w:rsidP="001416A7">
      <w:pPr>
        <w:autoSpaceDE w:val="0"/>
        <w:autoSpaceDN w:val="0"/>
        <w:adjustRightInd w:val="0"/>
        <w:spacing w:line="360" w:lineRule="auto"/>
        <w:ind w:left="0"/>
        <w:rPr>
          <w:rFonts w:ascii="Tahoma" w:hAnsi="Tahoma" w:cs="Tahoma"/>
          <w:sz w:val="22"/>
          <w:szCs w:val="22"/>
        </w:rPr>
      </w:pPr>
      <w:r w:rsidRPr="00A100A6">
        <w:rPr>
          <w:rFonts w:ascii="Tahoma" w:hAnsi="Tahoma" w:cs="Tahoma"/>
          <w:sz w:val="22"/>
          <w:szCs w:val="22"/>
        </w:rPr>
        <w:t>Over time</w:t>
      </w:r>
      <w:r w:rsidR="00D13839">
        <w:rPr>
          <w:rFonts w:ascii="Tahoma" w:hAnsi="Tahoma" w:cs="Tahoma"/>
          <w:sz w:val="22"/>
          <w:szCs w:val="22"/>
        </w:rPr>
        <w:t>,</w:t>
      </w:r>
      <w:r w:rsidRPr="00A100A6">
        <w:rPr>
          <w:rFonts w:ascii="Tahoma" w:hAnsi="Tahoma" w:cs="Tahoma"/>
          <w:sz w:val="22"/>
          <w:szCs w:val="22"/>
        </w:rPr>
        <w:t xml:space="preserve"> new topics have assumed importance for fiscal analysis, e.g. arrears, transactions in kind, balance sheet items (stocks, net worth), and sustainability of fiscal policy. There was also world-wide shift toward resource-based accounting, because of dissatisfaction with cash-based accounting. Other related statistics Manuals such as the System of National Accounts (SNA) and the Balance of Payments (BOP</w:t>
      </w:r>
      <w:r w:rsidR="002636FC">
        <w:rPr>
          <w:rFonts w:ascii="Tahoma" w:hAnsi="Tahoma" w:cs="Tahoma"/>
          <w:sz w:val="22"/>
          <w:szCs w:val="22"/>
        </w:rPr>
        <w:t>) have been revised in the mean</w:t>
      </w:r>
      <w:r w:rsidRPr="00A100A6">
        <w:rPr>
          <w:rFonts w:ascii="Tahoma" w:hAnsi="Tahoma" w:cs="Tahoma"/>
          <w:sz w:val="22"/>
          <w:szCs w:val="22"/>
        </w:rPr>
        <w:t>time.</w:t>
      </w:r>
    </w:p>
    <w:p w14:paraId="2B6AC67D" w14:textId="77777777" w:rsidR="000C076B" w:rsidRPr="00A100A6" w:rsidRDefault="000C076B" w:rsidP="001416A7">
      <w:pPr>
        <w:autoSpaceDE w:val="0"/>
        <w:autoSpaceDN w:val="0"/>
        <w:adjustRightInd w:val="0"/>
        <w:spacing w:line="360" w:lineRule="auto"/>
        <w:ind w:left="0"/>
        <w:rPr>
          <w:rFonts w:ascii="Tahoma" w:hAnsi="Tahoma" w:cs="Tahoma"/>
          <w:b/>
          <w:sz w:val="22"/>
          <w:szCs w:val="22"/>
        </w:rPr>
      </w:pPr>
    </w:p>
    <w:p w14:paraId="3A4D74F0" w14:textId="77777777" w:rsidR="0036112E" w:rsidRPr="00A100A6" w:rsidRDefault="000C076B" w:rsidP="001416A7">
      <w:pPr>
        <w:autoSpaceDE w:val="0"/>
        <w:autoSpaceDN w:val="0"/>
        <w:adjustRightInd w:val="0"/>
        <w:spacing w:line="360" w:lineRule="auto"/>
        <w:ind w:left="0"/>
        <w:rPr>
          <w:rFonts w:ascii="Tahoma" w:hAnsi="Tahoma" w:cs="Tahoma"/>
          <w:sz w:val="22"/>
          <w:szCs w:val="22"/>
        </w:rPr>
      </w:pPr>
      <w:r w:rsidRPr="00A100A6">
        <w:rPr>
          <w:rFonts w:ascii="Tahoma" w:hAnsi="Tahoma" w:cs="Tahoma"/>
          <w:sz w:val="22"/>
          <w:szCs w:val="22"/>
        </w:rPr>
        <w:t xml:space="preserve">The </w:t>
      </w:r>
      <w:r w:rsidRPr="00A100A6">
        <w:rPr>
          <w:rFonts w:ascii="Tahoma" w:hAnsi="Tahoma" w:cs="Tahoma"/>
          <w:i/>
          <w:iCs/>
          <w:sz w:val="22"/>
          <w:szCs w:val="22"/>
        </w:rPr>
        <w:t xml:space="preserve">GFSM 2001 </w:t>
      </w:r>
      <w:r w:rsidRPr="00A100A6">
        <w:rPr>
          <w:rFonts w:ascii="Tahoma" w:hAnsi="Tahoma" w:cs="Tahoma"/>
          <w:sz w:val="22"/>
          <w:szCs w:val="22"/>
        </w:rPr>
        <w:t xml:space="preserve">framework is an integrated statistical system of flows and stocks for use in macroeconomic analysis. It introduces the concept of accrual accounting and is harmonized with the other macroeconomic statistical systems, such as the </w:t>
      </w:r>
      <w:r w:rsidRPr="00A100A6">
        <w:rPr>
          <w:rFonts w:ascii="Tahoma" w:hAnsi="Tahoma" w:cs="Tahoma"/>
          <w:i/>
          <w:iCs/>
          <w:sz w:val="22"/>
          <w:szCs w:val="22"/>
        </w:rPr>
        <w:t xml:space="preserve">System of National Accounts 1993 </w:t>
      </w:r>
      <w:r w:rsidRPr="00A100A6">
        <w:rPr>
          <w:rFonts w:ascii="Tahoma" w:hAnsi="Tahoma" w:cs="Tahoma"/>
          <w:sz w:val="22"/>
          <w:szCs w:val="22"/>
        </w:rPr>
        <w:t>(</w:t>
      </w:r>
      <w:r w:rsidRPr="00A100A6">
        <w:rPr>
          <w:rFonts w:ascii="Tahoma" w:hAnsi="Tahoma" w:cs="Tahoma"/>
          <w:i/>
          <w:iCs/>
          <w:sz w:val="22"/>
          <w:szCs w:val="22"/>
        </w:rPr>
        <w:t xml:space="preserve">1993 SNA), </w:t>
      </w:r>
      <w:r w:rsidRPr="00A100A6">
        <w:rPr>
          <w:rFonts w:ascii="Tahoma" w:hAnsi="Tahoma" w:cs="Tahoma"/>
          <w:sz w:val="22"/>
          <w:szCs w:val="22"/>
        </w:rPr>
        <w:t xml:space="preserve">1993 </w:t>
      </w:r>
      <w:r w:rsidRPr="00A100A6">
        <w:rPr>
          <w:rFonts w:ascii="Tahoma" w:hAnsi="Tahoma" w:cs="Tahoma"/>
          <w:i/>
          <w:iCs/>
          <w:sz w:val="22"/>
          <w:szCs w:val="22"/>
        </w:rPr>
        <w:t>Balance of Payments Manual</w:t>
      </w:r>
      <w:r w:rsidRPr="00A100A6">
        <w:rPr>
          <w:rFonts w:ascii="Tahoma" w:hAnsi="Tahoma" w:cs="Tahoma"/>
          <w:sz w:val="22"/>
          <w:szCs w:val="22"/>
        </w:rPr>
        <w:t>, fifth edition</w:t>
      </w:r>
      <w:r w:rsidRPr="00A100A6">
        <w:rPr>
          <w:rFonts w:ascii="Tahoma" w:hAnsi="Tahoma" w:cs="Tahoma"/>
          <w:i/>
          <w:iCs/>
          <w:sz w:val="22"/>
          <w:szCs w:val="22"/>
        </w:rPr>
        <w:t xml:space="preserve">, </w:t>
      </w:r>
      <w:r w:rsidRPr="00A100A6">
        <w:rPr>
          <w:rFonts w:ascii="Tahoma" w:hAnsi="Tahoma" w:cs="Tahoma"/>
          <w:sz w:val="22"/>
          <w:szCs w:val="22"/>
        </w:rPr>
        <w:t xml:space="preserve">and </w:t>
      </w:r>
      <w:r w:rsidRPr="00A100A6">
        <w:rPr>
          <w:rFonts w:ascii="Tahoma" w:hAnsi="Tahoma" w:cs="Tahoma"/>
          <w:i/>
          <w:iCs/>
          <w:sz w:val="22"/>
          <w:szCs w:val="22"/>
        </w:rPr>
        <w:t xml:space="preserve">Monetary and Financial Statistics Manual </w:t>
      </w:r>
      <w:r w:rsidRPr="00A100A6">
        <w:rPr>
          <w:rFonts w:ascii="Tahoma" w:hAnsi="Tahoma" w:cs="Tahoma"/>
          <w:sz w:val="22"/>
          <w:szCs w:val="22"/>
        </w:rPr>
        <w:t>(2000)</w:t>
      </w:r>
      <w:r w:rsidR="00280DB4" w:rsidRPr="00A100A6">
        <w:rPr>
          <w:rFonts w:ascii="Tahoma" w:hAnsi="Tahoma" w:cs="Tahoma"/>
          <w:sz w:val="22"/>
          <w:szCs w:val="22"/>
        </w:rPr>
        <w:t>.</w:t>
      </w:r>
    </w:p>
    <w:p w14:paraId="488BF89F" w14:textId="77777777" w:rsidR="005969DD" w:rsidRPr="00A100A6" w:rsidRDefault="005969DD" w:rsidP="001416A7">
      <w:pPr>
        <w:autoSpaceDE w:val="0"/>
        <w:autoSpaceDN w:val="0"/>
        <w:adjustRightInd w:val="0"/>
        <w:spacing w:line="360" w:lineRule="auto"/>
        <w:ind w:left="0"/>
        <w:rPr>
          <w:rFonts w:ascii="Tahoma" w:hAnsi="Tahoma" w:cs="Tahoma"/>
          <w:iCs/>
          <w:sz w:val="22"/>
          <w:szCs w:val="22"/>
        </w:rPr>
      </w:pPr>
    </w:p>
    <w:p w14:paraId="3CCDD902" w14:textId="77777777" w:rsidR="000C076B" w:rsidRPr="00A100A6" w:rsidRDefault="000C076B" w:rsidP="001416A7">
      <w:pPr>
        <w:numPr>
          <w:ilvl w:val="0"/>
          <w:numId w:val="1"/>
        </w:numPr>
        <w:tabs>
          <w:tab w:val="left" w:pos="0"/>
        </w:tabs>
        <w:autoSpaceDE w:val="0"/>
        <w:autoSpaceDN w:val="0"/>
        <w:adjustRightInd w:val="0"/>
        <w:spacing w:line="360" w:lineRule="auto"/>
        <w:ind w:left="0" w:firstLine="0"/>
        <w:rPr>
          <w:rFonts w:ascii="Tahoma" w:hAnsi="Tahoma" w:cs="Tahoma"/>
          <w:b/>
          <w:sz w:val="22"/>
          <w:szCs w:val="22"/>
        </w:rPr>
      </w:pPr>
      <w:r w:rsidRPr="00A100A6">
        <w:rPr>
          <w:rFonts w:ascii="Tahoma" w:hAnsi="Tahoma" w:cs="Tahoma"/>
          <w:b/>
          <w:sz w:val="22"/>
          <w:szCs w:val="22"/>
        </w:rPr>
        <w:t>Main changes in GFSM 2001 Manual</w:t>
      </w:r>
    </w:p>
    <w:p w14:paraId="400AF51F" w14:textId="77777777" w:rsidR="000C076B" w:rsidRPr="00A100A6" w:rsidRDefault="000C076B" w:rsidP="001416A7">
      <w:pPr>
        <w:autoSpaceDE w:val="0"/>
        <w:autoSpaceDN w:val="0"/>
        <w:adjustRightInd w:val="0"/>
        <w:spacing w:line="360" w:lineRule="auto"/>
        <w:ind w:left="0"/>
        <w:rPr>
          <w:rFonts w:ascii="Tahoma" w:hAnsi="Tahoma" w:cs="Tahoma"/>
          <w:sz w:val="22"/>
          <w:szCs w:val="22"/>
        </w:rPr>
      </w:pPr>
      <w:r w:rsidRPr="00A100A6">
        <w:rPr>
          <w:rFonts w:ascii="Tahoma" w:hAnsi="Tahoma" w:cs="Tahoma"/>
          <w:sz w:val="22"/>
          <w:szCs w:val="22"/>
        </w:rPr>
        <w:t xml:space="preserve">Previously, cash transactions in nonfinancial assets were treated as capital revenue and expenditure, which affected the overall deficit/surplus. Now the difference between revenue and expense is a balancing item, the net operating balance, which measures the change in net worth resulting from transactions. </w:t>
      </w:r>
    </w:p>
    <w:p w14:paraId="7F6A8677" w14:textId="77777777" w:rsidR="000C076B" w:rsidRPr="00A100A6" w:rsidRDefault="000C076B" w:rsidP="001416A7">
      <w:pPr>
        <w:autoSpaceDE w:val="0"/>
        <w:autoSpaceDN w:val="0"/>
        <w:adjustRightInd w:val="0"/>
        <w:spacing w:line="360" w:lineRule="auto"/>
        <w:ind w:left="0"/>
        <w:rPr>
          <w:rFonts w:ascii="Tahoma" w:hAnsi="Tahoma" w:cs="Tahoma"/>
          <w:sz w:val="22"/>
          <w:szCs w:val="22"/>
        </w:rPr>
      </w:pPr>
    </w:p>
    <w:p w14:paraId="34B58C20" w14:textId="77777777" w:rsidR="000C076B" w:rsidRDefault="000C076B" w:rsidP="001416A7">
      <w:pPr>
        <w:autoSpaceDE w:val="0"/>
        <w:autoSpaceDN w:val="0"/>
        <w:adjustRightInd w:val="0"/>
        <w:spacing w:line="360" w:lineRule="auto"/>
        <w:ind w:left="0"/>
        <w:rPr>
          <w:rFonts w:ascii="Tahoma" w:hAnsi="Tahoma" w:cs="Tahoma"/>
          <w:sz w:val="22"/>
          <w:szCs w:val="22"/>
        </w:rPr>
      </w:pPr>
      <w:r w:rsidRPr="00A100A6">
        <w:rPr>
          <w:rFonts w:ascii="Tahoma" w:hAnsi="Tahoma" w:cs="Tahoma"/>
          <w:sz w:val="22"/>
          <w:szCs w:val="22"/>
        </w:rPr>
        <w:t xml:space="preserve">All transactions involving the acquisition or disposal of financial assets are now treated as financial transactions, and net lending/borrowing is a balancing item defined as the net acquisition of all financial assets less the net incurrence of all liabilities from transactions. In the </w:t>
      </w:r>
      <w:r w:rsidRPr="00A100A6">
        <w:rPr>
          <w:rFonts w:ascii="Tahoma" w:hAnsi="Tahoma" w:cs="Tahoma"/>
          <w:i/>
          <w:iCs/>
          <w:sz w:val="22"/>
          <w:szCs w:val="22"/>
        </w:rPr>
        <w:t>1986 GFS Manual</w:t>
      </w:r>
      <w:r w:rsidRPr="00A100A6">
        <w:rPr>
          <w:rFonts w:ascii="Tahoma" w:hAnsi="Tahoma" w:cs="Tahoma"/>
          <w:sz w:val="22"/>
          <w:szCs w:val="22"/>
        </w:rPr>
        <w:t xml:space="preserve">, the net acquisition of financial assets for policy purposes was designated as lending minus repayments and treated like expenditure in deriving the overall deficit/surplus. </w:t>
      </w:r>
    </w:p>
    <w:p w14:paraId="7C3D9A9D" w14:textId="77777777" w:rsidR="005C761B" w:rsidRPr="00A100A6" w:rsidRDefault="005C761B" w:rsidP="001416A7">
      <w:pPr>
        <w:autoSpaceDE w:val="0"/>
        <w:autoSpaceDN w:val="0"/>
        <w:adjustRightInd w:val="0"/>
        <w:spacing w:line="360" w:lineRule="auto"/>
        <w:ind w:left="0"/>
        <w:rPr>
          <w:rFonts w:ascii="Tahoma" w:hAnsi="Tahoma" w:cs="Tahoma"/>
          <w:sz w:val="22"/>
          <w:szCs w:val="22"/>
        </w:rPr>
      </w:pPr>
    </w:p>
    <w:p w14:paraId="33CD7C12" w14:textId="77777777" w:rsidR="00D81CA1" w:rsidRDefault="00D81CA1" w:rsidP="001416A7">
      <w:pPr>
        <w:autoSpaceDE w:val="0"/>
        <w:autoSpaceDN w:val="0"/>
        <w:adjustRightInd w:val="0"/>
        <w:spacing w:line="360" w:lineRule="auto"/>
        <w:ind w:left="0"/>
        <w:rPr>
          <w:rFonts w:ascii="Tahoma" w:hAnsi="Tahoma" w:cs="Tahoma"/>
          <w:sz w:val="22"/>
          <w:szCs w:val="22"/>
        </w:rPr>
      </w:pPr>
    </w:p>
    <w:p w14:paraId="6D1D8D36" w14:textId="0413A846" w:rsidR="000C076B" w:rsidRPr="00FA5713" w:rsidRDefault="00D04713" w:rsidP="00F37E5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rPr>
          <w:rFonts w:ascii="Tahoma" w:hAnsi="Tahoma" w:cs="Tahoma"/>
          <w:b/>
          <w:i/>
          <w:sz w:val="22"/>
          <w:szCs w:val="22"/>
        </w:rPr>
      </w:pPr>
      <w:proofErr w:type="gramStart"/>
      <w:r w:rsidRPr="00FA5713">
        <w:rPr>
          <w:rFonts w:ascii="Tahoma" w:hAnsi="Tahoma" w:cs="Tahoma"/>
          <w:b/>
          <w:i/>
          <w:sz w:val="22"/>
          <w:szCs w:val="22"/>
        </w:rPr>
        <w:lastRenderedPageBreak/>
        <w:t xml:space="preserve">Revenue </w:t>
      </w:r>
      <w:r>
        <w:rPr>
          <w:rFonts w:ascii="Tahoma" w:hAnsi="Tahoma" w:cs="Tahoma"/>
          <w:b/>
          <w:i/>
          <w:sz w:val="22"/>
          <w:szCs w:val="22"/>
        </w:rPr>
        <w:t xml:space="preserve"> –</w:t>
      </w:r>
      <w:proofErr w:type="gramEnd"/>
      <w:r w:rsidRPr="00FA5713">
        <w:rPr>
          <w:rFonts w:ascii="Tahoma" w:hAnsi="Tahoma" w:cs="Tahoma"/>
          <w:b/>
          <w:i/>
          <w:sz w:val="22"/>
          <w:szCs w:val="22"/>
        </w:rPr>
        <w:t xml:space="preserve"> </w:t>
      </w:r>
      <w:r>
        <w:rPr>
          <w:rFonts w:ascii="Tahoma" w:hAnsi="Tahoma" w:cs="Tahoma"/>
          <w:b/>
          <w:i/>
          <w:sz w:val="22"/>
          <w:szCs w:val="22"/>
        </w:rPr>
        <w:t xml:space="preserve"> Expense</w:t>
      </w:r>
      <w:r w:rsidRPr="00FA5713">
        <w:rPr>
          <w:rFonts w:ascii="Tahoma" w:hAnsi="Tahoma" w:cs="Tahoma"/>
          <w:b/>
          <w:i/>
          <w:sz w:val="22"/>
          <w:szCs w:val="22"/>
        </w:rPr>
        <w:t xml:space="preserve"> </w:t>
      </w:r>
      <w:r>
        <w:rPr>
          <w:rFonts w:ascii="Tahoma" w:hAnsi="Tahoma" w:cs="Tahoma"/>
          <w:b/>
          <w:i/>
          <w:sz w:val="22"/>
          <w:szCs w:val="22"/>
        </w:rPr>
        <w:t xml:space="preserve"> </w:t>
      </w:r>
      <w:r w:rsidRPr="00FA5713">
        <w:rPr>
          <w:rFonts w:ascii="Tahoma" w:hAnsi="Tahoma" w:cs="Tahoma"/>
          <w:b/>
          <w:i/>
          <w:sz w:val="22"/>
          <w:szCs w:val="22"/>
        </w:rPr>
        <w:t>=</w:t>
      </w:r>
      <w:r>
        <w:rPr>
          <w:rFonts w:ascii="Tahoma" w:hAnsi="Tahoma" w:cs="Tahoma"/>
          <w:b/>
          <w:i/>
          <w:sz w:val="22"/>
          <w:szCs w:val="22"/>
        </w:rPr>
        <w:t xml:space="preserve"> </w:t>
      </w:r>
      <w:r w:rsidR="00D81CA1" w:rsidRPr="00FA5713">
        <w:rPr>
          <w:rFonts w:ascii="Tahoma" w:hAnsi="Tahoma" w:cs="Tahoma"/>
          <w:b/>
          <w:i/>
          <w:sz w:val="22"/>
          <w:szCs w:val="22"/>
        </w:rPr>
        <w:t xml:space="preserve"> </w:t>
      </w:r>
      <w:r w:rsidR="000C076B" w:rsidRPr="00FA5713">
        <w:rPr>
          <w:rFonts w:ascii="Tahoma" w:hAnsi="Tahoma" w:cs="Tahoma"/>
          <w:b/>
          <w:bCs/>
          <w:i/>
          <w:iCs/>
          <w:sz w:val="22"/>
          <w:szCs w:val="22"/>
        </w:rPr>
        <w:t>Net operating balance</w:t>
      </w:r>
    </w:p>
    <w:p w14:paraId="74DA4C7A" w14:textId="77777777" w:rsidR="00F37E5D" w:rsidRDefault="00F37E5D" w:rsidP="00F37E5D">
      <w:pPr>
        <w:autoSpaceDE w:val="0"/>
        <w:autoSpaceDN w:val="0"/>
        <w:adjustRightInd w:val="0"/>
        <w:spacing w:line="360" w:lineRule="auto"/>
        <w:ind w:left="0"/>
        <w:rPr>
          <w:rFonts w:ascii="Tahoma" w:hAnsi="Tahoma" w:cs="Tahoma"/>
          <w:b/>
          <w:i/>
          <w:sz w:val="22"/>
          <w:szCs w:val="22"/>
        </w:rPr>
      </w:pPr>
    </w:p>
    <w:p w14:paraId="41F42C66" w14:textId="0D724C00" w:rsidR="00633020" w:rsidRPr="00796254" w:rsidRDefault="00D81CA1" w:rsidP="00F37E5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rPr>
          <w:rFonts w:ascii="Tahoma" w:hAnsi="Tahoma" w:cs="Tahoma"/>
          <w:sz w:val="22"/>
          <w:szCs w:val="22"/>
        </w:rPr>
      </w:pPr>
      <w:r w:rsidRPr="00FA5713">
        <w:rPr>
          <w:rFonts w:ascii="Tahoma" w:hAnsi="Tahoma" w:cs="Tahoma"/>
          <w:b/>
          <w:i/>
          <w:sz w:val="22"/>
          <w:szCs w:val="22"/>
        </w:rPr>
        <w:t xml:space="preserve">Net operating </w:t>
      </w:r>
      <w:proofErr w:type="gramStart"/>
      <w:r w:rsidR="00D04713" w:rsidRPr="00FA5713">
        <w:rPr>
          <w:rFonts w:ascii="Tahoma" w:hAnsi="Tahoma" w:cs="Tahoma"/>
          <w:b/>
          <w:i/>
          <w:sz w:val="22"/>
          <w:szCs w:val="22"/>
        </w:rPr>
        <w:t xml:space="preserve">balance </w:t>
      </w:r>
      <w:r w:rsidR="00D04713">
        <w:rPr>
          <w:rFonts w:ascii="Tahoma" w:hAnsi="Tahoma" w:cs="Tahoma"/>
          <w:b/>
          <w:i/>
          <w:sz w:val="22"/>
          <w:szCs w:val="22"/>
        </w:rPr>
        <w:t xml:space="preserve"> –</w:t>
      </w:r>
      <w:proofErr w:type="gramEnd"/>
      <w:r w:rsidR="00D04713" w:rsidRPr="00FA5713">
        <w:rPr>
          <w:rFonts w:ascii="Tahoma" w:hAnsi="Tahoma" w:cs="Tahoma"/>
          <w:b/>
          <w:i/>
          <w:sz w:val="22"/>
          <w:szCs w:val="22"/>
        </w:rPr>
        <w:t xml:space="preserve"> </w:t>
      </w:r>
      <w:r w:rsidR="00D04713">
        <w:rPr>
          <w:rFonts w:ascii="Tahoma" w:hAnsi="Tahoma" w:cs="Tahoma"/>
          <w:b/>
          <w:i/>
          <w:sz w:val="22"/>
          <w:szCs w:val="22"/>
        </w:rPr>
        <w:t xml:space="preserve"> </w:t>
      </w:r>
      <w:r w:rsidR="00D04713" w:rsidRPr="00FA5713">
        <w:rPr>
          <w:rFonts w:ascii="Tahoma" w:hAnsi="Tahoma" w:cs="Tahoma"/>
          <w:b/>
          <w:i/>
          <w:sz w:val="22"/>
          <w:szCs w:val="22"/>
        </w:rPr>
        <w:t>Transactions</w:t>
      </w:r>
      <w:r w:rsidR="000C076B" w:rsidRPr="00FA5713">
        <w:rPr>
          <w:rFonts w:ascii="Tahoma" w:hAnsi="Tahoma" w:cs="Tahoma"/>
          <w:b/>
          <w:i/>
          <w:sz w:val="22"/>
          <w:szCs w:val="22"/>
        </w:rPr>
        <w:t xml:space="preserve"> in nonfinancial </w:t>
      </w:r>
      <w:r w:rsidR="00D04713" w:rsidRPr="00FA5713">
        <w:rPr>
          <w:rFonts w:ascii="Tahoma" w:hAnsi="Tahoma" w:cs="Tahoma"/>
          <w:b/>
          <w:i/>
          <w:sz w:val="22"/>
          <w:szCs w:val="22"/>
        </w:rPr>
        <w:t>assets</w:t>
      </w:r>
      <w:r w:rsidR="00D04713">
        <w:rPr>
          <w:rFonts w:ascii="Tahoma" w:hAnsi="Tahoma" w:cs="Tahoma"/>
          <w:sz w:val="22"/>
          <w:szCs w:val="22"/>
        </w:rPr>
        <w:t xml:space="preserve">  </w:t>
      </w:r>
      <w:r w:rsidR="00D04713" w:rsidRPr="00D04713">
        <w:rPr>
          <w:rFonts w:ascii="Tahoma" w:hAnsi="Tahoma" w:cs="Tahoma"/>
          <w:b/>
          <w:bCs/>
          <w:i/>
          <w:iCs/>
          <w:sz w:val="22"/>
          <w:szCs w:val="22"/>
        </w:rPr>
        <w:t>=</w:t>
      </w:r>
      <w:r w:rsidR="00D04713">
        <w:rPr>
          <w:rFonts w:ascii="Tahoma" w:hAnsi="Tahoma" w:cs="Tahoma"/>
          <w:sz w:val="22"/>
          <w:szCs w:val="22"/>
        </w:rPr>
        <w:t xml:space="preserve"> </w:t>
      </w:r>
      <w:r w:rsidR="00D04713">
        <w:rPr>
          <w:rFonts w:ascii="Tahoma" w:hAnsi="Tahoma" w:cs="Tahoma"/>
          <w:b/>
          <w:i/>
          <w:sz w:val="22"/>
          <w:szCs w:val="22"/>
        </w:rPr>
        <w:t xml:space="preserve"> </w:t>
      </w:r>
      <w:r w:rsidR="00D04713" w:rsidRPr="00D04713">
        <w:rPr>
          <w:rFonts w:ascii="Tahoma" w:hAnsi="Tahoma" w:cs="Tahoma"/>
          <w:b/>
          <w:bCs/>
          <w:i/>
          <w:iCs/>
          <w:sz w:val="22"/>
          <w:szCs w:val="22"/>
        </w:rPr>
        <w:t>Net</w:t>
      </w:r>
      <w:r w:rsidR="000C076B" w:rsidRPr="00D04713">
        <w:rPr>
          <w:rFonts w:ascii="Tahoma" w:hAnsi="Tahoma" w:cs="Tahoma"/>
          <w:b/>
          <w:bCs/>
          <w:i/>
          <w:iCs/>
          <w:sz w:val="22"/>
          <w:szCs w:val="22"/>
        </w:rPr>
        <w:t xml:space="preserve"> lending</w:t>
      </w:r>
      <w:r w:rsidR="000C076B" w:rsidRPr="00A100A6">
        <w:rPr>
          <w:rFonts w:ascii="Tahoma" w:hAnsi="Tahoma" w:cs="Tahoma"/>
          <w:b/>
          <w:bCs/>
          <w:i/>
          <w:iCs/>
          <w:sz w:val="22"/>
          <w:szCs w:val="22"/>
        </w:rPr>
        <w:t>/borrowing</w:t>
      </w:r>
      <w:r w:rsidR="000C076B" w:rsidRPr="00A100A6">
        <w:rPr>
          <w:rFonts w:ascii="Tahoma" w:hAnsi="Tahoma" w:cs="Tahoma"/>
          <w:b/>
          <w:bCs/>
          <w:sz w:val="22"/>
          <w:szCs w:val="22"/>
        </w:rPr>
        <w:t xml:space="preserve"> </w:t>
      </w:r>
    </w:p>
    <w:p w14:paraId="4F582F27" w14:textId="77777777" w:rsidR="000C076B" w:rsidRPr="00A100A6" w:rsidRDefault="000C076B" w:rsidP="001416A7">
      <w:pPr>
        <w:autoSpaceDE w:val="0"/>
        <w:autoSpaceDN w:val="0"/>
        <w:adjustRightInd w:val="0"/>
        <w:spacing w:line="360" w:lineRule="auto"/>
        <w:ind w:left="0"/>
        <w:rPr>
          <w:rFonts w:ascii="Tahoma" w:hAnsi="Tahoma" w:cs="Tahoma"/>
          <w:b/>
          <w:bCs/>
          <w:sz w:val="22"/>
          <w:szCs w:val="22"/>
        </w:rPr>
      </w:pPr>
    </w:p>
    <w:p w14:paraId="0515CCCE" w14:textId="77777777" w:rsidR="000C076B" w:rsidRPr="00A100A6" w:rsidRDefault="000C076B" w:rsidP="001416A7">
      <w:pPr>
        <w:autoSpaceDE w:val="0"/>
        <w:autoSpaceDN w:val="0"/>
        <w:adjustRightInd w:val="0"/>
        <w:spacing w:line="360" w:lineRule="auto"/>
        <w:ind w:left="0"/>
        <w:rPr>
          <w:rFonts w:ascii="Tahoma" w:hAnsi="Tahoma" w:cs="Tahoma"/>
          <w:bCs/>
          <w:sz w:val="22"/>
          <w:szCs w:val="22"/>
        </w:rPr>
      </w:pPr>
      <w:r w:rsidRPr="00A100A6">
        <w:rPr>
          <w:rFonts w:ascii="Tahoma" w:hAnsi="Tahoma" w:cs="Tahoma"/>
          <w:bCs/>
          <w:sz w:val="22"/>
          <w:szCs w:val="22"/>
        </w:rPr>
        <w:t>Net lending/borrowing can also be obtained as the difference between the transactions in financial assets and the net incurrence in liabilities as follows:</w:t>
      </w:r>
    </w:p>
    <w:p w14:paraId="305EA1F3" w14:textId="77777777" w:rsidR="008C1280" w:rsidRPr="00A100A6" w:rsidRDefault="008C1280" w:rsidP="001416A7">
      <w:pPr>
        <w:autoSpaceDE w:val="0"/>
        <w:autoSpaceDN w:val="0"/>
        <w:adjustRightInd w:val="0"/>
        <w:spacing w:line="360" w:lineRule="auto"/>
        <w:ind w:left="0"/>
        <w:rPr>
          <w:rFonts w:ascii="Tahoma" w:hAnsi="Tahoma" w:cs="Tahoma"/>
          <w:sz w:val="22"/>
          <w:szCs w:val="22"/>
        </w:rPr>
      </w:pPr>
    </w:p>
    <w:p w14:paraId="3977BA13" w14:textId="77777777" w:rsidR="000C076B" w:rsidRPr="005F0796" w:rsidRDefault="000C076B" w:rsidP="00D04713">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0"/>
        <w:rPr>
          <w:rFonts w:ascii="Tahoma" w:hAnsi="Tahoma" w:cs="Tahoma"/>
          <w:b/>
          <w:i/>
          <w:sz w:val="22"/>
          <w:szCs w:val="22"/>
        </w:rPr>
      </w:pPr>
      <w:r w:rsidRPr="005F0796">
        <w:rPr>
          <w:rFonts w:ascii="Tahoma" w:hAnsi="Tahoma" w:cs="Tahoma"/>
          <w:b/>
          <w:i/>
          <w:sz w:val="22"/>
          <w:szCs w:val="22"/>
        </w:rPr>
        <w:t xml:space="preserve">Transactions in financial </w:t>
      </w:r>
      <w:proofErr w:type="gramStart"/>
      <w:r w:rsidRPr="005F0796">
        <w:rPr>
          <w:rFonts w:ascii="Tahoma" w:hAnsi="Tahoma" w:cs="Tahoma"/>
          <w:b/>
          <w:i/>
          <w:sz w:val="22"/>
          <w:szCs w:val="22"/>
        </w:rPr>
        <w:t>assets</w:t>
      </w:r>
      <w:r w:rsidR="005F0796">
        <w:rPr>
          <w:rFonts w:ascii="Tahoma" w:hAnsi="Tahoma" w:cs="Tahoma"/>
          <w:b/>
          <w:i/>
          <w:sz w:val="22"/>
          <w:szCs w:val="22"/>
        </w:rPr>
        <w:t xml:space="preserve">  </w:t>
      </w:r>
      <w:r w:rsidR="00FA5713" w:rsidRPr="005F0796">
        <w:rPr>
          <w:rFonts w:ascii="Tahoma" w:hAnsi="Tahoma" w:cs="Tahoma"/>
          <w:b/>
          <w:i/>
          <w:sz w:val="22"/>
          <w:szCs w:val="22"/>
        </w:rPr>
        <w:t>–</w:t>
      </w:r>
      <w:proofErr w:type="gramEnd"/>
      <w:r w:rsidR="00FA5713" w:rsidRPr="005F0796">
        <w:rPr>
          <w:rFonts w:ascii="Tahoma" w:hAnsi="Tahoma" w:cs="Tahoma"/>
          <w:b/>
          <w:i/>
          <w:sz w:val="22"/>
          <w:szCs w:val="22"/>
        </w:rPr>
        <w:t xml:space="preserve"> </w:t>
      </w:r>
      <w:r w:rsidR="00796254" w:rsidRPr="005F0796">
        <w:rPr>
          <w:rFonts w:ascii="Tahoma" w:hAnsi="Tahoma" w:cs="Tahoma"/>
          <w:b/>
          <w:i/>
          <w:sz w:val="22"/>
          <w:szCs w:val="22"/>
        </w:rPr>
        <w:t xml:space="preserve"> T</w:t>
      </w:r>
      <w:r w:rsidRPr="005F0796">
        <w:rPr>
          <w:rFonts w:ascii="Tahoma" w:hAnsi="Tahoma" w:cs="Tahoma"/>
          <w:b/>
          <w:i/>
          <w:sz w:val="22"/>
          <w:szCs w:val="22"/>
        </w:rPr>
        <w:t>ransactions in liabilities</w:t>
      </w:r>
      <w:r w:rsidR="00796254" w:rsidRPr="005F0796">
        <w:rPr>
          <w:rFonts w:ascii="Tahoma" w:hAnsi="Tahoma" w:cs="Tahoma"/>
          <w:b/>
          <w:i/>
          <w:sz w:val="22"/>
          <w:szCs w:val="22"/>
        </w:rPr>
        <w:t xml:space="preserve"> = </w:t>
      </w:r>
      <w:r w:rsidRPr="005F0796">
        <w:rPr>
          <w:rFonts w:ascii="Tahoma" w:hAnsi="Tahoma" w:cs="Tahoma"/>
          <w:b/>
          <w:bCs/>
          <w:i/>
          <w:iCs/>
          <w:sz w:val="22"/>
          <w:szCs w:val="22"/>
        </w:rPr>
        <w:t>Net lending/borrowing</w:t>
      </w:r>
      <w:r w:rsidRPr="005F0796">
        <w:rPr>
          <w:rFonts w:ascii="Tahoma" w:hAnsi="Tahoma" w:cs="Tahoma"/>
          <w:b/>
          <w:bCs/>
          <w:i/>
          <w:sz w:val="22"/>
          <w:szCs w:val="22"/>
        </w:rPr>
        <w:t xml:space="preserve"> </w:t>
      </w:r>
    </w:p>
    <w:p w14:paraId="412A39BA" w14:textId="77777777" w:rsidR="00033E67" w:rsidRPr="00A100A6" w:rsidRDefault="00033E67" w:rsidP="001416A7">
      <w:pPr>
        <w:autoSpaceDE w:val="0"/>
        <w:autoSpaceDN w:val="0"/>
        <w:adjustRightInd w:val="0"/>
        <w:spacing w:line="360" w:lineRule="auto"/>
        <w:ind w:left="0"/>
        <w:rPr>
          <w:rFonts w:ascii="Tahoma" w:hAnsi="Tahoma" w:cs="Tahoma"/>
          <w:sz w:val="22"/>
          <w:szCs w:val="22"/>
        </w:rPr>
      </w:pPr>
    </w:p>
    <w:p w14:paraId="0BF571B6" w14:textId="4157121B" w:rsidR="002F6B6A" w:rsidRPr="00A100A6" w:rsidRDefault="000C076B" w:rsidP="001416A7">
      <w:pPr>
        <w:autoSpaceDE w:val="0"/>
        <w:autoSpaceDN w:val="0"/>
        <w:adjustRightInd w:val="0"/>
        <w:spacing w:line="360" w:lineRule="auto"/>
        <w:ind w:left="0"/>
        <w:rPr>
          <w:rFonts w:ascii="Tahoma" w:hAnsi="Tahoma" w:cs="Tahoma"/>
          <w:sz w:val="22"/>
          <w:szCs w:val="22"/>
        </w:rPr>
      </w:pPr>
      <w:r w:rsidRPr="00A100A6">
        <w:rPr>
          <w:rFonts w:ascii="Tahoma" w:hAnsi="Tahoma" w:cs="Tahoma"/>
          <w:sz w:val="22"/>
          <w:szCs w:val="22"/>
        </w:rPr>
        <w:t>The new classification structure of the GFSM 2001 has been used in the compilation of tables as from 2008-09. GFSM 2001 prescribes that all transactions should be on an accrual basis. However, it is recognized that full implementation of the new GFS system is a long-term process including moving to a full accrual basis. As a first step, interest on debt</w:t>
      </w:r>
      <w:r w:rsidR="005C761B">
        <w:rPr>
          <w:rFonts w:ascii="Tahoma" w:hAnsi="Tahoma" w:cs="Tahoma"/>
          <w:sz w:val="22"/>
          <w:szCs w:val="22"/>
        </w:rPr>
        <w:t xml:space="preserve"> and transactions in relation with employment related pensions</w:t>
      </w:r>
      <w:r w:rsidRPr="00A100A6">
        <w:rPr>
          <w:rFonts w:ascii="Tahoma" w:hAnsi="Tahoma" w:cs="Tahoma"/>
          <w:sz w:val="22"/>
          <w:szCs w:val="22"/>
        </w:rPr>
        <w:t xml:space="preserve"> has been computed on an accrual basis instead of cash basis.</w:t>
      </w:r>
    </w:p>
    <w:p w14:paraId="6217FE20" w14:textId="77777777" w:rsidR="005969DD" w:rsidRPr="00A100A6" w:rsidRDefault="005969DD" w:rsidP="001416A7">
      <w:pPr>
        <w:autoSpaceDE w:val="0"/>
        <w:autoSpaceDN w:val="0"/>
        <w:adjustRightInd w:val="0"/>
        <w:spacing w:line="360" w:lineRule="auto"/>
        <w:ind w:left="0"/>
        <w:rPr>
          <w:rFonts w:ascii="Tahoma" w:hAnsi="Tahoma" w:cs="Tahoma"/>
          <w:sz w:val="22"/>
          <w:szCs w:val="22"/>
        </w:rPr>
      </w:pPr>
    </w:p>
    <w:p w14:paraId="4D7CF581" w14:textId="77777777" w:rsidR="000C076B" w:rsidRPr="003C707A" w:rsidRDefault="000C076B" w:rsidP="001416A7">
      <w:pPr>
        <w:numPr>
          <w:ilvl w:val="0"/>
          <w:numId w:val="1"/>
        </w:numPr>
        <w:autoSpaceDE w:val="0"/>
        <w:autoSpaceDN w:val="0"/>
        <w:adjustRightInd w:val="0"/>
        <w:spacing w:line="360" w:lineRule="auto"/>
        <w:ind w:left="0" w:firstLine="0"/>
        <w:rPr>
          <w:rFonts w:ascii="Tahoma" w:hAnsi="Tahoma" w:cs="Tahoma"/>
          <w:b/>
          <w:sz w:val="22"/>
          <w:szCs w:val="22"/>
        </w:rPr>
      </w:pPr>
      <w:r w:rsidRPr="003C707A">
        <w:rPr>
          <w:rFonts w:ascii="Tahoma" w:hAnsi="Tahoma" w:cs="Tahoma"/>
          <w:b/>
          <w:sz w:val="22"/>
          <w:szCs w:val="22"/>
        </w:rPr>
        <w:t xml:space="preserve">Change </w:t>
      </w:r>
      <w:r w:rsidR="005A6AA6" w:rsidRPr="003C707A">
        <w:rPr>
          <w:rFonts w:ascii="Tahoma" w:hAnsi="Tahoma" w:cs="Tahoma"/>
          <w:b/>
          <w:sz w:val="22"/>
          <w:szCs w:val="22"/>
        </w:rPr>
        <w:t>in</w:t>
      </w:r>
      <w:r w:rsidRPr="003C707A">
        <w:rPr>
          <w:rFonts w:ascii="Tahoma" w:hAnsi="Tahoma" w:cs="Tahoma"/>
          <w:b/>
          <w:sz w:val="22"/>
          <w:szCs w:val="22"/>
        </w:rPr>
        <w:t xml:space="preserve"> </w:t>
      </w:r>
      <w:r w:rsidR="00802945" w:rsidRPr="003C707A">
        <w:rPr>
          <w:rFonts w:ascii="Tahoma" w:hAnsi="Tahoma" w:cs="Tahoma"/>
          <w:b/>
          <w:sz w:val="22"/>
          <w:szCs w:val="22"/>
        </w:rPr>
        <w:t>accounting period of the Government</w:t>
      </w:r>
    </w:p>
    <w:p w14:paraId="4DE33492" w14:textId="227F24DD" w:rsidR="00AD6AAA" w:rsidRDefault="00EA19B5" w:rsidP="001416A7">
      <w:pPr>
        <w:autoSpaceDE w:val="0"/>
        <w:autoSpaceDN w:val="0"/>
        <w:adjustRightInd w:val="0"/>
        <w:spacing w:line="360" w:lineRule="auto"/>
        <w:ind w:left="0"/>
        <w:rPr>
          <w:rFonts w:ascii="Tahoma" w:hAnsi="Tahoma" w:cs="Tahoma"/>
          <w:sz w:val="22"/>
          <w:szCs w:val="22"/>
        </w:rPr>
      </w:pPr>
      <w:r w:rsidRPr="003C707A">
        <w:rPr>
          <w:rFonts w:ascii="Tahoma" w:hAnsi="Tahoma" w:cs="Tahoma"/>
          <w:sz w:val="22"/>
          <w:szCs w:val="22"/>
        </w:rPr>
        <w:t>Prior to 2010, accounts of the Government were on a financial year basis (July to June). Government accounts moved to a</w:t>
      </w:r>
      <w:r w:rsidR="00802945" w:rsidRPr="003C707A">
        <w:rPr>
          <w:rFonts w:ascii="Tahoma" w:hAnsi="Tahoma" w:cs="Tahoma"/>
          <w:sz w:val="22"/>
          <w:szCs w:val="22"/>
        </w:rPr>
        <w:t xml:space="preserve"> ca</w:t>
      </w:r>
      <w:r w:rsidRPr="003C707A">
        <w:rPr>
          <w:rFonts w:ascii="Tahoma" w:hAnsi="Tahoma" w:cs="Tahoma"/>
          <w:sz w:val="22"/>
          <w:szCs w:val="22"/>
        </w:rPr>
        <w:t>lendar</w:t>
      </w:r>
      <w:r w:rsidR="00AD6AAA" w:rsidRPr="003C707A">
        <w:rPr>
          <w:rFonts w:ascii="Tahoma" w:hAnsi="Tahoma" w:cs="Tahoma"/>
          <w:sz w:val="22"/>
          <w:szCs w:val="22"/>
        </w:rPr>
        <w:t xml:space="preserve"> year</w:t>
      </w:r>
      <w:r w:rsidRPr="003C707A">
        <w:rPr>
          <w:rFonts w:ascii="Tahoma" w:hAnsi="Tahoma" w:cs="Tahoma"/>
          <w:sz w:val="22"/>
          <w:szCs w:val="22"/>
        </w:rPr>
        <w:t xml:space="preserve"> basis (January to December) as from 2010.  </w:t>
      </w:r>
      <w:r w:rsidR="00802945" w:rsidRPr="003C707A">
        <w:rPr>
          <w:rFonts w:ascii="Tahoma" w:hAnsi="Tahoma" w:cs="Tahoma"/>
          <w:sz w:val="22"/>
          <w:szCs w:val="22"/>
        </w:rPr>
        <w:t xml:space="preserve">In 2015, </w:t>
      </w:r>
      <w:r w:rsidR="00EB035C" w:rsidRPr="003C707A">
        <w:rPr>
          <w:rFonts w:ascii="Tahoma" w:hAnsi="Tahoma" w:cs="Tahoma"/>
          <w:sz w:val="22"/>
          <w:szCs w:val="22"/>
        </w:rPr>
        <w:t>the accounting period was</w:t>
      </w:r>
      <w:r w:rsidR="00802945" w:rsidRPr="003C707A">
        <w:rPr>
          <w:rFonts w:ascii="Tahoma" w:hAnsi="Tahoma" w:cs="Tahoma"/>
          <w:sz w:val="22"/>
          <w:szCs w:val="22"/>
        </w:rPr>
        <w:t xml:space="preserve"> </w:t>
      </w:r>
      <w:r w:rsidR="00161E26" w:rsidRPr="003C707A">
        <w:rPr>
          <w:rFonts w:ascii="Tahoma" w:hAnsi="Tahoma" w:cs="Tahoma"/>
          <w:sz w:val="22"/>
          <w:szCs w:val="22"/>
        </w:rPr>
        <w:t>reverted</w:t>
      </w:r>
      <w:r w:rsidR="00802945" w:rsidRPr="003C707A">
        <w:rPr>
          <w:rFonts w:ascii="Tahoma" w:hAnsi="Tahoma" w:cs="Tahoma"/>
          <w:sz w:val="22"/>
          <w:szCs w:val="22"/>
        </w:rPr>
        <w:t xml:space="preserve"> to the financial year basis ending June.  </w:t>
      </w:r>
      <w:r w:rsidR="000C076B" w:rsidRPr="003C707A">
        <w:rPr>
          <w:rFonts w:ascii="Tahoma" w:hAnsi="Tahoma" w:cs="Tahoma"/>
          <w:sz w:val="22"/>
          <w:szCs w:val="22"/>
        </w:rPr>
        <w:t xml:space="preserve">This current issue of Digest of Public Finance </w:t>
      </w:r>
      <w:r w:rsidR="00802945" w:rsidRPr="003C707A">
        <w:rPr>
          <w:rFonts w:ascii="Tahoma" w:hAnsi="Tahoma" w:cs="Tahoma"/>
          <w:sz w:val="22"/>
          <w:szCs w:val="22"/>
        </w:rPr>
        <w:t>covers</w:t>
      </w:r>
      <w:r w:rsidR="00213BB7" w:rsidRPr="003C707A">
        <w:rPr>
          <w:rFonts w:ascii="Tahoma" w:hAnsi="Tahoma" w:cs="Tahoma"/>
          <w:sz w:val="22"/>
          <w:szCs w:val="22"/>
        </w:rPr>
        <w:t xml:space="preserve"> data </w:t>
      </w:r>
      <w:r w:rsidR="003C707A" w:rsidRPr="003C707A">
        <w:rPr>
          <w:rFonts w:ascii="Tahoma" w:hAnsi="Tahoma" w:cs="Tahoma"/>
          <w:sz w:val="22"/>
          <w:szCs w:val="22"/>
        </w:rPr>
        <w:t>for</w:t>
      </w:r>
      <w:r w:rsidR="00200DEB" w:rsidRPr="003C707A">
        <w:rPr>
          <w:rFonts w:ascii="Tahoma" w:hAnsi="Tahoma" w:cs="Tahoma"/>
          <w:sz w:val="22"/>
          <w:szCs w:val="22"/>
        </w:rPr>
        <w:t xml:space="preserve"> </w:t>
      </w:r>
      <w:r w:rsidR="00802945" w:rsidRPr="003C707A">
        <w:rPr>
          <w:rFonts w:ascii="Tahoma" w:hAnsi="Tahoma" w:cs="Tahoma"/>
          <w:sz w:val="22"/>
          <w:szCs w:val="22"/>
        </w:rPr>
        <w:t>financial year</w:t>
      </w:r>
      <w:r w:rsidR="00200DEB" w:rsidRPr="003C707A">
        <w:rPr>
          <w:rFonts w:ascii="Tahoma" w:hAnsi="Tahoma" w:cs="Tahoma"/>
          <w:sz w:val="22"/>
          <w:szCs w:val="22"/>
        </w:rPr>
        <w:t xml:space="preserve"> </w:t>
      </w:r>
      <w:r w:rsidR="003C707A" w:rsidRPr="003C707A">
        <w:rPr>
          <w:rFonts w:ascii="Tahoma" w:hAnsi="Tahoma" w:cs="Tahoma"/>
          <w:sz w:val="22"/>
          <w:szCs w:val="22"/>
        </w:rPr>
        <w:t>2018/19</w:t>
      </w:r>
      <w:r w:rsidR="00BD565D" w:rsidRPr="003C707A">
        <w:rPr>
          <w:rFonts w:ascii="Tahoma" w:hAnsi="Tahoma" w:cs="Tahoma"/>
          <w:sz w:val="22"/>
          <w:szCs w:val="22"/>
        </w:rPr>
        <w:t>.</w:t>
      </w:r>
    </w:p>
    <w:p w14:paraId="5299C818" w14:textId="77777777" w:rsidR="000C076B" w:rsidRPr="00A100A6" w:rsidRDefault="000C076B" w:rsidP="001416A7">
      <w:pPr>
        <w:autoSpaceDE w:val="0"/>
        <w:autoSpaceDN w:val="0"/>
        <w:adjustRightInd w:val="0"/>
        <w:spacing w:line="360" w:lineRule="auto"/>
        <w:ind w:left="0"/>
        <w:rPr>
          <w:rFonts w:ascii="Tahoma" w:hAnsi="Tahoma" w:cs="Tahoma"/>
          <w:sz w:val="22"/>
          <w:szCs w:val="22"/>
        </w:rPr>
      </w:pPr>
      <w:r w:rsidRPr="00A100A6">
        <w:rPr>
          <w:rFonts w:ascii="Tahoma" w:hAnsi="Tahoma" w:cs="Tahoma"/>
          <w:sz w:val="22"/>
          <w:szCs w:val="22"/>
        </w:rPr>
        <w:t xml:space="preserve"> </w:t>
      </w:r>
    </w:p>
    <w:p w14:paraId="709E274B" w14:textId="77777777" w:rsidR="00B6277B" w:rsidRPr="00A100A6" w:rsidRDefault="000C076B" w:rsidP="001416A7">
      <w:pPr>
        <w:numPr>
          <w:ilvl w:val="0"/>
          <w:numId w:val="1"/>
        </w:numPr>
        <w:autoSpaceDE w:val="0"/>
        <w:autoSpaceDN w:val="0"/>
        <w:adjustRightInd w:val="0"/>
        <w:spacing w:line="360" w:lineRule="auto"/>
        <w:ind w:left="0" w:firstLine="0"/>
        <w:rPr>
          <w:rFonts w:ascii="Tahoma" w:hAnsi="Tahoma" w:cs="Tahoma"/>
          <w:b/>
          <w:sz w:val="22"/>
          <w:szCs w:val="22"/>
        </w:rPr>
      </w:pPr>
      <w:r w:rsidRPr="00A100A6">
        <w:rPr>
          <w:rFonts w:ascii="Tahoma" w:hAnsi="Tahoma" w:cs="Tahoma"/>
          <w:b/>
          <w:sz w:val="22"/>
          <w:szCs w:val="22"/>
        </w:rPr>
        <w:t>Methodological changes</w:t>
      </w:r>
      <w:r w:rsidR="00AF2CE9" w:rsidRPr="00A100A6">
        <w:rPr>
          <w:rFonts w:ascii="Tahoma" w:hAnsi="Tahoma" w:cs="Tahoma"/>
          <w:b/>
          <w:sz w:val="22"/>
          <w:szCs w:val="22"/>
        </w:rPr>
        <w:t xml:space="preserve"> as from 2</w:t>
      </w:r>
      <w:r w:rsidR="00633020">
        <w:rPr>
          <w:rFonts w:ascii="Tahoma" w:hAnsi="Tahoma" w:cs="Tahoma"/>
          <w:b/>
          <w:sz w:val="22"/>
          <w:szCs w:val="22"/>
        </w:rPr>
        <w:t>016/</w:t>
      </w:r>
      <w:r w:rsidR="001F37C0" w:rsidRPr="00A100A6">
        <w:rPr>
          <w:rFonts w:ascii="Tahoma" w:hAnsi="Tahoma" w:cs="Tahoma"/>
          <w:b/>
          <w:sz w:val="22"/>
          <w:szCs w:val="22"/>
        </w:rPr>
        <w:t>17</w:t>
      </w:r>
      <w:r w:rsidR="00AF2CE9" w:rsidRPr="00A100A6">
        <w:rPr>
          <w:rFonts w:ascii="Tahoma" w:hAnsi="Tahoma" w:cs="Tahoma"/>
          <w:b/>
          <w:sz w:val="22"/>
          <w:szCs w:val="22"/>
        </w:rPr>
        <w:t xml:space="preserve"> issue of the Digest </w:t>
      </w:r>
    </w:p>
    <w:p w14:paraId="7E565BA2" w14:textId="77777777" w:rsidR="00B6277B" w:rsidRPr="00A100A6" w:rsidRDefault="00B6277B" w:rsidP="001416A7">
      <w:pPr>
        <w:pStyle w:val="ListParagraph"/>
        <w:tabs>
          <w:tab w:val="left" w:pos="8640"/>
        </w:tabs>
        <w:autoSpaceDE w:val="0"/>
        <w:autoSpaceDN w:val="0"/>
        <w:adjustRightInd w:val="0"/>
        <w:spacing w:line="360" w:lineRule="auto"/>
        <w:ind w:left="0"/>
        <w:rPr>
          <w:rFonts w:ascii="Tahoma" w:hAnsi="Tahoma" w:cs="Tahoma"/>
        </w:rPr>
      </w:pPr>
      <w:r w:rsidRPr="00A100A6">
        <w:rPr>
          <w:rFonts w:ascii="Tahoma" w:hAnsi="Tahoma" w:cs="Tahoma"/>
          <w:b/>
        </w:rPr>
        <w:t>6.1 Accrual treatment of Employment Related Pension Benefits</w:t>
      </w:r>
      <w:r w:rsidR="004B3C95" w:rsidRPr="00A100A6">
        <w:rPr>
          <w:rFonts w:ascii="Tahoma" w:hAnsi="Tahoma" w:cs="Tahoma"/>
          <w:b/>
        </w:rPr>
        <w:t xml:space="preserve"> – Budgetary Central Government (BCG)</w:t>
      </w:r>
    </w:p>
    <w:p w14:paraId="52064B90" w14:textId="1AEF9158" w:rsidR="00C01D6C" w:rsidRPr="005336B5" w:rsidRDefault="003443F2" w:rsidP="005336B5">
      <w:pPr>
        <w:pStyle w:val="ListParagraph"/>
        <w:tabs>
          <w:tab w:val="left" w:pos="8640"/>
        </w:tabs>
        <w:autoSpaceDE w:val="0"/>
        <w:autoSpaceDN w:val="0"/>
        <w:adjustRightInd w:val="0"/>
        <w:spacing w:line="360" w:lineRule="auto"/>
        <w:ind w:left="0"/>
        <w:jc w:val="both"/>
        <w:rPr>
          <w:rFonts w:ascii="Tahoma" w:hAnsi="Tahoma" w:cs="Tahoma"/>
        </w:rPr>
      </w:pPr>
      <w:r w:rsidRPr="00633020">
        <w:rPr>
          <w:rFonts w:ascii="Tahoma" w:eastAsia="Times New Roman" w:hAnsi="Tahoma" w:cs="Tahoma"/>
          <w:lang w:val="en-GB"/>
        </w:rPr>
        <w:t>In 2014, a</w:t>
      </w:r>
      <w:r w:rsidR="001F37C0" w:rsidRPr="00633020">
        <w:rPr>
          <w:rFonts w:ascii="Tahoma" w:eastAsia="Times New Roman" w:hAnsi="Tahoma" w:cs="Tahoma"/>
          <w:lang w:val="en-GB"/>
        </w:rPr>
        <w:t xml:space="preserve"> GFS mission recommended Statistics Mauritius to adopt accrual treatment for </w:t>
      </w:r>
      <w:r w:rsidRPr="00633020">
        <w:rPr>
          <w:rFonts w:ascii="Tahoma" w:eastAsia="Times New Roman" w:hAnsi="Tahoma" w:cs="Tahoma"/>
          <w:lang w:val="en-GB"/>
        </w:rPr>
        <w:t xml:space="preserve">the contributions and payments related to </w:t>
      </w:r>
      <w:r w:rsidR="001F37C0" w:rsidRPr="00633020">
        <w:rPr>
          <w:rFonts w:ascii="Tahoma" w:eastAsia="Times New Roman" w:hAnsi="Tahoma" w:cs="Tahoma"/>
          <w:u w:val="single"/>
          <w:lang w:val="en-GB"/>
        </w:rPr>
        <w:t>employment related pension</w:t>
      </w:r>
      <w:r w:rsidRPr="00633020">
        <w:rPr>
          <w:rFonts w:ascii="Tahoma" w:eastAsia="Times New Roman" w:hAnsi="Tahoma" w:cs="Tahoma"/>
          <w:lang w:val="en-GB"/>
        </w:rPr>
        <w:t xml:space="preserve"> schemes operated by </w:t>
      </w:r>
      <w:r w:rsidR="00634625" w:rsidRPr="00633020">
        <w:rPr>
          <w:rFonts w:ascii="Tahoma" w:eastAsia="Times New Roman" w:hAnsi="Tahoma" w:cs="Tahoma"/>
          <w:lang w:val="en-GB"/>
        </w:rPr>
        <w:t xml:space="preserve">the </w:t>
      </w:r>
      <w:r w:rsidR="001F37C0" w:rsidRPr="00633020">
        <w:rPr>
          <w:rFonts w:ascii="Tahoma" w:eastAsia="Times New Roman" w:hAnsi="Tahoma" w:cs="Tahoma"/>
          <w:lang w:val="en-GB"/>
        </w:rPr>
        <w:t xml:space="preserve">General Government.  Although the actual </w:t>
      </w:r>
      <w:r w:rsidR="008E34E8" w:rsidRPr="00633020">
        <w:rPr>
          <w:rFonts w:ascii="Tahoma" w:eastAsia="Times New Roman" w:hAnsi="Tahoma" w:cs="Tahoma"/>
          <w:lang w:val="en-GB"/>
        </w:rPr>
        <w:t xml:space="preserve">BCG </w:t>
      </w:r>
      <w:r w:rsidR="001F37C0" w:rsidRPr="00633020">
        <w:rPr>
          <w:rFonts w:ascii="Tahoma" w:eastAsia="Times New Roman" w:hAnsi="Tahoma" w:cs="Tahoma"/>
          <w:lang w:val="en-GB"/>
        </w:rPr>
        <w:t xml:space="preserve">pension scheme is a non-autonomous unfunded one, a pension fund should be considered to exist. Actual contributions from employees and imputed contributions from employers are </w:t>
      </w:r>
      <w:r w:rsidRPr="00633020">
        <w:rPr>
          <w:rFonts w:ascii="Tahoma" w:eastAsia="Times New Roman" w:hAnsi="Tahoma" w:cs="Tahoma"/>
          <w:lang w:val="en-GB"/>
        </w:rPr>
        <w:t>therefore</w:t>
      </w:r>
      <w:r w:rsidR="001F37C0" w:rsidRPr="00633020">
        <w:rPr>
          <w:rFonts w:ascii="Tahoma" w:eastAsia="Times New Roman" w:hAnsi="Tahoma" w:cs="Tahoma"/>
          <w:lang w:val="en-GB"/>
        </w:rPr>
        <w:t xml:space="preserve"> </w:t>
      </w:r>
      <w:r w:rsidRPr="00633020">
        <w:rPr>
          <w:rFonts w:ascii="Tahoma" w:eastAsia="Times New Roman" w:hAnsi="Tahoma" w:cs="Tahoma"/>
          <w:lang w:val="en-GB"/>
        </w:rPr>
        <w:t xml:space="preserve">being </w:t>
      </w:r>
      <w:r w:rsidR="000F3607" w:rsidRPr="00633020">
        <w:rPr>
          <w:rFonts w:ascii="Tahoma" w:eastAsia="Times New Roman" w:hAnsi="Tahoma" w:cs="Tahoma"/>
          <w:lang w:val="en-GB"/>
        </w:rPr>
        <w:t>treated as an incurrence of</w:t>
      </w:r>
      <w:r w:rsidR="001F37C0" w:rsidRPr="00633020">
        <w:rPr>
          <w:rFonts w:ascii="Tahoma" w:eastAsia="Times New Roman" w:hAnsi="Tahoma" w:cs="Tahoma"/>
          <w:lang w:val="en-GB"/>
        </w:rPr>
        <w:t xml:space="preserve"> </w:t>
      </w:r>
      <w:r w:rsidR="004D08A8" w:rsidRPr="00633020">
        <w:rPr>
          <w:rFonts w:ascii="Tahoma" w:eastAsia="Times New Roman" w:hAnsi="Tahoma" w:cs="Tahoma"/>
          <w:lang w:val="en-GB"/>
        </w:rPr>
        <w:t xml:space="preserve">liability </w:t>
      </w:r>
      <w:r w:rsidR="004D08A8">
        <w:rPr>
          <w:rFonts w:ascii="Tahoma" w:eastAsia="Times New Roman" w:hAnsi="Tahoma" w:cs="Tahoma"/>
          <w:lang w:val="en-GB"/>
        </w:rPr>
        <w:t>(</w:t>
      </w:r>
      <w:r w:rsidR="001F37C0" w:rsidRPr="00633020">
        <w:rPr>
          <w:rFonts w:ascii="Tahoma" w:eastAsia="Times New Roman" w:hAnsi="Tahoma" w:cs="Tahoma"/>
          <w:lang w:val="en-GB"/>
        </w:rPr>
        <w:t>3306 -</w:t>
      </w:r>
      <w:r w:rsidR="00634625" w:rsidRPr="00633020">
        <w:rPr>
          <w:rFonts w:ascii="Tahoma" w:eastAsia="Times New Roman" w:hAnsi="Tahoma" w:cs="Tahoma"/>
          <w:lang w:val="en-GB"/>
        </w:rPr>
        <w:t xml:space="preserve"> </w:t>
      </w:r>
      <w:r w:rsidR="001F37C0" w:rsidRPr="00633020">
        <w:rPr>
          <w:rFonts w:ascii="Tahoma" w:eastAsia="Times New Roman" w:hAnsi="Tahoma" w:cs="Tahoma"/>
          <w:lang w:val="en-GB"/>
        </w:rPr>
        <w:t>Pension and Insurance) instead of Revenue.  Similarly, payments of employment related pension</w:t>
      </w:r>
      <w:r w:rsidR="006D0712">
        <w:rPr>
          <w:rFonts w:ascii="Tahoma" w:eastAsia="Times New Roman" w:hAnsi="Tahoma" w:cs="Tahoma"/>
          <w:lang w:val="en-GB"/>
        </w:rPr>
        <w:t>s</w:t>
      </w:r>
      <w:r w:rsidR="001F37C0" w:rsidRPr="00633020">
        <w:rPr>
          <w:rFonts w:ascii="Tahoma" w:eastAsia="Times New Roman" w:hAnsi="Tahoma" w:cs="Tahoma"/>
          <w:lang w:val="en-GB"/>
        </w:rPr>
        <w:t xml:space="preserve"> are </w:t>
      </w:r>
      <w:r w:rsidRPr="00633020">
        <w:rPr>
          <w:rFonts w:ascii="Tahoma" w:eastAsia="Times New Roman" w:hAnsi="Tahoma" w:cs="Tahoma"/>
          <w:lang w:val="en-GB"/>
        </w:rPr>
        <w:t xml:space="preserve">now being </w:t>
      </w:r>
      <w:r w:rsidR="001F37C0" w:rsidRPr="00633020">
        <w:rPr>
          <w:rFonts w:ascii="Tahoma" w:eastAsia="Times New Roman" w:hAnsi="Tahoma" w:cs="Tahoma"/>
          <w:lang w:val="en-GB"/>
        </w:rPr>
        <w:t xml:space="preserve">treated as </w:t>
      </w:r>
      <w:r w:rsidR="00634625" w:rsidRPr="00633020">
        <w:rPr>
          <w:rFonts w:ascii="Tahoma" w:eastAsia="Times New Roman" w:hAnsi="Tahoma" w:cs="Tahoma"/>
          <w:lang w:val="en-GB"/>
        </w:rPr>
        <w:t>a reduction in liability (3306 -</w:t>
      </w:r>
      <w:r w:rsidR="001F37C0" w:rsidRPr="00633020">
        <w:rPr>
          <w:rFonts w:ascii="Tahoma" w:eastAsia="Times New Roman" w:hAnsi="Tahoma" w:cs="Tahoma"/>
          <w:lang w:val="en-GB"/>
        </w:rPr>
        <w:t xml:space="preserve"> Pension and Insurance) instead of Expense</w:t>
      </w:r>
      <w:r w:rsidR="001F37C0" w:rsidRPr="00A100A6">
        <w:rPr>
          <w:rFonts w:ascii="Tahoma" w:hAnsi="Tahoma" w:cs="Tahoma"/>
        </w:rPr>
        <w:t>.</w:t>
      </w:r>
    </w:p>
    <w:p w14:paraId="16496B0C" w14:textId="7259B0AB" w:rsidR="000C076B" w:rsidRPr="00A100A6" w:rsidRDefault="000C076B" w:rsidP="001416A7">
      <w:pPr>
        <w:autoSpaceDE w:val="0"/>
        <w:autoSpaceDN w:val="0"/>
        <w:adjustRightInd w:val="0"/>
        <w:spacing w:line="360" w:lineRule="auto"/>
        <w:ind w:left="0"/>
        <w:rPr>
          <w:rFonts w:ascii="Tahoma" w:hAnsi="Tahoma" w:cs="Tahoma"/>
          <w:sz w:val="22"/>
          <w:szCs w:val="22"/>
        </w:rPr>
      </w:pPr>
      <w:r w:rsidRPr="00A100A6">
        <w:rPr>
          <w:rFonts w:ascii="Tahoma" w:hAnsi="Tahoma" w:cs="Tahoma"/>
          <w:b/>
          <w:sz w:val="22"/>
          <w:szCs w:val="22"/>
        </w:rPr>
        <w:t>6.</w:t>
      </w:r>
      <w:r w:rsidR="00C01D6C" w:rsidRPr="00A100A6">
        <w:rPr>
          <w:rFonts w:ascii="Tahoma" w:hAnsi="Tahoma" w:cs="Tahoma"/>
          <w:b/>
          <w:sz w:val="22"/>
          <w:szCs w:val="22"/>
        </w:rPr>
        <w:t>2</w:t>
      </w:r>
      <w:r w:rsidRPr="00A100A6">
        <w:rPr>
          <w:rFonts w:ascii="Tahoma" w:hAnsi="Tahoma" w:cs="Tahoma"/>
          <w:b/>
          <w:sz w:val="22"/>
          <w:szCs w:val="22"/>
        </w:rPr>
        <w:t xml:space="preserve"> Difference with </w:t>
      </w:r>
      <w:r w:rsidR="002B68D8" w:rsidRPr="00A100A6">
        <w:rPr>
          <w:rFonts w:ascii="Tahoma" w:hAnsi="Tahoma" w:cs="Tahoma"/>
          <w:b/>
          <w:sz w:val="22"/>
          <w:szCs w:val="22"/>
        </w:rPr>
        <w:t xml:space="preserve">the high frequency monthly </w:t>
      </w:r>
      <w:r w:rsidRPr="00A100A6">
        <w:rPr>
          <w:rFonts w:ascii="Tahoma" w:hAnsi="Tahoma" w:cs="Tahoma"/>
          <w:b/>
          <w:sz w:val="22"/>
          <w:szCs w:val="22"/>
        </w:rPr>
        <w:t xml:space="preserve">GFS data published on </w:t>
      </w:r>
      <w:r w:rsidR="002B68D8" w:rsidRPr="00A100A6">
        <w:rPr>
          <w:rFonts w:ascii="Tahoma" w:hAnsi="Tahoma" w:cs="Tahoma"/>
          <w:b/>
          <w:sz w:val="22"/>
          <w:szCs w:val="22"/>
        </w:rPr>
        <w:t>the website of Statistics Mauritius</w:t>
      </w:r>
    </w:p>
    <w:p w14:paraId="199C6761" w14:textId="06FA0ADC" w:rsidR="000C076B" w:rsidRPr="00A100A6" w:rsidRDefault="000C076B" w:rsidP="001416A7">
      <w:pPr>
        <w:autoSpaceDE w:val="0"/>
        <w:autoSpaceDN w:val="0"/>
        <w:adjustRightInd w:val="0"/>
        <w:spacing w:line="360" w:lineRule="auto"/>
        <w:ind w:left="0"/>
        <w:rPr>
          <w:rFonts w:ascii="Tahoma" w:hAnsi="Tahoma" w:cs="Tahoma"/>
          <w:spacing w:val="4"/>
          <w:sz w:val="22"/>
          <w:szCs w:val="22"/>
        </w:rPr>
      </w:pPr>
      <w:r w:rsidRPr="00A100A6">
        <w:rPr>
          <w:rFonts w:ascii="Tahoma" w:hAnsi="Tahoma" w:cs="Tahoma"/>
          <w:sz w:val="22"/>
          <w:szCs w:val="22"/>
        </w:rPr>
        <w:t xml:space="preserve">The </w:t>
      </w:r>
      <w:r w:rsidR="00B6277B" w:rsidRPr="00A100A6">
        <w:rPr>
          <w:rFonts w:ascii="Tahoma" w:hAnsi="Tahoma" w:cs="Tahoma"/>
          <w:sz w:val="22"/>
          <w:szCs w:val="22"/>
        </w:rPr>
        <w:t xml:space="preserve">high frequency monthly </w:t>
      </w:r>
      <w:r w:rsidRPr="00A100A6">
        <w:rPr>
          <w:rFonts w:ascii="Tahoma" w:hAnsi="Tahoma" w:cs="Tahoma"/>
          <w:sz w:val="22"/>
          <w:szCs w:val="22"/>
        </w:rPr>
        <w:t xml:space="preserve">GFS data on Budgetary Central Government (BCG) posted on the website of </w:t>
      </w:r>
      <w:r w:rsidR="00B6277B" w:rsidRPr="00A100A6">
        <w:rPr>
          <w:rFonts w:ascii="Tahoma" w:hAnsi="Tahoma" w:cs="Tahoma"/>
          <w:sz w:val="22"/>
          <w:szCs w:val="22"/>
        </w:rPr>
        <w:t>Statistics Mauritius</w:t>
      </w:r>
      <w:r w:rsidRPr="00A100A6">
        <w:rPr>
          <w:rFonts w:ascii="Tahoma" w:hAnsi="Tahoma" w:cs="Tahoma"/>
          <w:sz w:val="22"/>
          <w:szCs w:val="22"/>
        </w:rPr>
        <w:t xml:space="preserve"> is different from the data published in this Digest. </w:t>
      </w:r>
      <w:r w:rsidR="00B6277B" w:rsidRPr="00A100A6">
        <w:rPr>
          <w:rFonts w:ascii="Tahoma" w:hAnsi="Tahoma" w:cs="Tahoma"/>
          <w:sz w:val="22"/>
          <w:szCs w:val="22"/>
        </w:rPr>
        <w:t xml:space="preserve">The high frequency </w:t>
      </w:r>
      <w:r w:rsidR="00A920C0" w:rsidRPr="00A100A6">
        <w:rPr>
          <w:rFonts w:ascii="Tahoma" w:hAnsi="Tahoma" w:cs="Tahoma"/>
          <w:sz w:val="22"/>
          <w:szCs w:val="22"/>
        </w:rPr>
        <w:t xml:space="preserve">monthly </w:t>
      </w:r>
      <w:r w:rsidR="00B6277B" w:rsidRPr="00A100A6">
        <w:rPr>
          <w:rFonts w:ascii="Tahoma" w:hAnsi="Tahoma" w:cs="Tahoma"/>
          <w:sz w:val="22"/>
          <w:szCs w:val="22"/>
        </w:rPr>
        <w:t>GFS data is fully on cash basis and is in line with the MOFED Budget whereas the data</w:t>
      </w:r>
      <w:r w:rsidR="00A920C0" w:rsidRPr="00A100A6">
        <w:rPr>
          <w:rFonts w:ascii="Tahoma" w:hAnsi="Tahoma" w:cs="Tahoma"/>
          <w:sz w:val="22"/>
          <w:szCs w:val="22"/>
        </w:rPr>
        <w:t xml:space="preserve"> published in </w:t>
      </w:r>
      <w:r w:rsidR="00A920C0" w:rsidRPr="00A100A6">
        <w:rPr>
          <w:rFonts w:ascii="Tahoma" w:hAnsi="Tahoma" w:cs="Tahoma"/>
          <w:sz w:val="22"/>
          <w:szCs w:val="22"/>
        </w:rPr>
        <w:lastRenderedPageBreak/>
        <w:t>this digest is partly accrual (</w:t>
      </w:r>
      <w:proofErr w:type="spellStart"/>
      <w:r w:rsidR="00A920C0" w:rsidRPr="00A100A6">
        <w:rPr>
          <w:rFonts w:ascii="Tahoma" w:hAnsi="Tahoma" w:cs="Tahoma"/>
          <w:sz w:val="22"/>
          <w:szCs w:val="22"/>
        </w:rPr>
        <w:t>i.e</w:t>
      </w:r>
      <w:proofErr w:type="spellEnd"/>
      <w:r w:rsidR="00A920C0" w:rsidRPr="00A100A6">
        <w:rPr>
          <w:rFonts w:ascii="Tahoma" w:hAnsi="Tahoma" w:cs="Tahoma"/>
          <w:sz w:val="22"/>
          <w:szCs w:val="22"/>
        </w:rPr>
        <w:t xml:space="preserve"> contributions and payments of employment related pension treated as incurrence and decrease in liability) and partly cash.</w:t>
      </w:r>
      <w:r w:rsidR="00B6277B" w:rsidRPr="00A100A6">
        <w:rPr>
          <w:rFonts w:ascii="Tahoma" w:hAnsi="Tahoma" w:cs="Tahoma"/>
          <w:sz w:val="22"/>
          <w:szCs w:val="22"/>
        </w:rPr>
        <w:t xml:space="preserve"> </w:t>
      </w:r>
      <w:r w:rsidR="00A920C0" w:rsidRPr="00A100A6">
        <w:rPr>
          <w:rFonts w:ascii="Tahoma" w:hAnsi="Tahoma" w:cs="Tahoma"/>
          <w:sz w:val="22"/>
          <w:szCs w:val="22"/>
        </w:rPr>
        <w:t>In the high frequency GFS monthly data, contributions</w:t>
      </w:r>
      <w:r w:rsidR="00177BF1">
        <w:rPr>
          <w:rFonts w:ascii="Tahoma" w:hAnsi="Tahoma" w:cs="Tahoma"/>
          <w:sz w:val="22"/>
          <w:szCs w:val="22"/>
        </w:rPr>
        <w:t xml:space="preserve"> and</w:t>
      </w:r>
      <w:bookmarkStart w:id="2" w:name="_GoBack"/>
      <w:bookmarkEnd w:id="2"/>
      <w:r w:rsidR="00A920C0" w:rsidRPr="00A100A6">
        <w:rPr>
          <w:rFonts w:ascii="Tahoma" w:hAnsi="Tahoma" w:cs="Tahoma"/>
          <w:sz w:val="22"/>
          <w:szCs w:val="22"/>
        </w:rPr>
        <w:t xml:space="preserve"> payments of employment related pensions are treated as revenue and expense respectively. As a result,</w:t>
      </w:r>
      <w:r w:rsidR="00FE44AE" w:rsidRPr="00A100A6">
        <w:rPr>
          <w:rFonts w:ascii="Tahoma" w:hAnsi="Tahoma" w:cs="Tahoma"/>
          <w:sz w:val="22"/>
          <w:szCs w:val="22"/>
        </w:rPr>
        <w:t xml:space="preserve"> the Net Lending/Borrowing of the high frequency monthly GFS data and the Net Lending/Borrowing in this digest </w:t>
      </w:r>
      <w:r w:rsidR="00FE44AE" w:rsidRPr="00A100A6">
        <w:rPr>
          <w:rFonts w:ascii="Tahoma" w:hAnsi="Tahoma" w:cs="Tahoma"/>
          <w:sz w:val="22"/>
          <w:szCs w:val="22"/>
          <w:u w:val="single"/>
        </w:rPr>
        <w:t>will be different</w:t>
      </w:r>
      <w:r w:rsidR="004D7A3D" w:rsidRPr="00A100A6">
        <w:rPr>
          <w:rFonts w:ascii="Tahoma" w:hAnsi="Tahoma" w:cs="Tahoma"/>
          <w:sz w:val="22"/>
          <w:szCs w:val="22"/>
        </w:rPr>
        <w:t xml:space="preserve"> for corresponding periods due to difference between cash and accrual treatments.</w:t>
      </w:r>
      <w:r w:rsidR="00FE44AE" w:rsidRPr="00A100A6">
        <w:rPr>
          <w:rFonts w:ascii="Tahoma" w:hAnsi="Tahoma" w:cs="Tahoma"/>
          <w:sz w:val="22"/>
          <w:szCs w:val="22"/>
        </w:rPr>
        <w:t xml:space="preserve">  </w:t>
      </w:r>
    </w:p>
    <w:p w14:paraId="2036BAAC" w14:textId="77777777" w:rsidR="000329BB" w:rsidRPr="00A100A6" w:rsidRDefault="000329BB" w:rsidP="001416A7">
      <w:pPr>
        <w:autoSpaceDE w:val="0"/>
        <w:autoSpaceDN w:val="0"/>
        <w:adjustRightInd w:val="0"/>
        <w:spacing w:line="360" w:lineRule="auto"/>
        <w:ind w:left="0"/>
        <w:rPr>
          <w:rFonts w:ascii="Tahoma" w:hAnsi="Tahoma" w:cs="Tahoma"/>
          <w:spacing w:val="4"/>
          <w:sz w:val="22"/>
          <w:szCs w:val="22"/>
        </w:rPr>
      </w:pPr>
    </w:p>
    <w:p w14:paraId="6EA4286E" w14:textId="77777777" w:rsidR="00CC19F2" w:rsidRPr="00A100A6" w:rsidRDefault="005B4E0A" w:rsidP="001416A7">
      <w:pPr>
        <w:numPr>
          <w:ilvl w:val="0"/>
          <w:numId w:val="1"/>
        </w:numPr>
        <w:autoSpaceDE w:val="0"/>
        <w:autoSpaceDN w:val="0"/>
        <w:adjustRightInd w:val="0"/>
        <w:spacing w:line="360" w:lineRule="auto"/>
        <w:ind w:left="0" w:firstLine="0"/>
        <w:rPr>
          <w:rFonts w:ascii="Tahoma" w:hAnsi="Tahoma" w:cs="Tahoma"/>
          <w:b/>
          <w:sz w:val="22"/>
          <w:szCs w:val="22"/>
        </w:rPr>
      </w:pPr>
      <w:r w:rsidRPr="00A100A6">
        <w:rPr>
          <w:rFonts w:ascii="Tahoma" w:hAnsi="Tahoma" w:cs="Tahoma"/>
          <w:b/>
          <w:sz w:val="22"/>
          <w:szCs w:val="22"/>
        </w:rPr>
        <w:t xml:space="preserve">Changes made </w:t>
      </w:r>
      <w:r w:rsidR="00CC19F2" w:rsidRPr="00A100A6">
        <w:rPr>
          <w:rFonts w:ascii="Tahoma" w:hAnsi="Tahoma" w:cs="Tahoma"/>
          <w:b/>
          <w:sz w:val="22"/>
          <w:szCs w:val="22"/>
        </w:rPr>
        <w:t>to</w:t>
      </w:r>
      <w:r w:rsidRPr="00A100A6">
        <w:rPr>
          <w:rFonts w:ascii="Tahoma" w:hAnsi="Tahoma" w:cs="Tahoma"/>
          <w:b/>
          <w:sz w:val="22"/>
          <w:szCs w:val="22"/>
        </w:rPr>
        <w:t xml:space="preserve"> data</w:t>
      </w:r>
    </w:p>
    <w:p w14:paraId="2AAFFCE6" w14:textId="77777777" w:rsidR="00410590" w:rsidRPr="00A100A6" w:rsidRDefault="00410590" w:rsidP="001416A7">
      <w:pPr>
        <w:autoSpaceDE w:val="0"/>
        <w:autoSpaceDN w:val="0"/>
        <w:adjustRightInd w:val="0"/>
        <w:spacing w:line="360" w:lineRule="auto"/>
        <w:ind w:left="0"/>
        <w:rPr>
          <w:rFonts w:ascii="Tahoma" w:hAnsi="Tahoma" w:cs="Tahoma"/>
          <w:b/>
          <w:sz w:val="22"/>
          <w:szCs w:val="22"/>
        </w:rPr>
      </w:pPr>
      <w:r w:rsidRPr="00A100A6">
        <w:rPr>
          <w:rFonts w:ascii="Tahoma" w:hAnsi="Tahoma" w:cs="Tahoma"/>
          <w:b/>
          <w:sz w:val="22"/>
          <w:szCs w:val="22"/>
        </w:rPr>
        <w:t>7.1 National Pensions Fund</w:t>
      </w:r>
    </w:p>
    <w:p w14:paraId="3C85BDA0" w14:textId="77777777" w:rsidR="005B4E0A" w:rsidRPr="00A100A6" w:rsidRDefault="00EF781D" w:rsidP="001416A7">
      <w:pPr>
        <w:autoSpaceDE w:val="0"/>
        <w:autoSpaceDN w:val="0"/>
        <w:adjustRightInd w:val="0"/>
        <w:spacing w:line="360" w:lineRule="auto"/>
        <w:ind w:left="0"/>
        <w:rPr>
          <w:rFonts w:ascii="Tahoma" w:hAnsi="Tahoma" w:cs="Tahoma"/>
          <w:b/>
          <w:sz w:val="22"/>
          <w:szCs w:val="22"/>
        </w:rPr>
      </w:pPr>
      <w:r w:rsidRPr="00A100A6">
        <w:rPr>
          <w:rFonts w:ascii="Tahoma" w:hAnsi="Tahoma" w:cs="Tahoma"/>
          <w:sz w:val="22"/>
          <w:szCs w:val="22"/>
        </w:rPr>
        <w:t>The</w:t>
      </w:r>
      <w:r w:rsidR="0039522F" w:rsidRPr="00A100A6">
        <w:rPr>
          <w:rFonts w:ascii="Tahoma" w:hAnsi="Tahoma" w:cs="Tahoma"/>
          <w:sz w:val="22"/>
          <w:szCs w:val="22"/>
        </w:rPr>
        <w:t xml:space="preserve"> m</w:t>
      </w:r>
      <w:r w:rsidR="00D47C48" w:rsidRPr="00A100A6">
        <w:rPr>
          <w:rFonts w:ascii="Tahoma" w:hAnsi="Tahoma" w:cs="Tahoma"/>
          <w:sz w:val="22"/>
          <w:szCs w:val="22"/>
        </w:rPr>
        <w:t xml:space="preserve">ission on </w:t>
      </w:r>
      <w:proofErr w:type="spellStart"/>
      <w:r w:rsidR="00D47C48" w:rsidRPr="00A100A6">
        <w:rPr>
          <w:rFonts w:ascii="Tahoma" w:hAnsi="Tahoma" w:cs="Tahoma"/>
          <w:sz w:val="22"/>
          <w:szCs w:val="22"/>
        </w:rPr>
        <w:t>Multisector</w:t>
      </w:r>
      <w:proofErr w:type="spellEnd"/>
      <w:r w:rsidR="00D47C48" w:rsidRPr="00A100A6">
        <w:rPr>
          <w:rFonts w:ascii="Tahoma" w:hAnsi="Tahoma" w:cs="Tahoma"/>
          <w:sz w:val="22"/>
          <w:szCs w:val="22"/>
        </w:rPr>
        <w:t xml:space="preserve"> S</w:t>
      </w:r>
      <w:r w:rsidR="0039522F" w:rsidRPr="00A100A6">
        <w:rPr>
          <w:rFonts w:ascii="Tahoma" w:hAnsi="Tahoma" w:cs="Tahoma"/>
          <w:sz w:val="22"/>
          <w:szCs w:val="22"/>
        </w:rPr>
        <w:t xml:space="preserve">tatistics and Cross-Sector Data Consistency </w:t>
      </w:r>
      <w:r w:rsidRPr="00A100A6">
        <w:rPr>
          <w:rFonts w:ascii="Tahoma" w:hAnsi="Tahoma" w:cs="Tahoma"/>
          <w:sz w:val="22"/>
          <w:szCs w:val="22"/>
        </w:rPr>
        <w:t xml:space="preserve">carried out by the Statistics Department of the IMF from 23 January to 5 February 2013 recommended that the data coverage of the NPF should be improved by including </w:t>
      </w:r>
      <w:r w:rsidR="0062407F" w:rsidRPr="00A100A6">
        <w:rPr>
          <w:rFonts w:ascii="Tahoma" w:hAnsi="Tahoma" w:cs="Tahoma"/>
          <w:sz w:val="22"/>
          <w:szCs w:val="22"/>
        </w:rPr>
        <w:t>i</w:t>
      </w:r>
      <w:r w:rsidRPr="00A100A6">
        <w:rPr>
          <w:rFonts w:ascii="Tahoma" w:hAnsi="Tahoma" w:cs="Tahoma"/>
          <w:sz w:val="22"/>
          <w:szCs w:val="22"/>
        </w:rPr>
        <w:t>t</w:t>
      </w:r>
      <w:r w:rsidR="0062407F" w:rsidRPr="00A100A6">
        <w:rPr>
          <w:rFonts w:ascii="Tahoma" w:hAnsi="Tahoma" w:cs="Tahoma"/>
          <w:sz w:val="22"/>
          <w:szCs w:val="22"/>
        </w:rPr>
        <w:t>s</w:t>
      </w:r>
      <w:r w:rsidRPr="00A100A6">
        <w:rPr>
          <w:rFonts w:ascii="Tahoma" w:hAnsi="Tahoma" w:cs="Tahoma"/>
          <w:sz w:val="22"/>
          <w:szCs w:val="22"/>
        </w:rPr>
        <w:t xml:space="preserve"> </w:t>
      </w:r>
      <w:r w:rsidR="00115AAF" w:rsidRPr="00A100A6">
        <w:rPr>
          <w:rFonts w:ascii="Tahoma" w:hAnsi="Tahoma" w:cs="Tahoma"/>
          <w:sz w:val="22"/>
          <w:szCs w:val="22"/>
        </w:rPr>
        <w:t xml:space="preserve">external assets and related income. </w:t>
      </w:r>
      <w:r w:rsidR="00B95339" w:rsidRPr="00A100A6">
        <w:rPr>
          <w:rFonts w:ascii="Tahoma" w:hAnsi="Tahoma" w:cs="Tahoma"/>
          <w:sz w:val="22"/>
          <w:szCs w:val="22"/>
        </w:rPr>
        <w:t>As from 2012 t</w:t>
      </w:r>
      <w:r w:rsidR="00BB6F6D" w:rsidRPr="00A100A6">
        <w:rPr>
          <w:rFonts w:ascii="Tahoma" w:hAnsi="Tahoma" w:cs="Tahoma"/>
          <w:sz w:val="22"/>
          <w:szCs w:val="22"/>
        </w:rPr>
        <w:t>hese were included in the accounts of the NPF.</w:t>
      </w:r>
      <w:r w:rsidR="00BB6F6D" w:rsidRPr="00A100A6">
        <w:rPr>
          <w:rFonts w:ascii="Tahoma" w:hAnsi="Tahoma" w:cs="Tahoma"/>
          <w:b/>
          <w:sz w:val="22"/>
          <w:szCs w:val="22"/>
        </w:rPr>
        <w:t xml:space="preserve"> </w:t>
      </w:r>
    </w:p>
    <w:p w14:paraId="71C87432" w14:textId="77777777" w:rsidR="005B4E0A" w:rsidRPr="00A100A6" w:rsidRDefault="005B4E0A" w:rsidP="001416A7">
      <w:pPr>
        <w:autoSpaceDE w:val="0"/>
        <w:autoSpaceDN w:val="0"/>
        <w:adjustRightInd w:val="0"/>
        <w:spacing w:line="360" w:lineRule="auto"/>
        <w:ind w:left="0"/>
        <w:rPr>
          <w:rFonts w:ascii="Tahoma" w:hAnsi="Tahoma" w:cs="Tahoma"/>
          <w:b/>
          <w:sz w:val="22"/>
          <w:szCs w:val="22"/>
        </w:rPr>
      </w:pPr>
    </w:p>
    <w:p w14:paraId="321E9089" w14:textId="77777777" w:rsidR="00410590" w:rsidRPr="00A100A6" w:rsidRDefault="00410590" w:rsidP="001416A7">
      <w:pPr>
        <w:autoSpaceDE w:val="0"/>
        <w:autoSpaceDN w:val="0"/>
        <w:adjustRightInd w:val="0"/>
        <w:spacing w:line="360" w:lineRule="auto"/>
        <w:ind w:left="0"/>
        <w:rPr>
          <w:rFonts w:ascii="Tahoma" w:hAnsi="Tahoma" w:cs="Tahoma"/>
          <w:sz w:val="22"/>
          <w:szCs w:val="22"/>
        </w:rPr>
      </w:pPr>
      <w:r w:rsidRPr="00A100A6">
        <w:rPr>
          <w:rFonts w:ascii="Tahoma" w:hAnsi="Tahoma" w:cs="Tahoma"/>
          <w:b/>
          <w:sz w:val="22"/>
          <w:szCs w:val="22"/>
        </w:rPr>
        <w:t>7.2</w:t>
      </w:r>
      <w:r w:rsidRPr="00A100A6">
        <w:rPr>
          <w:rFonts w:ascii="Tahoma" w:hAnsi="Tahoma" w:cs="Tahoma"/>
          <w:b/>
          <w:sz w:val="22"/>
          <w:szCs w:val="22"/>
        </w:rPr>
        <w:tab/>
        <w:t xml:space="preserve"> IMF transactions</w:t>
      </w:r>
    </w:p>
    <w:p w14:paraId="599BA0AC" w14:textId="77777777" w:rsidR="00FE44AE" w:rsidRPr="00A100A6" w:rsidRDefault="00B95339" w:rsidP="001416A7">
      <w:pPr>
        <w:tabs>
          <w:tab w:val="left" w:pos="8640"/>
        </w:tabs>
        <w:autoSpaceDE w:val="0"/>
        <w:autoSpaceDN w:val="0"/>
        <w:adjustRightInd w:val="0"/>
        <w:spacing w:line="360" w:lineRule="auto"/>
        <w:ind w:left="0"/>
        <w:rPr>
          <w:rFonts w:ascii="Tahoma" w:hAnsi="Tahoma" w:cs="Tahoma"/>
          <w:sz w:val="22"/>
          <w:szCs w:val="22"/>
        </w:rPr>
      </w:pPr>
      <w:r w:rsidRPr="00A100A6">
        <w:rPr>
          <w:rFonts w:ascii="Tahoma" w:hAnsi="Tahoma" w:cs="Tahoma"/>
          <w:sz w:val="22"/>
          <w:szCs w:val="22"/>
        </w:rPr>
        <w:t>As from 2</w:t>
      </w:r>
      <w:r w:rsidR="00410590" w:rsidRPr="00A100A6">
        <w:rPr>
          <w:rFonts w:ascii="Tahoma" w:hAnsi="Tahoma" w:cs="Tahoma"/>
          <w:sz w:val="22"/>
          <w:szCs w:val="22"/>
        </w:rPr>
        <w:t>012</w:t>
      </w:r>
      <w:r w:rsidRPr="00A100A6">
        <w:rPr>
          <w:rFonts w:ascii="Tahoma" w:hAnsi="Tahoma" w:cs="Tahoma"/>
          <w:sz w:val="22"/>
          <w:szCs w:val="22"/>
        </w:rPr>
        <w:t>,</w:t>
      </w:r>
      <w:r w:rsidR="00410590" w:rsidRPr="00A100A6">
        <w:rPr>
          <w:rFonts w:ascii="Tahoma" w:hAnsi="Tahoma" w:cs="Tahoma"/>
          <w:sz w:val="22"/>
          <w:szCs w:val="22"/>
        </w:rPr>
        <w:t xml:space="preserve"> SDR transactions </w:t>
      </w:r>
      <w:r w:rsidRPr="00A100A6">
        <w:rPr>
          <w:rFonts w:ascii="Tahoma" w:hAnsi="Tahoma" w:cs="Tahoma"/>
          <w:sz w:val="22"/>
          <w:szCs w:val="22"/>
        </w:rPr>
        <w:t xml:space="preserve">are </w:t>
      </w:r>
      <w:r w:rsidR="00410590" w:rsidRPr="00A100A6">
        <w:rPr>
          <w:rFonts w:ascii="Tahoma" w:hAnsi="Tahoma" w:cs="Tahoma"/>
          <w:sz w:val="22"/>
          <w:szCs w:val="22"/>
        </w:rPr>
        <w:t xml:space="preserve">classified as </w:t>
      </w:r>
      <w:proofErr w:type="gramStart"/>
      <w:r w:rsidR="00410590" w:rsidRPr="00A100A6">
        <w:rPr>
          <w:rFonts w:ascii="Tahoma" w:hAnsi="Tahoma" w:cs="Tahoma"/>
          <w:sz w:val="22"/>
          <w:szCs w:val="22"/>
        </w:rPr>
        <w:t>Foreign</w:t>
      </w:r>
      <w:proofErr w:type="gramEnd"/>
      <w:r w:rsidR="00410590" w:rsidRPr="00A100A6">
        <w:rPr>
          <w:rFonts w:ascii="Tahoma" w:hAnsi="Tahoma" w:cs="Tahoma"/>
          <w:sz w:val="22"/>
          <w:szCs w:val="22"/>
        </w:rPr>
        <w:t xml:space="preserve"> transactions under 32</w:t>
      </w:r>
      <w:r w:rsidRPr="00A100A6">
        <w:rPr>
          <w:rFonts w:ascii="Tahoma" w:hAnsi="Tahoma" w:cs="Tahoma"/>
          <w:sz w:val="22"/>
          <w:szCs w:val="22"/>
        </w:rPr>
        <w:t>01</w:t>
      </w:r>
      <w:r w:rsidR="00410590" w:rsidRPr="00A100A6">
        <w:rPr>
          <w:rFonts w:ascii="Tahoma" w:hAnsi="Tahoma" w:cs="Tahoma"/>
          <w:sz w:val="22"/>
          <w:szCs w:val="22"/>
        </w:rPr>
        <w:t xml:space="preserve">: </w:t>
      </w:r>
      <w:r w:rsidR="00AA3F73" w:rsidRPr="00A100A6">
        <w:rPr>
          <w:rFonts w:ascii="Tahoma" w:hAnsi="Tahoma" w:cs="Tahoma"/>
          <w:sz w:val="22"/>
          <w:szCs w:val="22"/>
        </w:rPr>
        <w:t>“</w:t>
      </w:r>
      <w:r w:rsidR="00410590" w:rsidRPr="00A100A6">
        <w:rPr>
          <w:rFonts w:ascii="Tahoma" w:hAnsi="Tahoma" w:cs="Tahoma"/>
          <w:sz w:val="22"/>
          <w:szCs w:val="22"/>
        </w:rPr>
        <w:t>Monetary gold and SDRs</w:t>
      </w:r>
      <w:r w:rsidR="00AA3F73" w:rsidRPr="00A100A6">
        <w:rPr>
          <w:rFonts w:ascii="Tahoma" w:hAnsi="Tahoma" w:cs="Tahoma"/>
          <w:sz w:val="22"/>
          <w:szCs w:val="22"/>
        </w:rPr>
        <w:t>”</w:t>
      </w:r>
      <w:r w:rsidR="00410590" w:rsidRPr="00A100A6">
        <w:rPr>
          <w:rFonts w:ascii="Tahoma" w:hAnsi="Tahoma" w:cs="Tahoma"/>
          <w:sz w:val="22"/>
          <w:szCs w:val="22"/>
        </w:rPr>
        <w:t xml:space="preserve"> and 8227: </w:t>
      </w:r>
      <w:r w:rsidR="00AA3F73" w:rsidRPr="00A100A6">
        <w:rPr>
          <w:rFonts w:ascii="Tahoma" w:hAnsi="Tahoma" w:cs="Tahoma"/>
          <w:sz w:val="22"/>
          <w:szCs w:val="22"/>
        </w:rPr>
        <w:t>“</w:t>
      </w:r>
      <w:r w:rsidR="00410590" w:rsidRPr="00A100A6">
        <w:rPr>
          <w:rFonts w:ascii="Tahoma" w:hAnsi="Tahoma" w:cs="Tahoma"/>
          <w:sz w:val="22"/>
          <w:szCs w:val="22"/>
        </w:rPr>
        <w:t>International organizations</w:t>
      </w:r>
      <w:r w:rsidR="00AA3F73" w:rsidRPr="00A100A6">
        <w:rPr>
          <w:rFonts w:ascii="Tahoma" w:hAnsi="Tahoma" w:cs="Tahoma"/>
          <w:sz w:val="22"/>
          <w:szCs w:val="22"/>
        </w:rPr>
        <w:t>”</w:t>
      </w:r>
      <w:r w:rsidR="00410590" w:rsidRPr="00A100A6">
        <w:rPr>
          <w:rFonts w:ascii="Tahoma" w:hAnsi="Tahoma" w:cs="Tahoma"/>
          <w:sz w:val="22"/>
          <w:szCs w:val="22"/>
        </w:rPr>
        <w:t xml:space="preserve"> in </w:t>
      </w:r>
      <w:r w:rsidR="007A7B3F" w:rsidRPr="00A100A6">
        <w:rPr>
          <w:rFonts w:ascii="Tahoma" w:hAnsi="Tahoma" w:cs="Tahoma"/>
          <w:sz w:val="22"/>
          <w:szCs w:val="22"/>
        </w:rPr>
        <w:t>table “</w:t>
      </w:r>
      <w:r w:rsidR="00410590" w:rsidRPr="00A100A6">
        <w:rPr>
          <w:rFonts w:ascii="Tahoma" w:hAnsi="Tahoma" w:cs="Tahoma"/>
          <w:sz w:val="22"/>
          <w:szCs w:val="22"/>
        </w:rPr>
        <w:t>Transactions in financial assets and liabilities</w:t>
      </w:r>
      <w:r w:rsidR="00AA3F73" w:rsidRPr="00A100A6">
        <w:rPr>
          <w:rFonts w:ascii="Tahoma" w:hAnsi="Tahoma" w:cs="Tahoma"/>
          <w:sz w:val="22"/>
          <w:szCs w:val="22"/>
        </w:rPr>
        <w:t>”</w:t>
      </w:r>
      <w:r w:rsidR="00410590" w:rsidRPr="00A100A6">
        <w:rPr>
          <w:rFonts w:ascii="Tahoma" w:hAnsi="Tahoma" w:cs="Tahoma"/>
          <w:sz w:val="22"/>
          <w:szCs w:val="22"/>
        </w:rPr>
        <w:t xml:space="preserve"> and </w:t>
      </w:r>
      <w:r w:rsidR="007A7B3F" w:rsidRPr="00A100A6">
        <w:rPr>
          <w:rFonts w:ascii="Tahoma" w:hAnsi="Tahoma" w:cs="Tahoma"/>
          <w:sz w:val="22"/>
          <w:szCs w:val="22"/>
        </w:rPr>
        <w:t>table “</w:t>
      </w:r>
      <w:r w:rsidR="00410590" w:rsidRPr="00A100A6">
        <w:rPr>
          <w:rFonts w:ascii="Tahoma" w:hAnsi="Tahoma" w:cs="Tahoma"/>
          <w:sz w:val="22"/>
          <w:szCs w:val="22"/>
        </w:rPr>
        <w:t>Transactions in financial as</w:t>
      </w:r>
      <w:r w:rsidR="0025061D" w:rsidRPr="00A100A6">
        <w:rPr>
          <w:rFonts w:ascii="Tahoma" w:hAnsi="Tahoma" w:cs="Tahoma"/>
          <w:sz w:val="22"/>
          <w:szCs w:val="22"/>
        </w:rPr>
        <w:t>sets and liabilities by sector</w:t>
      </w:r>
      <w:r w:rsidR="00AA3F73" w:rsidRPr="00A100A6">
        <w:rPr>
          <w:rFonts w:ascii="Tahoma" w:hAnsi="Tahoma" w:cs="Tahoma"/>
          <w:sz w:val="22"/>
          <w:szCs w:val="22"/>
        </w:rPr>
        <w:t>”</w:t>
      </w:r>
      <w:r w:rsidR="005C7AA4" w:rsidRPr="00A100A6">
        <w:rPr>
          <w:rFonts w:ascii="Tahoma" w:hAnsi="Tahoma" w:cs="Tahoma"/>
          <w:sz w:val="22"/>
          <w:szCs w:val="22"/>
        </w:rPr>
        <w:t xml:space="preserve"> respectively</w:t>
      </w:r>
      <w:r w:rsidR="0025061D" w:rsidRPr="00A100A6">
        <w:rPr>
          <w:rFonts w:ascii="Tahoma" w:hAnsi="Tahoma" w:cs="Tahoma"/>
          <w:sz w:val="22"/>
          <w:szCs w:val="22"/>
        </w:rPr>
        <w:t>.</w:t>
      </w:r>
    </w:p>
    <w:p w14:paraId="426FDC92" w14:textId="77777777" w:rsidR="006B1FEA" w:rsidRPr="00A100A6" w:rsidRDefault="006B1FEA" w:rsidP="001416A7">
      <w:pPr>
        <w:tabs>
          <w:tab w:val="left" w:pos="8640"/>
        </w:tabs>
        <w:autoSpaceDE w:val="0"/>
        <w:autoSpaceDN w:val="0"/>
        <w:adjustRightInd w:val="0"/>
        <w:spacing w:line="360" w:lineRule="auto"/>
        <w:ind w:left="0"/>
        <w:rPr>
          <w:rFonts w:ascii="Tahoma" w:hAnsi="Tahoma" w:cs="Tahoma"/>
          <w:sz w:val="22"/>
          <w:szCs w:val="22"/>
        </w:rPr>
      </w:pPr>
    </w:p>
    <w:p w14:paraId="586DB111" w14:textId="77777777" w:rsidR="0025061D" w:rsidRPr="00A100A6" w:rsidRDefault="0025061D" w:rsidP="001416A7">
      <w:pPr>
        <w:tabs>
          <w:tab w:val="left" w:pos="8640"/>
        </w:tabs>
        <w:autoSpaceDE w:val="0"/>
        <w:autoSpaceDN w:val="0"/>
        <w:adjustRightInd w:val="0"/>
        <w:spacing w:line="360" w:lineRule="auto"/>
        <w:ind w:left="0"/>
        <w:rPr>
          <w:rFonts w:ascii="Tahoma" w:hAnsi="Tahoma" w:cs="Tahoma"/>
          <w:b/>
          <w:sz w:val="22"/>
          <w:szCs w:val="22"/>
        </w:rPr>
      </w:pPr>
      <w:r w:rsidRPr="00A100A6">
        <w:rPr>
          <w:rFonts w:ascii="Tahoma" w:hAnsi="Tahoma" w:cs="Tahoma"/>
          <w:b/>
          <w:sz w:val="22"/>
          <w:szCs w:val="22"/>
        </w:rPr>
        <w:t>7.3 Classification of EBUs and public corporations</w:t>
      </w:r>
    </w:p>
    <w:p w14:paraId="032EC5D3" w14:textId="1D6A9975" w:rsidR="001F3B83" w:rsidRPr="00A100A6" w:rsidRDefault="0025061D" w:rsidP="001416A7">
      <w:pPr>
        <w:tabs>
          <w:tab w:val="left" w:pos="8640"/>
        </w:tabs>
        <w:autoSpaceDE w:val="0"/>
        <w:autoSpaceDN w:val="0"/>
        <w:adjustRightInd w:val="0"/>
        <w:spacing w:line="360" w:lineRule="auto"/>
        <w:ind w:left="0"/>
        <w:rPr>
          <w:rFonts w:ascii="Tahoma" w:hAnsi="Tahoma" w:cs="Tahoma"/>
          <w:sz w:val="22"/>
          <w:szCs w:val="22"/>
        </w:rPr>
      </w:pPr>
      <w:r w:rsidRPr="00A100A6">
        <w:rPr>
          <w:rFonts w:ascii="Tahoma" w:hAnsi="Tahoma" w:cs="Tahoma"/>
          <w:sz w:val="22"/>
          <w:szCs w:val="22"/>
        </w:rPr>
        <w:t xml:space="preserve">The mission on </w:t>
      </w:r>
      <w:proofErr w:type="spellStart"/>
      <w:r w:rsidRPr="00A100A6">
        <w:rPr>
          <w:rFonts w:ascii="Tahoma" w:hAnsi="Tahoma" w:cs="Tahoma"/>
          <w:sz w:val="22"/>
          <w:szCs w:val="22"/>
        </w:rPr>
        <w:t>Multisector</w:t>
      </w:r>
      <w:proofErr w:type="spellEnd"/>
      <w:r w:rsidRPr="00A100A6">
        <w:rPr>
          <w:rFonts w:ascii="Tahoma" w:hAnsi="Tahoma" w:cs="Tahoma"/>
          <w:sz w:val="22"/>
          <w:szCs w:val="22"/>
        </w:rPr>
        <w:t xml:space="preserve"> Statistics and Cross-Sector Data Consistency recomme</w:t>
      </w:r>
      <w:r w:rsidR="00FE44AE" w:rsidRPr="00A100A6">
        <w:rPr>
          <w:rFonts w:ascii="Tahoma" w:hAnsi="Tahoma" w:cs="Tahoma"/>
          <w:sz w:val="22"/>
          <w:szCs w:val="22"/>
        </w:rPr>
        <w:t>nded that the list of EBUs and Public C</w:t>
      </w:r>
      <w:r w:rsidRPr="00A100A6">
        <w:rPr>
          <w:rFonts w:ascii="Tahoma" w:hAnsi="Tahoma" w:cs="Tahoma"/>
          <w:sz w:val="22"/>
          <w:szCs w:val="22"/>
        </w:rPr>
        <w:t xml:space="preserve">orporations </w:t>
      </w:r>
      <w:r w:rsidR="00F2681E" w:rsidRPr="00A100A6">
        <w:rPr>
          <w:rFonts w:ascii="Tahoma" w:hAnsi="Tahoma" w:cs="Tahoma"/>
          <w:sz w:val="22"/>
          <w:szCs w:val="22"/>
        </w:rPr>
        <w:t xml:space="preserve">should be </w:t>
      </w:r>
      <w:r w:rsidRPr="00A100A6">
        <w:rPr>
          <w:rFonts w:ascii="Tahoma" w:hAnsi="Tahoma" w:cs="Tahoma"/>
          <w:sz w:val="22"/>
          <w:szCs w:val="22"/>
        </w:rPr>
        <w:t xml:space="preserve">examined regularly to ensure their </w:t>
      </w:r>
      <w:r w:rsidR="0027741B" w:rsidRPr="00A100A6">
        <w:rPr>
          <w:rFonts w:ascii="Tahoma" w:hAnsi="Tahoma" w:cs="Tahoma"/>
          <w:sz w:val="22"/>
          <w:szCs w:val="22"/>
        </w:rPr>
        <w:t>correct classification.</w:t>
      </w:r>
      <w:r w:rsidR="00656555" w:rsidRPr="00A100A6">
        <w:rPr>
          <w:rFonts w:ascii="Tahoma" w:hAnsi="Tahoma" w:cs="Tahoma"/>
          <w:sz w:val="22"/>
          <w:szCs w:val="22"/>
        </w:rPr>
        <w:t xml:space="preserve">  </w:t>
      </w:r>
      <w:r w:rsidR="002F1DD3">
        <w:rPr>
          <w:rFonts w:ascii="Tahoma" w:hAnsi="Tahoma" w:cs="Tahoma"/>
          <w:sz w:val="22"/>
          <w:szCs w:val="22"/>
        </w:rPr>
        <w:t>The last review was</w:t>
      </w:r>
      <w:r w:rsidR="00656555" w:rsidRPr="00A100A6">
        <w:rPr>
          <w:rFonts w:ascii="Tahoma" w:hAnsi="Tahoma" w:cs="Tahoma"/>
          <w:sz w:val="22"/>
          <w:szCs w:val="22"/>
        </w:rPr>
        <w:t xml:space="preserve"> carried out in 2018 based on the profitability of the </w:t>
      </w:r>
      <w:r w:rsidR="00FE44AE" w:rsidRPr="00A100A6">
        <w:rPr>
          <w:rFonts w:ascii="Tahoma" w:hAnsi="Tahoma" w:cs="Tahoma"/>
          <w:sz w:val="22"/>
          <w:szCs w:val="22"/>
        </w:rPr>
        <w:t>EBUs and Public Corporations</w:t>
      </w:r>
      <w:r w:rsidR="00894354" w:rsidRPr="00A100A6">
        <w:rPr>
          <w:rFonts w:ascii="Tahoma" w:hAnsi="Tahoma" w:cs="Tahoma"/>
          <w:sz w:val="22"/>
          <w:szCs w:val="22"/>
        </w:rPr>
        <w:t xml:space="preserve"> </w:t>
      </w:r>
      <w:r w:rsidR="00656555" w:rsidRPr="00A100A6">
        <w:rPr>
          <w:rFonts w:ascii="Tahoma" w:hAnsi="Tahoma" w:cs="Tahoma"/>
          <w:sz w:val="22"/>
          <w:szCs w:val="22"/>
        </w:rPr>
        <w:t>for the</w:t>
      </w:r>
      <w:r w:rsidR="00894354" w:rsidRPr="00A100A6">
        <w:rPr>
          <w:rFonts w:ascii="Tahoma" w:hAnsi="Tahoma" w:cs="Tahoma"/>
          <w:sz w:val="22"/>
          <w:szCs w:val="22"/>
        </w:rPr>
        <w:t xml:space="preserve"> last 4 years.  Two institutions namely, </w:t>
      </w:r>
      <w:r w:rsidR="00894354" w:rsidRPr="00A100A6">
        <w:rPr>
          <w:rFonts w:ascii="Tahoma" w:hAnsi="Tahoma" w:cs="Tahoma"/>
          <w:sz w:val="22"/>
          <w:szCs w:val="22"/>
          <w:u w:val="single"/>
        </w:rPr>
        <w:t>Mauritius Meat Authority</w:t>
      </w:r>
      <w:r w:rsidR="00894354" w:rsidRPr="00A100A6">
        <w:rPr>
          <w:rFonts w:ascii="Tahoma" w:hAnsi="Tahoma" w:cs="Tahoma"/>
          <w:sz w:val="22"/>
          <w:szCs w:val="22"/>
        </w:rPr>
        <w:t xml:space="preserve"> and </w:t>
      </w:r>
      <w:r w:rsidR="00894354" w:rsidRPr="00A100A6">
        <w:rPr>
          <w:rFonts w:ascii="Tahoma" w:hAnsi="Tahoma" w:cs="Tahoma"/>
          <w:sz w:val="22"/>
          <w:szCs w:val="22"/>
          <w:u w:val="single"/>
        </w:rPr>
        <w:t>Multi Carrier Mauritius Ltd</w:t>
      </w:r>
      <w:r w:rsidR="00894354" w:rsidRPr="00A100A6">
        <w:rPr>
          <w:rFonts w:ascii="Tahoma" w:hAnsi="Tahoma" w:cs="Tahoma"/>
          <w:sz w:val="22"/>
          <w:szCs w:val="22"/>
        </w:rPr>
        <w:t>, previously classified as Public Corporation has been reclassified as EBUs.</w:t>
      </w:r>
    </w:p>
    <w:p w14:paraId="3467F1AA" w14:textId="77777777" w:rsidR="00027D12" w:rsidRPr="00A100A6" w:rsidRDefault="00027D12" w:rsidP="001416A7">
      <w:pPr>
        <w:tabs>
          <w:tab w:val="left" w:pos="8640"/>
        </w:tabs>
        <w:autoSpaceDE w:val="0"/>
        <w:autoSpaceDN w:val="0"/>
        <w:adjustRightInd w:val="0"/>
        <w:spacing w:line="360" w:lineRule="auto"/>
        <w:ind w:left="0"/>
        <w:rPr>
          <w:rFonts w:ascii="Tahoma" w:hAnsi="Tahoma" w:cs="Tahoma"/>
          <w:sz w:val="22"/>
          <w:szCs w:val="22"/>
        </w:rPr>
      </w:pPr>
    </w:p>
    <w:p w14:paraId="12AEE194" w14:textId="77777777" w:rsidR="00712D16" w:rsidRPr="00A100A6" w:rsidRDefault="00027D12" w:rsidP="001416A7">
      <w:pPr>
        <w:tabs>
          <w:tab w:val="left" w:pos="8640"/>
        </w:tabs>
        <w:autoSpaceDE w:val="0"/>
        <w:autoSpaceDN w:val="0"/>
        <w:adjustRightInd w:val="0"/>
        <w:spacing w:line="360" w:lineRule="auto"/>
        <w:ind w:left="0"/>
        <w:rPr>
          <w:rFonts w:ascii="Tahoma" w:hAnsi="Tahoma" w:cs="Tahoma"/>
          <w:b/>
          <w:sz w:val="22"/>
          <w:szCs w:val="22"/>
        </w:rPr>
      </w:pPr>
      <w:r w:rsidRPr="00A100A6">
        <w:rPr>
          <w:rFonts w:ascii="Tahoma" w:hAnsi="Tahoma" w:cs="Tahoma"/>
          <w:b/>
          <w:sz w:val="22"/>
          <w:szCs w:val="22"/>
        </w:rPr>
        <w:t>7.4 Accrual treatment of Employment Related Pension Benefits</w:t>
      </w:r>
    </w:p>
    <w:p w14:paraId="5A109493" w14:textId="77777777" w:rsidR="00027D12" w:rsidRPr="00A100A6" w:rsidRDefault="00CE4081" w:rsidP="001416A7">
      <w:pPr>
        <w:tabs>
          <w:tab w:val="left" w:pos="8640"/>
        </w:tabs>
        <w:autoSpaceDE w:val="0"/>
        <w:autoSpaceDN w:val="0"/>
        <w:adjustRightInd w:val="0"/>
        <w:spacing w:line="360" w:lineRule="auto"/>
        <w:ind w:left="0"/>
        <w:rPr>
          <w:rFonts w:ascii="Tahoma" w:hAnsi="Tahoma" w:cs="Tahoma"/>
          <w:sz w:val="22"/>
          <w:szCs w:val="22"/>
        </w:rPr>
      </w:pPr>
      <w:r w:rsidRPr="00A100A6">
        <w:rPr>
          <w:rFonts w:ascii="Tahoma" w:hAnsi="Tahoma" w:cs="Tahoma"/>
          <w:sz w:val="22"/>
          <w:szCs w:val="22"/>
        </w:rPr>
        <w:t>Actual</w:t>
      </w:r>
      <w:r w:rsidR="00027D12" w:rsidRPr="00A100A6">
        <w:rPr>
          <w:rFonts w:ascii="Tahoma" w:hAnsi="Tahoma" w:cs="Tahoma"/>
          <w:sz w:val="22"/>
          <w:szCs w:val="22"/>
        </w:rPr>
        <w:t xml:space="preserve"> contribution</w:t>
      </w:r>
      <w:r w:rsidRPr="00A100A6">
        <w:rPr>
          <w:rFonts w:ascii="Tahoma" w:hAnsi="Tahoma" w:cs="Tahoma"/>
          <w:sz w:val="22"/>
          <w:szCs w:val="22"/>
        </w:rPr>
        <w:t xml:space="preserve">s from employees and imputed contributions from employers are now </w:t>
      </w:r>
      <w:r w:rsidR="000F3607" w:rsidRPr="00A100A6">
        <w:rPr>
          <w:rFonts w:ascii="Tahoma" w:hAnsi="Tahoma" w:cs="Tahoma"/>
          <w:sz w:val="22"/>
          <w:szCs w:val="22"/>
        </w:rPr>
        <w:t xml:space="preserve">being </w:t>
      </w:r>
      <w:r w:rsidRPr="00A100A6">
        <w:rPr>
          <w:rFonts w:ascii="Tahoma" w:hAnsi="Tahoma" w:cs="Tahoma"/>
          <w:sz w:val="22"/>
          <w:szCs w:val="22"/>
        </w:rPr>
        <w:t>treated as a</w:t>
      </w:r>
      <w:r w:rsidR="004D7A3D" w:rsidRPr="00A100A6">
        <w:rPr>
          <w:rFonts w:ascii="Tahoma" w:hAnsi="Tahoma" w:cs="Tahoma"/>
          <w:sz w:val="22"/>
          <w:szCs w:val="22"/>
        </w:rPr>
        <w:t xml:space="preserve">n incurrence </w:t>
      </w:r>
      <w:r w:rsidR="000F3607" w:rsidRPr="00A100A6">
        <w:rPr>
          <w:rFonts w:ascii="Tahoma" w:hAnsi="Tahoma" w:cs="Tahoma"/>
          <w:sz w:val="22"/>
          <w:szCs w:val="22"/>
        </w:rPr>
        <w:t>of</w:t>
      </w:r>
      <w:r w:rsidR="004D7A3D" w:rsidRPr="00A100A6">
        <w:rPr>
          <w:rFonts w:ascii="Tahoma" w:hAnsi="Tahoma" w:cs="Tahoma"/>
          <w:sz w:val="22"/>
          <w:szCs w:val="22"/>
        </w:rPr>
        <w:t xml:space="preserve"> liability (3306 </w:t>
      </w:r>
      <w:r w:rsidRPr="00A100A6">
        <w:rPr>
          <w:rFonts w:ascii="Tahoma" w:hAnsi="Tahoma" w:cs="Tahoma"/>
          <w:sz w:val="22"/>
          <w:szCs w:val="22"/>
        </w:rPr>
        <w:t>-</w:t>
      </w:r>
      <w:r w:rsidR="004D7A3D" w:rsidRPr="00A100A6">
        <w:rPr>
          <w:rFonts w:ascii="Tahoma" w:hAnsi="Tahoma" w:cs="Tahoma"/>
          <w:sz w:val="22"/>
          <w:szCs w:val="22"/>
        </w:rPr>
        <w:t xml:space="preserve"> </w:t>
      </w:r>
      <w:r w:rsidRPr="00A100A6">
        <w:rPr>
          <w:rFonts w:ascii="Tahoma" w:hAnsi="Tahoma" w:cs="Tahoma"/>
          <w:sz w:val="22"/>
          <w:szCs w:val="22"/>
        </w:rPr>
        <w:t>Pension and Insurance) instead of Revenue.  Similarly, p</w:t>
      </w:r>
      <w:r w:rsidR="00027D12" w:rsidRPr="00A100A6">
        <w:rPr>
          <w:rFonts w:ascii="Tahoma" w:hAnsi="Tahoma" w:cs="Tahoma"/>
          <w:sz w:val="22"/>
          <w:szCs w:val="22"/>
        </w:rPr>
        <w:t>ayments of employment related p</w:t>
      </w:r>
      <w:r w:rsidRPr="00A100A6">
        <w:rPr>
          <w:rFonts w:ascii="Tahoma" w:hAnsi="Tahoma" w:cs="Tahoma"/>
          <w:sz w:val="22"/>
          <w:szCs w:val="22"/>
        </w:rPr>
        <w:t xml:space="preserve">ension are now treated as </w:t>
      </w:r>
      <w:r w:rsidR="004D7A3D" w:rsidRPr="00A100A6">
        <w:rPr>
          <w:rFonts w:ascii="Tahoma" w:hAnsi="Tahoma" w:cs="Tahoma"/>
          <w:sz w:val="22"/>
          <w:szCs w:val="22"/>
        </w:rPr>
        <w:t>a reduction in liability (3306 -</w:t>
      </w:r>
      <w:r w:rsidRPr="00A100A6">
        <w:rPr>
          <w:rFonts w:ascii="Tahoma" w:hAnsi="Tahoma" w:cs="Tahoma"/>
          <w:sz w:val="22"/>
          <w:szCs w:val="22"/>
        </w:rPr>
        <w:t xml:space="preserve"> Pension and Insurance) instead of Expense.</w:t>
      </w:r>
    </w:p>
    <w:p w14:paraId="4920B2E1" w14:textId="77777777" w:rsidR="00FE44AE" w:rsidRPr="00A100A6" w:rsidRDefault="00FE44AE" w:rsidP="001416A7">
      <w:pPr>
        <w:tabs>
          <w:tab w:val="left" w:pos="8640"/>
        </w:tabs>
        <w:autoSpaceDE w:val="0"/>
        <w:autoSpaceDN w:val="0"/>
        <w:adjustRightInd w:val="0"/>
        <w:spacing w:line="360" w:lineRule="auto"/>
        <w:ind w:left="0"/>
        <w:rPr>
          <w:rFonts w:ascii="Tahoma" w:hAnsi="Tahoma" w:cs="Tahoma"/>
          <w:sz w:val="22"/>
          <w:szCs w:val="22"/>
        </w:rPr>
      </w:pPr>
    </w:p>
    <w:p w14:paraId="067B35A9" w14:textId="77777777" w:rsidR="000C076B" w:rsidRPr="00A100A6" w:rsidRDefault="000C076B" w:rsidP="001416A7">
      <w:pPr>
        <w:numPr>
          <w:ilvl w:val="0"/>
          <w:numId w:val="1"/>
        </w:numPr>
        <w:autoSpaceDE w:val="0"/>
        <w:autoSpaceDN w:val="0"/>
        <w:adjustRightInd w:val="0"/>
        <w:spacing w:line="360" w:lineRule="auto"/>
        <w:ind w:left="0" w:firstLine="0"/>
        <w:rPr>
          <w:rFonts w:ascii="Tahoma" w:hAnsi="Tahoma" w:cs="Tahoma"/>
          <w:b/>
          <w:sz w:val="22"/>
          <w:szCs w:val="22"/>
        </w:rPr>
      </w:pPr>
      <w:r w:rsidRPr="00A100A6">
        <w:rPr>
          <w:rFonts w:ascii="Tahoma" w:hAnsi="Tahoma" w:cs="Tahoma"/>
          <w:b/>
          <w:sz w:val="22"/>
          <w:szCs w:val="22"/>
        </w:rPr>
        <w:t>Consolidation</w:t>
      </w:r>
    </w:p>
    <w:p w14:paraId="3FC658A8" w14:textId="77777777" w:rsidR="000C076B" w:rsidRPr="00A100A6" w:rsidRDefault="000C076B" w:rsidP="001416A7">
      <w:pPr>
        <w:tabs>
          <w:tab w:val="left" w:pos="8640"/>
          <w:tab w:val="left" w:pos="9000"/>
        </w:tabs>
        <w:autoSpaceDE w:val="0"/>
        <w:autoSpaceDN w:val="0"/>
        <w:adjustRightInd w:val="0"/>
        <w:spacing w:line="360" w:lineRule="auto"/>
        <w:ind w:left="0"/>
        <w:rPr>
          <w:rFonts w:ascii="Tahoma" w:hAnsi="Tahoma" w:cs="Tahoma"/>
          <w:spacing w:val="4"/>
          <w:sz w:val="22"/>
          <w:szCs w:val="22"/>
        </w:rPr>
      </w:pPr>
      <w:r w:rsidRPr="00A100A6">
        <w:rPr>
          <w:rFonts w:ascii="Tahoma" w:hAnsi="Tahoma" w:cs="Tahoma"/>
          <w:sz w:val="22"/>
          <w:szCs w:val="22"/>
        </w:rPr>
        <w:t xml:space="preserve">It is </w:t>
      </w:r>
      <w:r w:rsidRPr="00A100A6">
        <w:rPr>
          <w:rFonts w:ascii="Tahoma" w:hAnsi="Tahoma" w:cs="Tahoma"/>
          <w:spacing w:val="4"/>
          <w:sz w:val="22"/>
          <w:szCs w:val="22"/>
        </w:rPr>
        <w:t xml:space="preserve">to be noted that the data for the central government subsector and the general government sector have been presented on a consolidated basis. The sum of the individual units of the sector to be consolidated does not add up to the data for the consolidated sector. All transactions and reciprocal stock positions among the government units being consolidated are eliminated. </w:t>
      </w:r>
      <w:r w:rsidRPr="00A100A6">
        <w:rPr>
          <w:rFonts w:ascii="Tahoma" w:hAnsi="Tahoma" w:cs="Tahoma"/>
          <w:spacing w:val="4"/>
          <w:sz w:val="22"/>
          <w:szCs w:val="22"/>
        </w:rPr>
        <w:lastRenderedPageBreak/>
        <w:t>Consolidation adjustments do not have an impact on the core government finance statistics (GFS) balancing items of net operating balance and net lending/borrowing, as the consolidation entries are symmetric within given accounts—it makes no difference whether consolidated or unconsolidated data are used in the calculation of these balances to measure “the overall impact” of the government on the economy or the rest of the world.</w:t>
      </w:r>
    </w:p>
    <w:p w14:paraId="3743EAB7" w14:textId="77777777" w:rsidR="000329BB" w:rsidRPr="00A100A6" w:rsidRDefault="000329BB" w:rsidP="001416A7">
      <w:pPr>
        <w:tabs>
          <w:tab w:val="left" w:pos="8640"/>
          <w:tab w:val="left" w:pos="9000"/>
        </w:tabs>
        <w:autoSpaceDE w:val="0"/>
        <w:autoSpaceDN w:val="0"/>
        <w:adjustRightInd w:val="0"/>
        <w:spacing w:line="360" w:lineRule="auto"/>
        <w:ind w:left="0"/>
        <w:rPr>
          <w:rFonts w:ascii="Tahoma" w:hAnsi="Tahoma" w:cs="Tahoma"/>
          <w:spacing w:val="4"/>
          <w:sz w:val="22"/>
          <w:szCs w:val="22"/>
        </w:rPr>
      </w:pPr>
    </w:p>
    <w:p w14:paraId="43904579" w14:textId="77777777" w:rsidR="000C076B" w:rsidRPr="00A100A6" w:rsidRDefault="000C076B" w:rsidP="001416A7">
      <w:pPr>
        <w:pStyle w:val="Heading6"/>
        <w:numPr>
          <w:ilvl w:val="0"/>
          <w:numId w:val="1"/>
        </w:numPr>
        <w:spacing w:line="360" w:lineRule="auto"/>
        <w:ind w:left="0" w:firstLine="0"/>
        <w:rPr>
          <w:rFonts w:cs="Tahoma"/>
          <w:sz w:val="22"/>
          <w:szCs w:val="22"/>
        </w:rPr>
      </w:pPr>
      <w:r w:rsidRPr="00A100A6">
        <w:rPr>
          <w:rFonts w:cs="Tahoma"/>
          <w:sz w:val="22"/>
          <w:szCs w:val="22"/>
        </w:rPr>
        <w:t>Coverage</w:t>
      </w:r>
    </w:p>
    <w:p w14:paraId="10C60861" w14:textId="77777777" w:rsidR="000C076B" w:rsidRPr="00A100A6" w:rsidRDefault="00BB6F6D" w:rsidP="001416A7">
      <w:pPr>
        <w:pStyle w:val="Heading6"/>
        <w:spacing w:line="360" w:lineRule="auto"/>
        <w:ind w:left="0"/>
        <w:rPr>
          <w:rFonts w:cs="Tahoma"/>
          <w:sz w:val="22"/>
          <w:szCs w:val="22"/>
        </w:rPr>
      </w:pPr>
      <w:r w:rsidRPr="00A100A6">
        <w:rPr>
          <w:rFonts w:cs="Tahoma"/>
          <w:sz w:val="22"/>
          <w:szCs w:val="22"/>
        </w:rPr>
        <w:t>9</w:t>
      </w:r>
      <w:r w:rsidR="000C076B" w:rsidRPr="00A100A6">
        <w:rPr>
          <w:rFonts w:cs="Tahoma"/>
          <w:sz w:val="22"/>
          <w:szCs w:val="22"/>
        </w:rPr>
        <w:t>.1 The General Government Sector</w:t>
      </w:r>
    </w:p>
    <w:p w14:paraId="183C276A" w14:textId="77777777" w:rsidR="000C076B" w:rsidRPr="00A100A6" w:rsidRDefault="006B1FEA" w:rsidP="001416A7">
      <w:pPr>
        <w:tabs>
          <w:tab w:val="left" w:pos="8730"/>
        </w:tabs>
        <w:spacing w:line="360" w:lineRule="auto"/>
        <w:ind w:left="0"/>
        <w:rPr>
          <w:rFonts w:ascii="Tahoma" w:hAnsi="Tahoma" w:cs="Tahoma"/>
          <w:spacing w:val="4"/>
          <w:sz w:val="22"/>
          <w:szCs w:val="22"/>
        </w:rPr>
      </w:pPr>
      <w:r w:rsidRPr="00A100A6">
        <w:rPr>
          <w:rFonts w:ascii="Tahoma" w:hAnsi="Tahoma" w:cs="Tahoma"/>
          <w:b/>
          <w:spacing w:val="4"/>
          <w:sz w:val="22"/>
          <w:szCs w:val="22"/>
        </w:rPr>
        <w:t xml:space="preserve"> </w:t>
      </w:r>
      <w:r w:rsidR="000C076B" w:rsidRPr="00A100A6">
        <w:rPr>
          <w:rFonts w:ascii="Tahoma" w:hAnsi="Tahoma" w:cs="Tahoma"/>
          <w:b/>
          <w:spacing w:val="4"/>
          <w:sz w:val="22"/>
          <w:szCs w:val="22"/>
        </w:rPr>
        <w:t>Government</w:t>
      </w:r>
      <w:r w:rsidR="000C076B" w:rsidRPr="00A100A6">
        <w:rPr>
          <w:rFonts w:ascii="Tahoma" w:hAnsi="Tahoma" w:cs="Tahoma"/>
          <w:spacing w:val="4"/>
          <w:sz w:val="22"/>
          <w:szCs w:val="22"/>
        </w:rPr>
        <w:t xml:space="preserve"> is defined as consisting of all units performing Government functions: that is, the implementation of public policy through the provision of primarily non-market services and the transfer of income, supported mainly by compulsory levies.</w:t>
      </w:r>
    </w:p>
    <w:p w14:paraId="56C0CD7F" w14:textId="77777777" w:rsidR="000C076B" w:rsidRPr="00A100A6" w:rsidRDefault="000C076B" w:rsidP="001416A7">
      <w:pPr>
        <w:spacing w:line="360" w:lineRule="auto"/>
        <w:ind w:left="0"/>
        <w:rPr>
          <w:rFonts w:ascii="Tahoma" w:hAnsi="Tahoma" w:cs="Tahoma"/>
          <w:spacing w:val="4"/>
          <w:sz w:val="22"/>
          <w:szCs w:val="22"/>
        </w:rPr>
      </w:pPr>
    </w:p>
    <w:p w14:paraId="3D985F9F" w14:textId="77777777" w:rsidR="000C076B" w:rsidRPr="00A100A6" w:rsidRDefault="000C076B" w:rsidP="001416A7">
      <w:pPr>
        <w:spacing w:line="360" w:lineRule="auto"/>
        <w:ind w:left="0"/>
        <w:rPr>
          <w:rFonts w:ascii="Tahoma" w:hAnsi="Tahoma" w:cs="Tahoma"/>
          <w:spacing w:val="4"/>
          <w:sz w:val="22"/>
          <w:szCs w:val="22"/>
        </w:rPr>
      </w:pPr>
      <w:r w:rsidRPr="00A100A6">
        <w:rPr>
          <w:rFonts w:ascii="Tahoma" w:hAnsi="Tahoma" w:cs="Tahoma"/>
          <w:spacing w:val="4"/>
          <w:sz w:val="22"/>
          <w:szCs w:val="22"/>
        </w:rPr>
        <w:t>The</w:t>
      </w:r>
      <w:r w:rsidRPr="00A100A6">
        <w:rPr>
          <w:rFonts w:ascii="Tahoma" w:hAnsi="Tahoma" w:cs="Tahoma"/>
          <w:b/>
          <w:spacing w:val="4"/>
          <w:sz w:val="22"/>
          <w:szCs w:val="22"/>
        </w:rPr>
        <w:t xml:space="preserve"> General Government</w:t>
      </w:r>
      <w:r w:rsidRPr="00A100A6">
        <w:rPr>
          <w:rFonts w:ascii="Tahoma" w:hAnsi="Tahoma" w:cs="Tahoma"/>
          <w:spacing w:val="4"/>
          <w:sz w:val="22"/>
          <w:szCs w:val="22"/>
        </w:rPr>
        <w:t xml:space="preserve"> sector is made up of (</w:t>
      </w:r>
      <w:proofErr w:type="spellStart"/>
      <w:r w:rsidRPr="00A100A6">
        <w:rPr>
          <w:rFonts w:ascii="Tahoma" w:hAnsi="Tahoma" w:cs="Tahoma"/>
          <w:spacing w:val="4"/>
          <w:sz w:val="22"/>
          <w:szCs w:val="22"/>
        </w:rPr>
        <w:t>i</w:t>
      </w:r>
      <w:proofErr w:type="spellEnd"/>
      <w:r w:rsidRPr="00A100A6">
        <w:rPr>
          <w:rFonts w:ascii="Tahoma" w:hAnsi="Tahoma" w:cs="Tahoma"/>
          <w:spacing w:val="4"/>
          <w:sz w:val="22"/>
          <w:szCs w:val="22"/>
        </w:rPr>
        <w:t>) Central Government (ii) Regional Government and (iii) Local Government.</w:t>
      </w:r>
    </w:p>
    <w:p w14:paraId="08675E20" w14:textId="77777777" w:rsidR="00C84E84" w:rsidRDefault="00C84E84" w:rsidP="001416A7">
      <w:pPr>
        <w:spacing w:line="360" w:lineRule="auto"/>
        <w:ind w:left="0"/>
        <w:rPr>
          <w:rFonts w:ascii="Tahoma" w:hAnsi="Tahoma" w:cs="Tahoma"/>
          <w:b/>
          <w:bCs/>
          <w:spacing w:val="4"/>
          <w:sz w:val="22"/>
          <w:szCs w:val="22"/>
        </w:rPr>
      </w:pPr>
    </w:p>
    <w:p w14:paraId="1EE7FAA7" w14:textId="7CA740FF" w:rsidR="00712D16" w:rsidRPr="00A100A6" w:rsidRDefault="000C076B" w:rsidP="001416A7">
      <w:pPr>
        <w:spacing w:line="360" w:lineRule="auto"/>
        <w:ind w:left="0"/>
        <w:rPr>
          <w:rFonts w:ascii="Tahoma" w:hAnsi="Tahoma" w:cs="Tahoma"/>
          <w:spacing w:val="4"/>
          <w:sz w:val="22"/>
          <w:szCs w:val="22"/>
        </w:rPr>
      </w:pPr>
      <w:r w:rsidRPr="00A100A6">
        <w:rPr>
          <w:rFonts w:ascii="Tahoma" w:hAnsi="Tahoma" w:cs="Tahoma"/>
          <w:b/>
          <w:bCs/>
          <w:spacing w:val="4"/>
          <w:sz w:val="22"/>
          <w:szCs w:val="22"/>
        </w:rPr>
        <w:t>(</w:t>
      </w:r>
      <w:proofErr w:type="spellStart"/>
      <w:r w:rsidRPr="00A100A6">
        <w:rPr>
          <w:rFonts w:ascii="Tahoma" w:hAnsi="Tahoma" w:cs="Tahoma"/>
          <w:b/>
          <w:bCs/>
          <w:spacing w:val="4"/>
          <w:sz w:val="22"/>
          <w:szCs w:val="22"/>
        </w:rPr>
        <w:t>i</w:t>
      </w:r>
      <w:proofErr w:type="spellEnd"/>
      <w:r w:rsidRPr="00A100A6">
        <w:rPr>
          <w:rFonts w:ascii="Tahoma" w:hAnsi="Tahoma" w:cs="Tahoma"/>
          <w:b/>
          <w:bCs/>
          <w:spacing w:val="4"/>
          <w:sz w:val="22"/>
          <w:szCs w:val="22"/>
        </w:rPr>
        <w:t>)</w:t>
      </w:r>
      <w:r w:rsidRPr="00A100A6">
        <w:rPr>
          <w:rFonts w:ascii="Tahoma" w:hAnsi="Tahoma" w:cs="Tahoma"/>
          <w:spacing w:val="4"/>
          <w:sz w:val="22"/>
          <w:szCs w:val="22"/>
        </w:rPr>
        <w:t xml:space="preserve"> </w:t>
      </w:r>
      <w:r w:rsidRPr="00A100A6">
        <w:rPr>
          <w:rFonts w:ascii="Tahoma" w:hAnsi="Tahoma" w:cs="Tahoma"/>
          <w:b/>
          <w:spacing w:val="4"/>
          <w:sz w:val="22"/>
          <w:szCs w:val="22"/>
        </w:rPr>
        <w:t>Central Government</w:t>
      </w:r>
      <w:r w:rsidRPr="00A100A6">
        <w:rPr>
          <w:rFonts w:ascii="Tahoma" w:hAnsi="Tahoma" w:cs="Tahoma"/>
          <w:spacing w:val="4"/>
          <w:sz w:val="22"/>
          <w:szCs w:val="22"/>
        </w:rPr>
        <w:t xml:space="preserve"> covers all units that are agencies of the country's central authority. It consists of </w:t>
      </w:r>
      <w:r w:rsidRPr="00633020">
        <w:rPr>
          <w:rFonts w:ascii="Tahoma" w:hAnsi="Tahoma" w:cs="Tahoma"/>
          <w:spacing w:val="4"/>
          <w:sz w:val="22"/>
          <w:szCs w:val="22"/>
          <w:u w:val="single"/>
        </w:rPr>
        <w:t>Budgetary Central Government</w:t>
      </w:r>
      <w:r w:rsidR="00481EAB" w:rsidRPr="00A100A6">
        <w:rPr>
          <w:rFonts w:ascii="Tahoma" w:hAnsi="Tahoma" w:cs="Tahoma"/>
          <w:spacing w:val="4"/>
          <w:sz w:val="22"/>
          <w:szCs w:val="22"/>
        </w:rPr>
        <w:t xml:space="preserve"> and</w:t>
      </w:r>
      <w:r w:rsidRPr="00A100A6">
        <w:rPr>
          <w:rFonts w:ascii="Tahoma" w:hAnsi="Tahoma" w:cs="Tahoma"/>
          <w:spacing w:val="4"/>
          <w:sz w:val="22"/>
          <w:szCs w:val="22"/>
        </w:rPr>
        <w:t xml:space="preserve"> </w:t>
      </w:r>
      <w:r w:rsidRPr="00633020">
        <w:rPr>
          <w:rFonts w:ascii="Tahoma" w:hAnsi="Tahoma" w:cs="Tahoma"/>
          <w:spacing w:val="4"/>
          <w:sz w:val="22"/>
          <w:szCs w:val="22"/>
          <w:u w:val="single"/>
        </w:rPr>
        <w:t>Extra Budgetary Units</w:t>
      </w:r>
      <w:r w:rsidR="00633020">
        <w:rPr>
          <w:rFonts w:ascii="Tahoma" w:hAnsi="Tahoma" w:cs="Tahoma"/>
          <w:spacing w:val="4"/>
          <w:sz w:val="22"/>
          <w:szCs w:val="22"/>
        </w:rPr>
        <w:t>.</w:t>
      </w:r>
      <w:r w:rsidR="006F5CA8">
        <w:rPr>
          <w:rFonts w:ascii="Tahoma" w:hAnsi="Tahoma" w:cs="Tahoma"/>
          <w:spacing w:val="4"/>
          <w:sz w:val="22"/>
          <w:szCs w:val="22"/>
        </w:rPr>
        <w:t xml:space="preserve"> </w:t>
      </w:r>
      <w:r w:rsidRPr="00633020">
        <w:rPr>
          <w:rFonts w:ascii="Tahoma" w:hAnsi="Tahoma" w:cs="Tahoma"/>
          <w:spacing w:val="4"/>
          <w:sz w:val="22"/>
          <w:szCs w:val="22"/>
          <w:u w:val="single"/>
        </w:rPr>
        <w:t>Budgetary Central Government</w:t>
      </w:r>
      <w:r w:rsidRPr="00A100A6">
        <w:rPr>
          <w:rFonts w:ascii="Tahoma" w:hAnsi="Tahoma" w:cs="Tahoma"/>
          <w:spacing w:val="4"/>
          <w:sz w:val="22"/>
          <w:szCs w:val="22"/>
        </w:rPr>
        <w:t xml:space="preserve"> includes all ministries and departments. </w:t>
      </w:r>
      <w:r w:rsidRPr="00633020">
        <w:rPr>
          <w:rFonts w:ascii="Tahoma" w:hAnsi="Tahoma" w:cs="Tahoma"/>
          <w:spacing w:val="4"/>
          <w:sz w:val="22"/>
          <w:szCs w:val="22"/>
          <w:u w:val="single"/>
        </w:rPr>
        <w:t>Extra Budgetary Units</w:t>
      </w:r>
      <w:r w:rsidR="00AD6AAA">
        <w:rPr>
          <w:rFonts w:ascii="Tahoma" w:hAnsi="Tahoma" w:cs="Tahoma"/>
          <w:spacing w:val="4"/>
          <w:sz w:val="22"/>
          <w:szCs w:val="22"/>
          <w:u w:val="single"/>
        </w:rPr>
        <w:t xml:space="preserve"> </w:t>
      </w:r>
      <w:r w:rsidR="00AD6AAA" w:rsidRPr="00AD6AAA">
        <w:rPr>
          <w:rFonts w:ascii="Tahoma" w:hAnsi="Tahoma" w:cs="Tahoma"/>
          <w:spacing w:val="4"/>
          <w:sz w:val="22"/>
          <w:szCs w:val="22"/>
        </w:rPr>
        <w:t>(including special funds)</w:t>
      </w:r>
      <w:r w:rsidRPr="00A100A6">
        <w:rPr>
          <w:rFonts w:ascii="Tahoma" w:hAnsi="Tahoma" w:cs="Tahoma"/>
          <w:spacing w:val="4"/>
          <w:sz w:val="22"/>
          <w:szCs w:val="22"/>
        </w:rPr>
        <w:t xml:space="preserve"> are agencies responsible for the performance of specialised governmental functions in such fields as health, education, social welfare, construction and so on, under the authority of Central Government. </w:t>
      </w:r>
    </w:p>
    <w:p w14:paraId="4487943C" w14:textId="77777777" w:rsidR="00481EAB" w:rsidRPr="00A100A6" w:rsidRDefault="00481EAB" w:rsidP="001416A7">
      <w:pPr>
        <w:spacing w:line="360" w:lineRule="auto"/>
        <w:ind w:left="0"/>
        <w:rPr>
          <w:rFonts w:ascii="Tahoma" w:hAnsi="Tahoma" w:cs="Tahoma"/>
          <w:spacing w:val="4"/>
          <w:sz w:val="22"/>
          <w:szCs w:val="22"/>
        </w:rPr>
      </w:pPr>
    </w:p>
    <w:p w14:paraId="204EAB26" w14:textId="77777777" w:rsidR="000C076B" w:rsidRPr="00A100A6" w:rsidRDefault="00481EAB" w:rsidP="001416A7">
      <w:pPr>
        <w:spacing w:line="360" w:lineRule="auto"/>
        <w:ind w:left="0"/>
        <w:rPr>
          <w:rFonts w:ascii="Tahoma" w:hAnsi="Tahoma" w:cs="Tahoma"/>
          <w:spacing w:val="4"/>
          <w:sz w:val="22"/>
          <w:szCs w:val="22"/>
        </w:rPr>
      </w:pPr>
      <w:r w:rsidRPr="00A100A6">
        <w:rPr>
          <w:rFonts w:ascii="Tahoma" w:hAnsi="Tahoma" w:cs="Tahoma"/>
          <w:b/>
          <w:spacing w:val="4"/>
          <w:sz w:val="22"/>
          <w:szCs w:val="22"/>
        </w:rPr>
        <w:t xml:space="preserve">(ii) </w:t>
      </w:r>
      <w:r w:rsidR="000C076B" w:rsidRPr="00A100A6">
        <w:rPr>
          <w:rFonts w:ascii="Tahoma" w:hAnsi="Tahoma" w:cs="Tahoma"/>
          <w:b/>
          <w:spacing w:val="4"/>
          <w:sz w:val="22"/>
          <w:szCs w:val="22"/>
        </w:rPr>
        <w:t>Social Security Schemes</w:t>
      </w:r>
      <w:r w:rsidR="000C076B" w:rsidRPr="00A100A6">
        <w:rPr>
          <w:rFonts w:ascii="Tahoma" w:hAnsi="Tahoma" w:cs="Tahoma"/>
          <w:spacing w:val="4"/>
          <w:sz w:val="22"/>
          <w:szCs w:val="22"/>
        </w:rPr>
        <w:t xml:space="preserve"> are schemes imposed, controlled or financed by the public authorities for the purpose of providing social security benefits for the community.  Included here</w:t>
      </w:r>
      <w:r w:rsidR="00C72B4A">
        <w:rPr>
          <w:rFonts w:ascii="Tahoma" w:hAnsi="Tahoma" w:cs="Tahoma"/>
          <w:spacing w:val="4"/>
          <w:sz w:val="22"/>
          <w:szCs w:val="22"/>
        </w:rPr>
        <w:t xml:space="preserve"> are</w:t>
      </w:r>
      <w:r w:rsidR="00633020">
        <w:rPr>
          <w:rFonts w:ascii="Tahoma" w:hAnsi="Tahoma" w:cs="Tahoma"/>
          <w:spacing w:val="4"/>
          <w:sz w:val="22"/>
          <w:szCs w:val="22"/>
        </w:rPr>
        <w:t xml:space="preserve"> the National Pensions Fund</w:t>
      </w:r>
      <w:r w:rsidRPr="00A100A6">
        <w:rPr>
          <w:rFonts w:ascii="Tahoma" w:hAnsi="Tahoma" w:cs="Tahoma"/>
          <w:spacing w:val="4"/>
          <w:sz w:val="22"/>
          <w:szCs w:val="22"/>
        </w:rPr>
        <w:t xml:space="preserve"> and the National Savings Fund-Transitional Unemployment Benefit (NSF-TUB)</w:t>
      </w:r>
      <w:r w:rsidR="000C076B" w:rsidRPr="00A100A6">
        <w:rPr>
          <w:rFonts w:ascii="Tahoma" w:hAnsi="Tahoma" w:cs="Tahoma"/>
          <w:spacing w:val="4"/>
          <w:sz w:val="22"/>
          <w:szCs w:val="22"/>
        </w:rPr>
        <w:t>.</w:t>
      </w:r>
    </w:p>
    <w:p w14:paraId="0508931F" w14:textId="77777777" w:rsidR="000C076B" w:rsidRPr="00A100A6" w:rsidRDefault="000C076B" w:rsidP="001416A7">
      <w:pPr>
        <w:spacing w:line="360" w:lineRule="auto"/>
        <w:ind w:left="0"/>
        <w:rPr>
          <w:rFonts w:ascii="Tahoma" w:hAnsi="Tahoma" w:cs="Tahoma"/>
          <w:spacing w:val="4"/>
          <w:sz w:val="22"/>
          <w:szCs w:val="22"/>
        </w:rPr>
      </w:pPr>
      <w:r w:rsidRPr="00A100A6">
        <w:rPr>
          <w:rFonts w:ascii="Tahoma" w:hAnsi="Tahoma" w:cs="Tahoma"/>
          <w:spacing w:val="4"/>
          <w:sz w:val="22"/>
          <w:szCs w:val="22"/>
        </w:rPr>
        <w:t xml:space="preserve"> </w:t>
      </w:r>
    </w:p>
    <w:p w14:paraId="3500B639" w14:textId="77777777" w:rsidR="000C076B" w:rsidRPr="00A100A6" w:rsidRDefault="000C076B" w:rsidP="001416A7">
      <w:pPr>
        <w:spacing w:line="360" w:lineRule="auto"/>
        <w:ind w:left="0"/>
        <w:rPr>
          <w:rFonts w:ascii="Tahoma" w:hAnsi="Tahoma" w:cs="Tahoma"/>
          <w:spacing w:val="4"/>
          <w:sz w:val="22"/>
          <w:szCs w:val="22"/>
        </w:rPr>
      </w:pPr>
      <w:r w:rsidRPr="00A100A6">
        <w:rPr>
          <w:rFonts w:ascii="Tahoma" w:hAnsi="Tahoma" w:cs="Tahoma"/>
          <w:b/>
          <w:bCs/>
          <w:spacing w:val="4"/>
          <w:sz w:val="22"/>
          <w:szCs w:val="22"/>
        </w:rPr>
        <w:t>(ii</w:t>
      </w:r>
      <w:r w:rsidR="00481EAB" w:rsidRPr="00A100A6">
        <w:rPr>
          <w:rFonts w:ascii="Tahoma" w:hAnsi="Tahoma" w:cs="Tahoma"/>
          <w:b/>
          <w:bCs/>
          <w:spacing w:val="4"/>
          <w:sz w:val="22"/>
          <w:szCs w:val="22"/>
        </w:rPr>
        <w:t>i</w:t>
      </w:r>
      <w:r w:rsidRPr="00A100A6">
        <w:rPr>
          <w:rFonts w:ascii="Tahoma" w:hAnsi="Tahoma" w:cs="Tahoma"/>
          <w:b/>
          <w:bCs/>
          <w:spacing w:val="4"/>
          <w:sz w:val="22"/>
          <w:szCs w:val="22"/>
        </w:rPr>
        <w:t xml:space="preserve">) Regional Government </w:t>
      </w:r>
      <w:r w:rsidRPr="00A100A6">
        <w:rPr>
          <w:rFonts w:ascii="Tahoma" w:hAnsi="Tahoma" w:cs="Tahoma"/>
          <w:spacing w:val="4"/>
          <w:sz w:val="22"/>
          <w:szCs w:val="22"/>
        </w:rPr>
        <w:t>consists of the administration of Rodrigues.</w:t>
      </w:r>
    </w:p>
    <w:p w14:paraId="775B77C1" w14:textId="77777777" w:rsidR="000C076B" w:rsidRPr="00A100A6" w:rsidRDefault="000C076B" w:rsidP="001416A7">
      <w:pPr>
        <w:spacing w:line="360" w:lineRule="auto"/>
        <w:ind w:left="0"/>
        <w:rPr>
          <w:rFonts w:ascii="Tahoma" w:hAnsi="Tahoma" w:cs="Tahoma"/>
          <w:b/>
          <w:bCs/>
          <w:spacing w:val="4"/>
          <w:sz w:val="22"/>
          <w:szCs w:val="22"/>
        </w:rPr>
      </w:pPr>
    </w:p>
    <w:p w14:paraId="0B0E1928" w14:textId="4D8AFF93" w:rsidR="000C076B" w:rsidRPr="00A100A6" w:rsidRDefault="000C076B" w:rsidP="001416A7">
      <w:pPr>
        <w:spacing w:line="360" w:lineRule="auto"/>
        <w:ind w:left="0"/>
        <w:rPr>
          <w:rFonts w:ascii="Tahoma" w:hAnsi="Tahoma" w:cs="Tahoma"/>
          <w:spacing w:val="4"/>
          <w:sz w:val="22"/>
          <w:szCs w:val="22"/>
        </w:rPr>
      </w:pPr>
      <w:r w:rsidRPr="00A100A6">
        <w:rPr>
          <w:rFonts w:ascii="Tahoma" w:hAnsi="Tahoma" w:cs="Tahoma"/>
          <w:b/>
          <w:bCs/>
          <w:spacing w:val="4"/>
          <w:sz w:val="22"/>
          <w:szCs w:val="22"/>
        </w:rPr>
        <w:t>(</w:t>
      </w:r>
      <w:r w:rsidR="00481EAB" w:rsidRPr="00A100A6">
        <w:rPr>
          <w:rFonts w:ascii="Tahoma" w:hAnsi="Tahoma" w:cs="Tahoma"/>
          <w:b/>
          <w:bCs/>
          <w:spacing w:val="4"/>
          <w:sz w:val="22"/>
          <w:szCs w:val="22"/>
        </w:rPr>
        <w:t>iv</w:t>
      </w:r>
      <w:r w:rsidRPr="00A100A6">
        <w:rPr>
          <w:rFonts w:ascii="Tahoma" w:hAnsi="Tahoma" w:cs="Tahoma"/>
          <w:b/>
          <w:bCs/>
          <w:spacing w:val="4"/>
          <w:sz w:val="22"/>
          <w:szCs w:val="22"/>
        </w:rPr>
        <w:t>)</w:t>
      </w:r>
      <w:r w:rsidRPr="00A100A6">
        <w:rPr>
          <w:rFonts w:ascii="Tahoma" w:hAnsi="Tahoma" w:cs="Tahoma"/>
          <w:spacing w:val="4"/>
          <w:sz w:val="22"/>
          <w:szCs w:val="22"/>
        </w:rPr>
        <w:t xml:space="preserve"> </w:t>
      </w:r>
      <w:r w:rsidRPr="00A100A6">
        <w:rPr>
          <w:rFonts w:ascii="Tahoma" w:hAnsi="Tahoma" w:cs="Tahoma"/>
          <w:b/>
          <w:spacing w:val="4"/>
          <w:sz w:val="22"/>
          <w:szCs w:val="22"/>
        </w:rPr>
        <w:t>Local Government</w:t>
      </w:r>
      <w:r w:rsidRPr="00A100A6">
        <w:rPr>
          <w:rFonts w:ascii="Tahoma" w:hAnsi="Tahoma" w:cs="Tahoma"/>
          <w:spacing w:val="4"/>
          <w:sz w:val="22"/>
          <w:szCs w:val="22"/>
        </w:rPr>
        <w:t xml:space="preserve"> consists of municipalities and dis</w:t>
      </w:r>
      <w:r w:rsidR="002738B0">
        <w:rPr>
          <w:rFonts w:ascii="Tahoma" w:hAnsi="Tahoma" w:cs="Tahoma"/>
          <w:spacing w:val="4"/>
          <w:sz w:val="22"/>
          <w:szCs w:val="22"/>
        </w:rPr>
        <w:t>trict councils</w:t>
      </w:r>
      <w:r w:rsidR="000C447F">
        <w:rPr>
          <w:rFonts w:ascii="Tahoma" w:hAnsi="Tahoma" w:cs="Tahoma"/>
          <w:spacing w:val="4"/>
          <w:sz w:val="22"/>
          <w:szCs w:val="22"/>
        </w:rPr>
        <w:t xml:space="preserve"> </w:t>
      </w:r>
      <w:r w:rsidRPr="00A100A6">
        <w:rPr>
          <w:rFonts w:ascii="Tahoma" w:hAnsi="Tahoma" w:cs="Tahoma"/>
          <w:spacing w:val="4"/>
          <w:sz w:val="22"/>
          <w:szCs w:val="22"/>
        </w:rPr>
        <w:t>exercising an independent competence as government units.</w:t>
      </w:r>
    </w:p>
    <w:p w14:paraId="784CDA05" w14:textId="77777777" w:rsidR="00E4353C" w:rsidRDefault="00E4353C" w:rsidP="001416A7">
      <w:pPr>
        <w:pStyle w:val="Heading5"/>
        <w:spacing w:line="360" w:lineRule="auto"/>
        <w:ind w:left="0"/>
        <w:rPr>
          <w:rFonts w:cs="Tahoma"/>
          <w:sz w:val="22"/>
          <w:szCs w:val="22"/>
        </w:rPr>
      </w:pPr>
    </w:p>
    <w:p w14:paraId="7770CAE0" w14:textId="679C754C" w:rsidR="000C076B" w:rsidRPr="00A100A6" w:rsidRDefault="000329BB" w:rsidP="001416A7">
      <w:pPr>
        <w:pStyle w:val="Heading5"/>
        <w:spacing w:line="360" w:lineRule="auto"/>
        <w:ind w:left="0"/>
        <w:rPr>
          <w:rFonts w:cs="Tahoma"/>
          <w:sz w:val="22"/>
          <w:szCs w:val="22"/>
        </w:rPr>
      </w:pPr>
      <w:r w:rsidRPr="00A100A6">
        <w:rPr>
          <w:rFonts w:cs="Tahoma"/>
          <w:sz w:val="22"/>
          <w:szCs w:val="22"/>
        </w:rPr>
        <w:t>9</w:t>
      </w:r>
      <w:r w:rsidR="000C076B" w:rsidRPr="00A100A6">
        <w:rPr>
          <w:rFonts w:cs="Tahoma"/>
          <w:sz w:val="22"/>
          <w:szCs w:val="22"/>
        </w:rPr>
        <w:t>.2</w:t>
      </w:r>
      <w:r w:rsidR="00851C7A" w:rsidRPr="00A100A6">
        <w:rPr>
          <w:rFonts w:cs="Tahoma"/>
          <w:sz w:val="22"/>
          <w:szCs w:val="22"/>
        </w:rPr>
        <w:t xml:space="preserve"> </w:t>
      </w:r>
      <w:r w:rsidR="000C076B" w:rsidRPr="00A100A6">
        <w:rPr>
          <w:rFonts w:cs="Tahoma"/>
          <w:sz w:val="22"/>
          <w:szCs w:val="22"/>
        </w:rPr>
        <w:t>The Public Sector</w:t>
      </w:r>
    </w:p>
    <w:p w14:paraId="3D23E5A4" w14:textId="77777777" w:rsidR="000C076B" w:rsidRPr="00A100A6" w:rsidRDefault="000C076B" w:rsidP="001416A7">
      <w:pPr>
        <w:spacing w:line="360" w:lineRule="auto"/>
        <w:ind w:left="0"/>
        <w:rPr>
          <w:rFonts w:ascii="Tahoma" w:hAnsi="Tahoma" w:cs="Tahoma"/>
          <w:spacing w:val="4"/>
          <w:sz w:val="22"/>
          <w:szCs w:val="22"/>
        </w:rPr>
      </w:pPr>
      <w:r w:rsidRPr="00A100A6">
        <w:rPr>
          <w:rFonts w:ascii="Tahoma" w:hAnsi="Tahoma" w:cs="Tahoma"/>
          <w:spacing w:val="4"/>
          <w:sz w:val="22"/>
          <w:szCs w:val="22"/>
        </w:rPr>
        <w:t xml:space="preserve">The </w:t>
      </w:r>
      <w:r w:rsidRPr="00A100A6">
        <w:rPr>
          <w:rFonts w:ascii="Tahoma" w:hAnsi="Tahoma" w:cs="Tahoma"/>
          <w:b/>
          <w:spacing w:val="4"/>
          <w:sz w:val="22"/>
          <w:szCs w:val="22"/>
        </w:rPr>
        <w:t>Public Sector</w:t>
      </w:r>
      <w:r w:rsidRPr="00A100A6">
        <w:rPr>
          <w:rFonts w:ascii="Tahoma" w:hAnsi="Tahoma" w:cs="Tahoma"/>
          <w:spacing w:val="4"/>
          <w:sz w:val="22"/>
          <w:szCs w:val="22"/>
        </w:rPr>
        <w:t xml:space="preserve"> consists of the general government sector, non-financia</w:t>
      </w:r>
      <w:r w:rsidR="00090D3E">
        <w:rPr>
          <w:rFonts w:ascii="Tahoma" w:hAnsi="Tahoma" w:cs="Tahoma"/>
          <w:spacing w:val="4"/>
          <w:sz w:val="22"/>
          <w:szCs w:val="22"/>
        </w:rPr>
        <w:t xml:space="preserve">l public corporations and </w:t>
      </w:r>
      <w:r w:rsidRPr="00A100A6">
        <w:rPr>
          <w:rFonts w:ascii="Tahoma" w:hAnsi="Tahoma" w:cs="Tahoma"/>
          <w:spacing w:val="4"/>
          <w:sz w:val="22"/>
          <w:szCs w:val="22"/>
        </w:rPr>
        <w:t>financial</w:t>
      </w:r>
      <w:r w:rsidR="00090D3E">
        <w:rPr>
          <w:rFonts w:ascii="Tahoma" w:hAnsi="Tahoma" w:cs="Tahoma"/>
          <w:spacing w:val="4"/>
          <w:sz w:val="22"/>
          <w:szCs w:val="22"/>
        </w:rPr>
        <w:t xml:space="preserve"> public</w:t>
      </w:r>
      <w:r w:rsidRPr="00A100A6">
        <w:rPr>
          <w:rFonts w:ascii="Tahoma" w:hAnsi="Tahoma" w:cs="Tahoma"/>
          <w:spacing w:val="4"/>
          <w:sz w:val="22"/>
          <w:szCs w:val="22"/>
        </w:rPr>
        <w:t xml:space="preserve"> corporations.</w:t>
      </w:r>
    </w:p>
    <w:p w14:paraId="252D9E92" w14:textId="77777777" w:rsidR="000C076B" w:rsidRPr="00A100A6" w:rsidRDefault="000C076B" w:rsidP="001416A7">
      <w:pPr>
        <w:spacing w:line="360" w:lineRule="auto"/>
        <w:ind w:left="0"/>
        <w:rPr>
          <w:rFonts w:ascii="Tahoma" w:hAnsi="Tahoma" w:cs="Tahoma"/>
          <w:spacing w:val="4"/>
          <w:sz w:val="22"/>
          <w:szCs w:val="22"/>
        </w:rPr>
      </w:pPr>
    </w:p>
    <w:p w14:paraId="62290048" w14:textId="77777777" w:rsidR="000C076B" w:rsidRPr="00A100A6" w:rsidRDefault="000C076B" w:rsidP="001416A7">
      <w:pPr>
        <w:pStyle w:val="BodyText"/>
        <w:spacing w:line="360" w:lineRule="auto"/>
        <w:ind w:left="0"/>
        <w:rPr>
          <w:rFonts w:cs="Tahoma"/>
          <w:sz w:val="22"/>
          <w:szCs w:val="22"/>
        </w:rPr>
      </w:pPr>
      <w:r w:rsidRPr="00A100A6">
        <w:rPr>
          <w:rFonts w:cs="Tahoma"/>
          <w:sz w:val="22"/>
          <w:szCs w:val="22"/>
        </w:rPr>
        <w:lastRenderedPageBreak/>
        <w:t>An institution is considered as public if it is entirely or mainly owned and/or controlled by government itself or by some other public institutions.</w:t>
      </w:r>
    </w:p>
    <w:p w14:paraId="59FCC1AA" w14:textId="77777777" w:rsidR="000C076B" w:rsidRPr="00A100A6" w:rsidRDefault="000C076B" w:rsidP="001416A7">
      <w:pPr>
        <w:spacing w:line="360" w:lineRule="auto"/>
        <w:ind w:left="0"/>
        <w:rPr>
          <w:rFonts w:ascii="Tahoma" w:hAnsi="Tahoma" w:cs="Tahoma"/>
          <w:spacing w:val="4"/>
          <w:sz w:val="22"/>
          <w:szCs w:val="22"/>
        </w:rPr>
      </w:pPr>
    </w:p>
    <w:p w14:paraId="509E8C18" w14:textId="77777777" w:rsidR="000C076B" w:rsidRPr="00A100A6" w:rsidRDefault="000C076B" w:rsidP="001416A7">
      <w:pPr>
        <w:pStyle w:val="BodyText"/>
        <w:spacing w:line="360" w:lineRule="auto"/>
        <w:ind w:left="0"/>
        <w:rPr>
          <w:rFonts w:cs="Tahoma"/>
          <w:sz w:val="22"/>
          <w:szCs w:val="22"/>
        </w:rPr>
      </w:pPr>
      <w:r w:rsidRPr="00A100A6">
        <w:rPr>
          <w:rFonts w:cs="Tahoma"/>
          <w:sz w:val="22"/>
          <w:szCs w:val="22"/>
        </w:rPr>
        <w:t>‘Own' is defined as having all or a majority of the shares or other forms of capital participation. 'Control’ implies having an effective influence in the main aspects of management.</w:t>
      </w:r>
    </w:p>
    <w:p w14:paraId="6D715FCA" w14:textId="77777777" w:rsidR="000C076B" w:rsidRPr="00A100A6" w:rsidRDefault="000C076B" w:rsidP="001416A7">
      <w:pPr>
        <w:spacing w:line="360" w:lineRule="auto"/>
        <w:ind w:left="0"/>
        <w:rPr>
          <w:rFonts w:ascii="Tahoma" w:hAnsi="Tahoma" w:cs="Tahoma"/>
          <w:spacing w:val="4"/>
          <w:sz w:val="22"/>
          <w:szCs w:val="22"/>
        </w:rPr>
      </w:pPr>
    </w:p>
    <w:p w14:paraId="3174B7E1" w14:textId="7F072AB5" w:rsidR="000C076B" w:rsidRPr="00A100A6" w:rsidRDefault="00A578B9" w:rsidP="001416A7">
      <w:pPr>
        <w:spacing w:line="360" w:lineRule="auto"/>
        <w:ind w:left="0"/>
        <w:rPr>
          <w:rFonts w:ascii="Tahoma" w:hAnsi="Tahoma" w:cs="Tahoma"/>
          <w:spacing w:val="4"/>
          <w:sz w:val="22"/>
          <w:szCs w:val="22"/>
        </w:rPr>
      </w:pPr>
      <w:r>
        <w:rPr>
          <w:rFonts w:ascii="Tahoma" w:hAnsi="Tahoma" w:cs="Tahoma"/>
          <w:b/>
          <w:spacing w:val="4"/>
          <w:sz w:val="22"/>
          <w:szCs w:val="22"/>
        </w:rPr>
        <w:t>Nonf</w:t>
      </w:r>
      <w:r w:rsidR="000C076B" w:rsidRPr="00A100A6">
        <w:rPr>
          <w:rFonts w:ascii="Tahoma" w:hAnsi="Tahoma" w:cs="Tahoma"/>
          <w:b/>
          <w:spacing w:val="4"/>
          <w:sz w:val="22"/>
          <w:szCs w:val="22"/>
        </w:rPr>
        <w:t>inancial Public Corporations</w:t>
      </w:r>
      <w:r w:rsidR="000C076B" w:rsidRPr="00A100A6">
        <w:rPr>
          <w:rFonts w:ascii="Tahoma" w:hAnsi="Tahoma" w:cs="Tahoma"/>
          <w:spacing w:val="4"/>
          <w:sz w:val="22"/>
          <w:szCs w:val="22"/>
        </w:rPr>
        <w:t xml:space="preserve"> are government-owne</w:t>
      </w:r>
      <w:r w:rsidR="005C761B">
        <w:rPr>
          <w:rFonts w:ascii="Tahoma" w:hAnsi="Tahoma" w:cs="Tahoma"/>
          <w:spacing w:val="4"/>
          <w:sz w:val="22"/>
          <w:szCs w:val="22"/>
        </w:rPr>
        <w:t>d or government-controlled corporations whose principal activity is the production of market goods or non-financial services</w:t>
      </w:r>
      <w:r w:rsidR="000C076B" w:rsidRPr="00A100A6">
        <w:rPr>
          <w:rFonts w:ascii="Tahoma" w:hAnsi="Tahoma" w:cs="Tahoma"/>
          <w:spacing w:val="4"/>
          <w:sz w:val="22"/>
          <w:szCs w:val="22"/>
        </w:rPr>
        <w:t xml:space="preserve">. </w:t>
      </w:r>
    </w:p>
    <w:p w14:paraId="65BEF100" w14:textId="77777777" w:rsidR="00280DB4" w:rsidRPr="00A100A6" w:rsidRDefault="00280DB4" w:rsidP="001416A7">
      <w:pPr>
        <w:spacing w:line="360" w:lineRule="auto"/>
        <w:ind w:left="0"/>
        <w:rPr>
          <w:rFonts w:ascii="Tahoma" w:hAnsi="Tahoma" w:cs="Tahoma"/>
          <w:spacing w:val="4"/>
          <w:sz w:val="22"/>
          <w:szCs w:val="22"/>
        </w:rPr>
      </w:pPr>
    </w:p>
    <w:p w14:paraId="69308B07" w14:textId="31D3492D" w:rsidR="00F05457" w:rsidRDefault="000C076B" w:rsidP="001416A7">
      <w:pPr>
        <w:spacing w:line="360" w:lineRule="auto"/>
        <w:ind w:left="0"/>
        <w:rPr>
          <w:rFonts w:ascii="Tahoma" w:hAnsi="Tahoma" w:cs="Tahoma"/>
          <w:spacing w:val="4"/>
          <w:sz w:val="22"/>
          <w:szCs w:val="22"/>
        </w:rPr>
      </w:pPr>
      <w:r w:rsidRPr="00A100A6">
        <w:rPr>
          <w:rFonts w:ascii="Tahoma" w:hAnsi="Tahoma" w:cs="Tahoma"/>
          <w:b/>
          <w:spacing w:val="4"/>
          <w:sz w:val="22"/>
          <w:szCs w:val="22"/>
        </w:rPr>
        <w:t>Financial</w:t>
      </w:r>
      <w:r w:rsidR="0069190A">
        <w:rPr>
          <w:rFonts w:ascii="Tahoma" w:hAnsi="Tahoma" w:cs="Tahoma"/>
          <w:b/>
          <w:spacing w:val="4"/>
          <w:sz w:val="22"/>
          <w:szCs w:val="22"/>
        </w:rPr>
        <w:t xml:space="preserve"> </w:t>
      </w:r>
      <w:r w:rsidR="0069190A" w:rsidRPr="00A100A6">
        <w:rPr>
          <w:rFonts w:ascii="Tahoma" w:hAnsi="Tahoma" w:cs="Tahoma"/>
          <w:b/>
          <w:spacing w:val="4"/>
          <w:sz w:val="22"/>
          <w:szCs w:val="22"/>
        </w:rPr>
        <w:t>Public</w:t>
      </w:r>
      <w:r w:rsidRPr="00A100A6">
        <w:rPr>
          <w:rFonts w:ascii="Tahoma" w:hAnsi="Tahoma" w:cs="Tahoma"/>
          <w:b/>
          <w:spacing w:val="4"/>
          <w:sz w:val="22"/>
          <w:szCs w:val="22"/>
        </w:rPr>
        <w:t xml:space="preserve"> Corporations</w:t>
      </w:r>
      <w:r w:rsidRPr="00A100A6">
        <w:rPr>
          <w:rFonts w:ascii="Tahoma" w:hAnsi="Tahoma" w:cs="Tahoma"/>
          <w:spacing w:val="4"/>
          <w:sz w:val="22"/>
          <w:szCs w:val="22"/>
        </w:rPr>
        <w:t xml:space="preserve"> are government-owned or government-controlled</w:t>
      </w:r>
      <w:r w:rsidR="005C761B">
        <w:rPr>
          <w:rFonts w:ascii="Tahoma" w:hAnsi="Tahoma" w:cs="Tahoma"/>
          <w:spacing w:val="4"/>
          <w:sz w:val="22"/>
          <w:szCs w:val="22"/>
        </w:rPr>
        <w:t xml:space="preserve"> corporations that are principally engaged in providing financial services, including insurance and pension fund services, to other institutional units</w:t>
      </w:r>
      <w:r w:rsidRPr="00A100A6">
        <w:rPr>
          <w:rFonts w:ascii="Tahoma" w:hAnsi="Tahoma" w:cs="Tahoma"/>
          <w:spacing w:val="4"/>
          <w:sz w:val="22"/>
          <w:szCs w:val="22"/>
        </w:rPr>
        <w:t xml:space="preserve">. </w:t>
      </w:r>
    </w:p>
    <w:p w14:paraId="2504CFE0" w14:textId="77777777" w:rsidR="0084396C" w:rsidRPr="00A100A6" w:rsidRDefault="0084396C" w:rsidP="001416A7">
      <w:pPr>
        <w:spacing w:line="360" w:lineRule="auto"/>
        <w:ind w:left="0"/>
        <w:jc w:val="left"/>
        <w:rPr>
          <w:rFonts w:ascii="Tahoma" w:hAnsi="Tahoma" w:cs="Tahoma"/>
          <w:spacing w:val="4"/>
          <w:sz w:val="22"/>
          <w:szCs w:val="22"/>
        </w:rPr>
      </w:pPr>
    </w:p>
    <w:p w14:paraId="44A787BC" w14:textId="77777777" w:rsidR="00E31BC0" w:rsidRPr="00A100A6" w:rsidRDefault="00E31BC0" w:rsidP="001416A7">
      <w:pPr>
        <w:spacing w:line="360" w:lineRule="auto"/>
        <w:ind w:left="0"/>
        <w:rPr>
          <w:rFonts w:ascii="Tahoma" w:hAnsi="Tahoma" w:cs="Tahoma"/>
          <w:spacing w:val="4"/>
          <w:sz w:val="22"/>
          <w:szCs w:val="22"/>
        </w:rPr>
      </w:pPr>
      <w:r w:rsidRPr="00A100A6">
        <w:rPr>
          <w:rFonts w:ascii="Tahoma" w:hAnsi="Tahoma" w:cs="Tahoma"/>
          <w:b/>
          <w:spacing w:val="4"/>
          <w:sz w:val="22"/>
          <w:szCs w:val="22"/>
        </w:rPr>
        <w:t xml:space="preserve">Note: </w:t>
      </w:r>
      <w:r w:rsidRPr="00A100A6">
        <w:rPr>
          <w:rFonts w:ascii="Tahoma" w:hAnsi="Tahoma" w:cs="Tahoma"/>
          <w:spacing w:val="4"/>
          <w:sz w:val="22"/>
          <w:szCs w:val="22"/>
        </w:rPr>
        <w:t xml:space="preserve"> The sum of the data may not add up to totals due to rounding off of figures.</w:t>
      </w:r>
    </w:p>
    <w:p w14:paraId="6A0F1C73" w14:textId="77777777" w:rsidR="005622EE" w:rsidRPr="00A100A6" w:rsidRDefault="005622EE" w:rsidP="001416A7">
      <w:pPr>
        <w:spacing w:line="360" w:lineRule="auto"/>
        <w:ind w:left="0"/>
        <w:jc w:val="left"/>
        <w:rPr>
          <w:rFonts w:ascii="Tahoma" w:hAnsi="Tahoma" w:cs="Tahoma"/>
          <w:spacing w:val="4"/>
          <w:sz w:val="22"/>
          <w:szCs w:val="22"/>
        </w:rPr>
      </w:pPr>
    </w:p>
    <w:p w14:paraId="60C349DB" w14:textId="77777777" w:rsidR="005622EE" w:rsidRPr="00A100A6" w:rsidRDefault="005622EE" w:rsidP="001416A7">
      <w:pPr>
        <w:spacing w:line="360" w:lineRule="auto"/>
        <w:ind w:left="0"/>
        <w:jc w:val="left"/>
        <w:rPr>
          <w:rFonts w:ascii="Tahoma" w:hAnsi="Tahoma" w:cs="Tahoma"/>
          <w:b/>
          <w:spacing w:val="4"/>
          <w:sz w:val="22"/>
          <w:szCs w:val="22"/>
        </w:rPr>
      </w:pPr>
      <w:r w:rsidRPr="00A100A6">
        <w:rPr>
          <w:rFonts w:ascii="Tahoma" w:hAnsi="Tahoma" w:cs="Tahoma"/>
          <w:b/>
          <w:spacing w:val="4"/>
          <w:sz w:val="22"/>
          <w:szCs w:val="22"/>
        </w:rPr>
        <w:t>Symbols and Abbreviations</w:t>
      </w:r>
    </w:p>
    <w:p w14:paraId="3EF54DD8" w14:textId="77777777" w:rsidR="005622EE" w:rsidRPr="00A100A6" w:rsidRDefault="009A151B" w:rsidP="001416A7">
      <w:pPr>
        <w:spacing w:line="360" w:lineRule="auto"/>
        <w:ind w:left="0"/>
        <w:jc w:val="left"/>
        <w:rPr>
          <w:rFonts w:ascii="Tahoma" w:hAnsi="Tahoma" w:cs="Tahoma"/>
          <w:spacing w:val="4"/>
          <w:sz w:val="22"/>
          <w:szCs w:val="22"/>
        </w:rPr>
      </w:pPr>
      <w:r>
        <w:rPr>
          <w:rFonts w:ascii="Tahoma" w:hAnsi="Tahoma" w:cs="Tahoma"/>
          <w:spacing w:val="4"/>
          <w:sz w:val="22"/>
          <w:szCs w:val="22"/>
        </w:rPr>
        <w:t xml:space="preserve">   </w:t>
      </w:r>
      <w:r w:rsidR="005622EE" w:rsidRPr="00A100A6">
        <w:rPr>
          <w:rFonts w:ascii="Tahoma" w:hAnsi="Tahoma" w:cs="Tahoma"/>
          <w:spacing w:val="4"/>
          <w:sz w:val="22"/>
          <w:szCs w:val="22"/>
        </w:rPr>
        <w:t xml:space="preserve"> -  : </w:t>
      </w:r>
      <w:r>
        <w:rPr>
          <w:rFonts w:ascii="Tahoma" w:hAnsi="Tahoma" w:cs="Tahoma"/>
          <w:spacing w:val="4"/>
          <w:sz w:val="22"/>
          <w:szCs w:val="22"/>
        </w:rPr>
        <w:t xml:space="preserve">   </w:t>
      </w:r>
      <w:r w:rsidR="005622EE" w:rsidRPr="00A100A6">
        <w:rPr>
          <w:rFonts w:ascii="Tahoma" w:hAnsi="Tahoma" w:cs="Tahoma"/>
          <w:spacing w:val="4"/>
          <w:sz w:val="22"/>
          <w:szCs w:val="22"/>
        </w:rPr>
        <w:t>Nil</w:t>
      </w:r>
    </w:p>
    <w:p w14:paraId="09E8C92F" w14:textId="76856333" w:rsidR="00625168" w:rsidRDefault="004212EE" w:rsidP="001416A7">
      <w:pPr>
        <w:spacing w:line="360" w:lineRule="auto"/>
        <w:ind w:left="0"/>
        <w:jc w:val="left"/>
        <w:rPr>
          <w:rFonts w:ascii="Tahoma" w:hAnsi="Tahoma" w:cs="Tahoma"/>
          <w:spacing w:val="4"/>
          <w:sz w:val="22"/>
          <w:szCs w:val="22"/>
        </w:rPr>
      </w:pPr>
      <w:r>
        <w:rPr>
          <w:rFonts w:ascii="Tahoma" w:hAnsi="Tahoma" w:cs="Tahoma"/>
          <w:spacing w:val="4"/>
          <w:sz w:val="22"/>
          <w:szCs w:val="22"/>
        </w:rPr>
        <w:t xml:space="preserve"> </w:t>
      </w:r>
      <w:proofErr w:type="gramStart"/>
      <w:r>
        <w:rPr>
          <w:rFonts w:ascii="Tahoma" w:hAnsi="Tahoma" w:cs="Tahoma"/>
          <w:spacing w:val="4"/>
          <w:sz w:val="22"/>
          <w:szCs w:val="22"/>
        </w:rPr>
        <w:t xml:space="preserve">NA </w:t>
      </w:r>
      <w:r w:rsidR="005622EE" w:rsidRPr="00A100A6">
        <w:rPr>
          <w:rFonts w:ascii="Tahoma" w:hAnsi="Tahoma" w:cs="Tahoma"/>
          <w:spacing w:val="4"/>
          <w:sz w:val="22"/>
          <w:szCs w:val="22"/>
        </w:rPr>
        <w:t xml:space="preserve"> :</w:t>
      </w:r>
      <w:proofErr w:type="gramEnd"/>
      <w:r w:rsidR="005622EE" w:rsidRPr="00A100A6">
        <w:rPr>
          <w:rFonts w:ascii="Tahoma" w:hAnsi="Tahoma" w:cs="Tahoma"/>
          <w:spacing w:val="4"/>
          <w:sz w:val="22"/>
          <w:szCs w:val="22"/>
        </w:rPr>
        <w:t xml:space="preserve"> </w:t>
      </w:r>
      <w:r>
        <w:rPr>
          <w:rFonts w:ascii="Tahoma" w:hAnsi="Tahoma" w:cs="Tahoma"/>
          <w:spacing w:val="4"/>
          <w:sz w:val="22"/>
          <w:szCs w:val="22"/>
        </w:rPr>
        <w:t xml:space="preserve">   </w:t>
      </w:r>
      <w:r w:rsidR="005622EE" w:rsidRPr="00A100A6">
        <w:rPr>
          <w:rFonts w:ascii="Tahoma" w:hAnsi="Tahoma" w:cs="Tahoma"/>
          <w:spacing w:val="4"/>
          <w:sz w:val="22"/>
          <w:szCs w:val="22"/>
        </w:rPr>
        <w:t>Not Available</w:t>
      </w:r>
    </w:p>
    <w:p w14:paraId="7A9E6A8A" w14:textId="2A6A1E21" w:rsidR="00625168" w:rsidRDefault="00625168" w:rsidP="001416A7">
      <w:pPr>
        <w:spacing w:line="360" w:lineRule="auto"/>
        <w:ind w:left="0"/>
        <w:jc w:val="left"/>
        <w:rPr>
          <w:rFonts w:ascii="Tahoma" w:hAnsi="Tahoma" w:cs="Tahoma"/>
          <w:spacing w:val="4"/>
          <w:sz w:val="22"/>
          <w:szCs w:val="22"/>
        </w:rPr>
      </w:pPr>
    </w:p>
    <w:p w14:paraId="318C238C" w14:textId="77777777" w:rsidR="006A5066" w:rsidRDefault="006A5066" w:rsidP="001416A7">
      <w:pPr>
        <w:spacing w:line="360" w:lineRule="auto"/>
        <w:ind w:left="0"/>
        <w:jc w:val="left"/>
        <w:rPr>
          <w:rFonts w:ascii="Tahoma" w:hAnsi="Tahoma" w:cs="Tahoma"/>
          <w:b/>
          <w:spacing w:val="4"/>
          <w:sz w:val="22"/>
          <w:szCs w:val="22"/>
        </w:rPr>
      </w:pPr>
    </w:p>
    <w:p w14:paraId="683C77EA" w14:textId="77777777" w:rsidR="006A5066" w:rsidRDefault="006A5066" w:rsidP="001416A7">
      <w:pPr>
        <w:spacing w:line="360" w:lineRule="auto"/>
        <w:ind w:left="0"/>
        <w:jc w:val="left"/>
        <w:rPr>
          <w:rFonts w:ascii="Tahoma" w:hAnsi="Tahoma" w:cs="Tahoma"/>
          <w:b/>
          <w:spacing w:val="4"/>
          <w:sz w:val="22"/>
          <w:szCs w:val="22"/>
        </w:rPr>
      </w:pPr>
    </w:p>
    <w:p w14:paraId="72D145D7" w14:textId="77777777" w:rsidR="006A5066" w:rsidRDefault="006A5066" w:rsidP="001416A7">
      <w:pPr>
        <w:spacing w:line="360" w:lineRule="auto"/>
        <w:ind w:left="0"/>
        <w:jc w:val="left"/>
        <w:rPr>
          <w:rFonts w:ascii="Tahoma" w:hAnsi="Tahoma" w:cs="Tahoma"/>
          <w:b/>
          <w:spacing w:val="4"/>
          <w:sz w:val="22"/>
          <w:szCs w:val="22"/>
        </w:rPr>
      </w:pPr>
    </w:p>
    <w:p w14:paraId="61713048" w14:textId="77777777" w:rsidR="006A5066" w:rsidRDefault="006A5066" w:rsidP="001416A7">
      <w:pPr>
        <w:spacing w:line="360" w:lineRule="auto"/>
        <w:ind w:left="0"/>
        <w:jc w:val="left"/>
        <w:rPr>
          <w:rFonts w:ascii="Tahoma" w:hAnsi="Tahoma" w:cs="Tahoma"/>
          <w:b/>
          <w:spacing w:val="4"/>
          <w:sz w:val="22"/>
          <w:szCs w:val="22"/>
        </w:rPr>
      </w:pPr>
    </w:p>
    <w:p w14:paraId="4E5618A4" w14:textId="77777777" w:rsidR="006A5066" w:rsidRDefault="006A5066" w:rsidP="001416A7">
      <w:pPr>
        <w:spacing w:line="360" w:lineRule="auto"/>
        <w:ind w:left="0"/>
        <w:jc w:val="left"/>
        <w:rPr>
          <w:rFonts w:ascii="Tahoma" w:hAnsi="Tahoma" w:cs="Tahoma"/>
          <w:b/>
          <w:spacing w:val="4"/>
          <w:sz w:val="22"/>
          <w:szCs w:val="22"/>
        </w:rPr>
      </w:pPr>
    </w:p>
    <w:p w14:paraId="57FC274A" w14:textId="77777777" w:rsidR="006A5066" w:rsidRDefault="006A5066" w:rsidP="001416A7">
      <w:pPr>
        <w:spacing w:line="360" w:lineRule="auto"/>
        <w:ind w:left="0"/>
        <w:jc w:val="left"/>
        <w:rPr>
          <w:rFonts w:ascii="Tahoma" w:hAnsi="Tahoma" w:cs="Tahoma"/>
          <w:b/>
          <w:spacing w:val="4"/>
          <w:sz w:val="22"/>
          <w:szCs w:val="22"/>
        </w:rPr>
      </w:pPr>
    </w:p>
    <w:p w14:paraId="7F7C284E" w14:textId="77777777" w:rsidR="006A5066" w:rsidRDefault="006A5066" w:rsidP="001416A7">
      <w:pPr>
        <w:spacing w:line="360" w:lineRule="auto"/>
        <w:ind w:left="0"/>
        <w:jc w:val="left"/>
        <w:rPr>
          <w:rFonts w:ascii="Tahoma" w:hAnsi="Tahoma" w:cs="Tahoma"/>
          <w:b/>
          <w:spacing w:val="4"/>
          <w:sz w:val="22"/>
          <w:szCs w:val="22"/>
        </w:rPr>
      </w:pPr>
    </w:p>
    <w:p w14:paraId="59234427" w14:textId="77777777" w:rsidR="006A5066" w:rsidRDefault="006A5066" w:rsidP="001416A7">
      <w:pPr>
        <w:spacing w:line="360" w:lineRule="auto"/>
        <w:ind w:left="0"/>
        <w:jc w:val="left"/>
        <w:rPr>
          <w:rFonts w:ascii="Tahoma" w:hAnsi="Tahoma" w:cs="Tahoma"/>
          <w:b/>
          <w:spacing w:val="4"/>
          <w:sz w:val="22"/>
          <w:szCs w:val="22"/>
        </w:rPr>
      </w:pPr>
    </w:p>
    <w:p w14:paraId="38FA63E9" w14:textId="77777777" w:rsidR="006A5066" w:rsidRDefault="006A5066" w:rsidP="001416A7">
      <w:pPr>
        <w:spacing w:line="360" w:lineRule="auto"/>
        <w:ind w:left="0"/>
        <w:jc w:val="left"/>
        <w:rPr>
          <w:rFonts w:ascii="Tahoma" w:hAnsi="Tahoma" w:cs="Tahoma"/>
          <w:b/>
          <w:spacing w:val="4"/>
          <w:sz w:val="22"/>
          <w:szCs w:val="22"/>
        </w:rPr>
      </w:pPr>
    </w:p>
    <w:p w14:paraId="78D7B004" w14:textId="77777777" w:rsidR="006A5066" w:rsidRDefault="006A5066" w:rsidP="001416A7">
      <w:pPr>
        <w:spacing w:line="360" w:lineRule="auto"/>
        <w:ind w:left="0"/>
        <w:jc w:val="left"/>
        <w:rPr>
          <w:rFonts w:ascii="Tahoma" w:hAnsi="Tahoma" w:cs="Tahoma"/>
          <w:b/>
          <w:spacing w:val="4"/>
          <w:sz w:val="22"/>
          <w:szCs w:val="22"/>
        </w:rPr>
      </w:pPr>
    </w:p>
    <w:p w14:paraId="05888982" w14:textId="77777777" w:rsidR="006A5066" w:rsidRDefault="006A5066" w:rsidP="001416A7">
      <w:pPr>
        <w:spacing w:line="360" w:lineRule="auto"/>
        <w:ind w:left="0"/>
        <w:jc w:val="left"/>
        <w:rPr>
          <w:rFonts w:ascii="Tahoma" w:hAnsi="Tahoma" w:cs="Tahoma"/>
          <w:b/>
          <w:spacing w:val="4"/>
          <w:sz w:val="22"/>
          <w:szCs w:val="22"/>
        </w:rPr>
      </w:pPr>
    </w:p>
    <w:p w14:paraId="2DEA6B5E" w14:textId="77777777" w:rsidR="002E4C36" w:rsidRDefault="002E4C36" w:rsidP="001416A7">
      <w:pPr>
        <w:spacing w:line="360" w:lineRule="auto"/>
        <w:ind w:left="0"/>
        <w:jc w:val="left"/>
        <w:rPr>
          <w:rFonts w:ascii="Tahoma" w:hAnsi="Tahoma" w:cs="Tahoma"/>
          <w:b/>
          <w:spacing w:val="4"/>
          <w:sz w:val="22"/>
          <w:szCs w:val="22"/>
        </w:rPr>
      </w:pPr>
    </w:p>
    <w:sectPr w:rsidR="002E4C36" w:rsidSect="006658E6">
      <w:footerReference w:type="default" r:id="rId8"/>
      <w:pgSz w:w="11907" w:h="16839" w:code="9"/>
      <w:pgMar w:top="1080" w:right="1080" w:bottom="1080" w:left="1080" w:header="720" w:footer="432"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FA74" w14:textId="77777777" w:rsidR="00BD6990" w:rsidRDefault="00BD6990" w:rsidP="0075562C">
      <w:r>
        <w:separator/>
      </w:r>
    </w:p>
  </w:endnote>
  <w:endnote w:type="continuationSeparator" w:id="0">
    <w:p w14:paraId="013BAA64" w14:textId="77777777" w:rsidR="00BD6990" w:rsidRDefault="00BD6990" w:rsidP="0075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25231"/>
      <w:docPartObj>
        <w:docPartGallery w:val="Page Numbers (Bottom of Page)"/>
        <w:docPartUnique/>
      </w:docPartObj>
    </w:sdtPr>
    <w:sdtEndPr>
      <w:rPr>
        <w:noProof/>
      </w:rPr>
    </w:sdtEndPr>
    <w:sdtContent>
      <w:p w14:paraId="7C15DDA0" w14:textId="6E13D034" w:rsidR="00B332F0" w:rsidRDefault="006658E6">
        <w:pPr>
          <w:pStyle w:val="Footer"/>
          <w:jc w:val="center"/>
        </w:pPr>
        <w:r>
          <w:t xml:space="preserve">- </w:t>
        </w:r>
        <w:r w:rsidR="00B332F0">
          <w:fldChar w:fldCharType="begin"/>
        </w:r>
        <w:r w:rsidR="00B332F0">
          <w:instrText xml:space="preserve"> PAGE   \* MERGEFORMAT </w:instrText>
        </w:r>
        <w:r w:rsidR="00B332F0">
          <w:fldChar w:fldCharType="separate"/>
        </w:r>
        <w:r w:rsidR="00177BF1">
          <w:rPr>
            <w:noProof/>
          </w:rPr>
          <w:t>10</w:t>
        </w:r>
        <w:r w:rsidR="00B332F0">
          <w:rPr>
            <w:noProof/>
          </w:rPr>
          <w:fldChar w:fldCharType="end"/>
        </w:r>
        <w:r>
          <w:rPr>
            <w:noProof/>
          </w:rPr>
          <w:t xml:space="preserve"> -</w:t>
        </w:r>
      </w:p>
    </w:sdtContent>
  </w:sdt>
  <w:p w14:paraId="6DE43E01" w14:textId="77777777" w:rsidR="00B332F0" w:rsidRDefault="00B33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8711" w14:textId="77777777" w:rsidR="00BD6990" w:rsidRDefault="00BD6990" w:rsidP="0075562C">
      <w:r>
        <w:separator/>
      </w:r>
    </w:p>
  </w:footnote>
  <w:footnote w:type="continuationSeparator" w:id="0">
    <w:p w14:paraId="4B635739" w14:textId="77777777" w:rsidR="00BD6990" w:rsidRDefault="00BD6990" w:rsidP="00755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F9F"/>
    <w:multiLevelType w:val="hybridMultilevel"/>
    <w:tmpl w:val="3F38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628E4"/>
    <w:multiLevelType w:val="hybridMultilevel"/>
    <w:tmpl w:val="94D41892"/>
    <w:lvl w:ilvl="0" w:tplc="3D6CCB0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B486CCD"/>
    <w:multiLevelType w:val="hybridMultilevel"/>
    <w:tmpl w:val="A5A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5301C"/>
    <w:multiLevelType w:val="hybridMultilevel"/>
    <w:tmpl w:val="2DEC1310"/>
    <w:lvl w:ilvl="0" w:tplc="A8E2794E">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3741F5"/>
    <w:multiLevelType w:val="hybridMultilevel"/>
    <w:tmpl w:val="44A01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976C9A"/>
    <w:multiLevelType w:val="hybridMultilevel"/>
    <w:tmpl w:val="35A4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F5E22"/>
    <w:multiLevelType w:val="hybridMultilevel"/>
    <w:tmpl w:val="340AD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6F3754"/>
    <w:multiLevelType w:val="multilevel"/>
    <w:tmpl w:val="6F22FE22"/>
    <w:lvl w:ilvl="0">
      <w:start w:val="3"/>
      <w:numFmt w:val="decimal"/>
      <w:lvlText w:val="%1."/>
      <w:lvlJc w:val="left"/>
      <w:pPr>
        <w:ind w:left="360" w:hanging="360"/>
      </w:pPr>
      <w:rPr>
        <w:rFonts w:hint="default"/>
      </w:rPr>
    </w:lvl>
    <w:lvl w:ilvl="1">
      <w:start w:val="3"/>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710" w:hanging="1440"/>
      </w:pPr>
      <w:rPr>
        <w:rFonts w:hint="default"/>
      </w:rPr>
    </w:lvl>
    <w:lvl w:ilvl="5">
      <w:start w:val="1"/>
      <w:numFmt w:val="decimal"/>
      <w:isLgl/>
      <w:lvlText w:val="%1.%2.%3.%4.%5.%6"/>
      <w:lvlJc w:val="left"/>
      <w:pPr>
        <w:ind w:left="2070" w:hanging="180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790" w:hanging="2520"/>
      </w:pPr>
      <w:rPr>
        <w:rFonts w:hint="default"/>
      </w:rPr>
    </w:lvl>
  </w:abstractNum>
  <w:abstractNum w:abstractNumId="8">
    <w:nsid w:val="40BB7FD4"/>
    <w:multiLevelType w:val="hybridMultilevel"/>
    <w:tmpl w:val="74B6E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273808"/>
    <w:multiLevelType w:val="hybridMultilevel"/>
    <w:tmpl w:val="6D48BB9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14A736A"/>
    <w:multiLevelType w:val="hybridMultilevel"/>
    <w:tmpl w:val="969420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8139B8"/>
    <w:multiLevelType w:val="hybridMultilevel"/>
    <w:tmpl w:val="0E285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9E2248"/>
    <w:multiLevelType w:val="hybridMultilevel"/>
    <w:tmpl w:val="DFEA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69037E"/>
    <w:multiLevelType w:val="hybridMultilevel"/>
    <w:tmpl w:val="488A29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FF4222"/>
    <w:multiLevelType w:val="hybridMultilevel"/>
    <w:tmpl w:val="A8E6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B261C"/>
    <w:multiLevelType w:val="hybridMultilevel"/>
    <w:tmpl w:val="EC366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052936"/>
    <w:multiLevelType w:val="hybridMultilevel"/>
    <w:tmpl w:val="6782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A6C33"/>
    <w:multiLevelType w:val="hybridMultilevel"/>
    <w:tmpl w:val="6B60D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00746"/>
    <w:multiLevelType w:val="hybridMultilevel"/>
    <w:tmpl w:val="6852A7F0"/>
    <w:lvl w:ilvl="0" w:tplc="3D6CCB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5A62EF"/>
    <w:multiLevelType w:val="hybridMultilevel"/>
    <w:tmpl w:val="48CE9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D762B8"/>
    <w:multiLevelType w:val="hybridMultilevel"/>
    <w:tmpl w:val="F25A3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9F71E1"/>
    <w:multiLevelType w:val="hybridMultilevel"/>
    <w:tmpl w:val="573E698E"/>
    <w:lvl w:ilvl="0" w:tplc="F18E8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51E0B"/>
    <w:multiLevelType w:val="hybridMultilevel"/>
    <w:tmpl w:val="8DC2D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7F70F5"/>
    <w:multiLevelType w:val="hybridMultilevel"/>
    <w:tmpl w:val="65DAB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13"/>
  </w:num>
  <w:num w:numId="4">
    <w:abstractNumId w:val="3"/>
  </w:num>
  <w:num w:numId="5">
    <w:abstractNumId w:val="21"/>
  </w:num>
  <w:num w:numId="6">
    <w:abstractNumId w:val="15"/>
  </w:num>
  <w:num w:numId="7">
    <w:abstractNumId w:val="22"/>
  </w:num>
  <w:num w:numId="8">
    <w:abstractNumId w:val="0"/>
  </w:num>
  <w:num w:numId="9">
    <w:abstractNumId w:val="20"/>
  </w:num>
  <w:num w:numId="10">
    <w:abstractNumId w:val="12"/>
  </w:num>
  <w:num w:numId="11">
    <w:abstractNumId w:val="11"/>
  </w:num>
  <w:num w:numId="12">
    <w:abstractNumId w:val="2"/>
  </w:num>
  <w:num w:numId="13">
    <w:abstractNumId w:val="16"/>
  </w:num>
  <w:num w:numId="14">
    <w:abstractNumId w:val="1"/>
  </w:num>
  <w:num w:numId="15">
    <w:abstractNumId w:val="18"/>
  </w:num>
  <w:num w:numId="16">
    <w:abstractNumId w:val="5"/>
  </w:num>
  <w:num w:numId="17">
    <w:abstractNumId w:val="6"/>
  </w:num>
  <w:num w:numId="18">
    <w:abstractNumId w:val="8"/>
  </w:num>
  <w:num w:numId="19">
    <w:abstractNumId w:val="14"/>
  </w:num>
  <w:num w:numId="20">
    <w:abstractNumId w:val="17"/>
  </w:num>
  <w:num w:numId="21">
    <w:abstractNumId w:val="10"/>
  </w:num>
  <w:num w:numId="22">
    <w:abstractNumId w:val="23"/>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B"/>
    <w:rsid w:val="000006E6"/>
    <w:rsid w:val="00001942"/>
    <w:rsid w:val="0001799F"/>
    <w:rsid w:val="00017AA8"/>
    <w:rsid w:val="00020001"/>
    <w:rsid w:val="00024457"/>
    <w:rsid w:val="000257EC"/>
    <w:rsid w:val="0002686D"/>
    <w:rsid w:val="00026A61"/>
    <w:rsid w:val="00027D12"/>
    <w:rsid w:val="000329BB"/>
    <w:rsid w:val="00033E67"/>
    <w:rsid w:val="00034A66"/>
    <w:rsid w:val="000377D7"/>
    <w:rsid w:val="0005085D"/>
    <w:rsid w:val="00050C7B"/>
    <w:rsid w:val="000869E2"/>
    <w:rsid w:val="00090C35"/>
    <w:rsid w:val="00090D3E"/>
    <w:rsid w:val="0009134B"/>
    <w:rsid w:val="000B0124"/>
    <w:rsid w:val="000B05E0"/>
    <w:rsid w:val="000B5ED0"/>
    <w:rsid w:val="000C076B"/>
    <w:rsid w:val="000C26C9"/>
    <w:rsid w:val="000C447F"/>
    <w:rsid w:val="000D4F85"/>
    <w:rsid w:val="000E2FD0"/>
    <w:rsid w:val="000E4217"/>
    <w:rsid w:val="000E5D09"/>
    <w:rsid w:val="000E7626"/>
    <w:rsid w:val="000F3441"/>
    <w:rsid w:val="000F3607"/>
    <w:rsid w:val="000F3811"/>
    <w:rsid w:val="0010478A"/>
    <w:rsid w:val="00104A5E"/>
    <w:rsid w:val="00105D9B"/>
    <w:rsid w:val="00111A09"/>
    <w:rsid w:val="00115AAF"/>
    <w:rsid w:val="001416A7"/>
    <w:rsid w:val="001456B4"/>
    <w:rsid w:val="001463FE"/>
    <w:rsid w:val="00146DFB"/>
    <w:rsid w:val="00155BEC"/>
    <w:rsid w:val="00155C44"/>
    <w:rsid w:val="00156ABF"/>
    <w:rsid w:val="00161E26"/>
    <w:rsid w:val="00166599"/>
    <w:rsid w:val="00167FB1"/>
    <w:rsid w:val="00170570"/>
    <w:rsid w:val="00172AF8"/>
    <w:rsid w:val="00177BF1"/>
    <w:rsid w:val="00193EF4"/>
    <w:rsid w:val="001A0FF2"/>
    <w:rsid w:val="001A1C60"/>
    <w:rsid w:val="001A5525"/>
    <w:rsid w:val="001A642E"/>
    <w:rsid w:val="001B5A4F"/>
    <w:rsid w:val="001B7363"/>
    <w:rsid w:val="001C56EA"/>
    <w:rsid w:val="001C74A4"/>
    <w:rsid w:val="001D544B"/>
    <w:rsid w:val="001E05D8"/>
    <w:rsid w:val="001E1FE2"/>
    <w:rsid w:val="001E3429"/>
    <w:rsid w:val="001E75D5"/>
    <w:rsid w:val="001F37C0"/>
    <w:rsid w:val="001F3B83"/>
    <w:rsid w:val="001F7DB6"/>
    <w:rsid w:val="00200DEB"/>
    <w:rsid w:val="00202B00"/>
    <w:rsid w:val="00212951"/>
    <w:rsid w:val="00213BB7"/>
    <w:rsid w:val="0022244A"/>
    <w:rsid w:val="002248AE"/>
    <w:rsid w:val="0022552F"/>
    <w:rsid w:val="00232EF3"/>
    <w:rsid w:val="002428D2"/>
    <w:rsid w:val="00243D3C"/>
    <w:rsid w:val="00243D7A"/>
    <w:rsid w:val="0025061D"/>
    <w:rsid w:val="002556B4"/>
    <w:rsid w:val="002636FC"/>
    <w:rsid w:val="002648BF"/>
    <w:rsid w:val="002738B0"/>
    <w:rsid w:val="00274C30"/>
    <w:rsid w:val="0027741B"/>
    <w:rsid w:val="00280DB4"/>
    <w:rsid w:val="00282471"/>
    <w:rsid w:val="00284016"/>
    <w:rsid w:val="002B02DE"/>
    <w:rsid w:val="002B68D8"/>
    <w:rsid w:val="002C7EB3"/>
    <w:rsid w:val="002D4964"/>
    <w:rsid w:val="002D75EC"/>
    <w:rsid w:val="002E3089"/>
    <w:rsid w:val="002E4C36"/>
    <w:rsid w:val="002F1DD3"/>
    <w:rsid w:val="002F6B6A"/>
    <w:rsid w:val="00301778"/>
    <w:rsid w:val="00301D74"/>
    <w:rsid w:val="003029A7"/>
    <w:rsid w:val="0031067C"/>
    <w:rsid w:val="00314FA4"/>
    <w:rsid w:val="003219DA"/>
    <w:rsid w:val="00325EFC"/>
    <w:rsid w:val="00332323"/>
    <w:rsid w:val="003431FF"/>
    <w:rsid w:val="00343DD1"/>
    <w:rsid w:val="003443F2"/>
    <w:rsid w:val="0036112E"/>
    <w:rsid w:val="00367071"/>
    <w:rsid w:val="00372762"/>
    <w:rsid w:val="003729FA"/>
    <w:rsid w:val="00372E2F"/>
    <w:rsid w:val="00375128"/>
    <w:rsid w:val="00385B1A"/>
    <w:rsid w:val="00387D04"/>
    <w:rsid w:val="00387D0D"/>
    <w:rsid w:val="00394016"/>
    <w:rsid w:val="0039522F"/>
    <w:rsid w:val="00395A4E"/>
    <w:rsid w:val="00396DF4"/>
    <w:rsid w:val="003B708B"/>
    <w:rsid w:val="003C32A0"/>
    <w:rsid w:val="003C39C8"/>
    <w:rsid w:val="003C707A"/>
    <w:rsid w:val="003D2E03"/>
    <w:rsid w:val="003D3481"/>
    <w:rsid w:val="003D5693"/>
    <w:rsid w:val="003D602C"/>
    <w:rsid w:val="003E4997"/>
    <w:rsid w:val="003F1961"/>
    <w:rsid w:val="004054D3"/>
    <w:rsid w:val="00410590"/>
    <w:rsid w:val="00417621"/>
    <w:rsid w:val="004212EE"/>
    <w:rsid w:val="00436021"/>
    <w:rsid w:val="00440360"/>
    <w:rsid w:val="00440470"/>
    <w:rsid w:val="0044091A"/>
    <w:rsid w:val="00440E70"/>
    <w:rsid w:val="00445208"/>
    <w:rsid w:val="00452536"/>
    <w:rsid w:val="0045561A"/>
    <w:rsid w:val="004600C1"/>
    <w:rsid w:val="00460480"/>
    <w:rsid w:val="00464BDE"/>
    <w:rsid w:val="004730F2"/>
    <w:rsid w:val="00475552"/>
    <w:rsid w:val="004812AF"/>
    <w:rsid w:val="00481EAB"/>
    <w:rsid w:val="004833EB"/>
    <w:rsid w:val="004852B2"/>
    <w:rsid w:val="0048685F"/>
    <w:rsid w:val="0048783E"/>
    <w:rsid w:val="00491351"/>
    <w:rsid w:val="00495CEB"/>
    <w:rsid w:val="004A3D29"/>
    <w:rsid w:val="004A7380"/>
    <w:rsid w:val="004B0BE5"/>
    <w:rsid w:val="004B25BC"/>
    <w:rsid w:val="004B3C95"/>
    <w:rsid w:val="004B4E71"/>
    <w:rsid w:val="004B5819"/>
    <w:rsid w:val="004D08A8"/>
    <w:rsid w:val="004D13B8"/>
    <w:rsid w:val="004D3A45"/>
    <w:rsid w:val="004D7A3D"/>
    <w:rsid w:val="004E3A14"/>
    <w:rsid w:val="004F3CFA"/>
    <w:rsid w:val="004F62A5"/>
    <w:rsid w:val="00523746"/>
    <w:rsid w:val="0052799C"/>
    <w:rsid w:val="005336B5"/>
    <w:rsid w:val="005350A9"/>
    <w:rsid w:val="00537C12"/>
    <w:rsid w:val="00537DF0"/>
    <w:rsid w:val="00542F27"/>
    <w:rsid w:val="0054340F"/>
    <w:rsid w:val="00554491"/>
    <w:rsid w:val="00554ABE"/>
    <w:rsid w:val="00557BFA"/>
    <w:rsid w:val="00557E35"/>
    <w:rsid w:val="00561C93"/>
    <w:rsid w:val="005622EE"/>
    <w:rsid w:val="00567426"/>
    <w:rsid w:val="00567C02"/>
    <w:rsid w:val="00574C2E"/>
    <w:rsid w:val="00577D02"/>
    <w:rsid w:val="0058013E"/>
    <w:rsid w:val="00581848"/>
    <w:rsid w:val="00593789"/>
    <w:rsid w:val="005969DD"/>
    <w:rsid w:val="0059798C"/>
    <w:rsid w:val="005A3268"/>
    <w:rsid w:val="005A6AA6"/>
    <w:rsid w:val="005A704F"/>
    <w:rsid w:val="005B0562"/>
    <w:rsid w:val="005B4E0A"/>
    <w:rsid w:val="005C405E"/>
    <w:rsid w:val="005C6CFE"/>
    <w:rsid w:val="005C761B"/>
    <w:rsid w:val="005C7AA4"/>
    <w:rsid w:val="005D1998"/>
    <w:rsid w:val="005D567E"/>
    <w:rsid w:val="005D5D4E"/>
    <w:rsid w:val="005E0505"/>
    <w:rsid w:val="005F0796"/>
    <w:rsid w:val="005F2ED0"/>
    <w:rsid w:val="005F59CA"/>
    <w:rsid w:val="006145A2"/>
    <w:rsid w:val="00614737"/>
    <w:rsid w:val="006149B2"/>
    <w:rsid w:val="00617EF9"/>
    <w:rsid w:val="00620AB8"/>
    <w:rsid w:val="0062407F"/>
    <w:rsid w:val="00625168"/>
    <w:rsid w:val="00633020"/>
    <w:rsid w:val="00634625"/>
    <w:rsid w:val="006443EF"/>
    <w:rsid w:val="0064461C"/>
    <w:rsid w:val="0064486F"/>
    <w:rsid w:val="0065222D"/>
    <w:rsid w:val="0065604C"/>
    <w:rsid w:val="00656555"/>
    <w:rsid w:val="0066179B"/>
    <w:rsid w:val="00665663"/>
    <w:rsid w:val="006658E6"/>
    <w:rsid w:val="006707C3"/>
    <w:rsid w:val="006756C8"/>
    <w:rsid w:val="00680B36"/>
    <w:rsid w:val="00680DA2"/>
    <w:rsid w:val="00685F28"/>
    <w:rsid w:val="0069190A"/>
    <w:rsid w:val="00695E53"/>
    <w:rsid w:val="006960EB"/>
    <w:rsid w:val="006A2AE6"/>
    <w:rsid w:val="006A3310"/>
    <w:rsid w:val="006A5066"/>
    <w:rsid w:val="006B1FEA"/>
    <w:rsid w:val="006B28BB"/>
    <w:rsid w:val="006B5A7A"/>
    <w:rsid w:val="006C723A"/>
    <w:rsid w:val="006C7DD6"/>
    <w:rsid w:val="006D0712"/>
    <w:rsid w:val="006E32A1"/>
    <w:rsid w:val="006F2D07"/>
    <w:rsid w:val="006F5CA8"/>
    <w:rsid w:val="006F5DAA"/>
    <w:rsid w:val="00701454"/>
    <w:rsid w:val="00702F79"/>
    <w:rsid w:val="00703D58"/>
    <w:rsid w:val="00706F5F"/>
    <w:rsid w:val="00711169"/>
    <w:rsid w:val="00712D16"/>
    <w:rsid w:val="007358B2"/>
    <w:rsid w:val="00736ED5"/>
    <w:rsid w:val="0074121E"/>
    <w:rsid w:val="00742F31"/>
    <w:rsid w:val="007448E0"/>
    <w:rsid w:val="00755494"/>
    <w:rsid w:val="0075562C"/>
    <w:rsid w:val="007572FC"/>
    <w:rsid w:val="007602EF"/>
    <w:rsid w:val="007660E1"/>
    <w:rsid w:val="00766262"/>
    <w:rsid w:val="00766A3C"/>
    <w:rsid w:val="007721E7"/>
    <w:rsid w:val="00777F64"/>
    <w:rsid w:val="00783284"/>
    <w:rsid w:val="00796254"/>
    <w:rsid w:val="007A7B3F"/>
    <w:rsid w:val="007B5C41"/>
    <w:rsid w:val="007C2066"/>
    <w:rsid w:val="007C67F7"/>
    <w:rsid w:val="007C7639"/>
    <w:rsid w:val="007E0138"/>
    <w:rsid w:val="007E4AD0"/>
    <w:rsid w:val="007E71DB"/>
    <w:rsid w:val="007F1725"/>
    <w:rsid w:val="007F53E1"/>
    <w:rsid w:val="007F7614"/>
    <w:rsid w:val="00802945"/>
    <w:rsid w:val="0080318B"/>
    <w:rsid w:val="00807380"/>
    <w:rsid w:val="00812D7C"/>
    <w:rsid w:val="008151AC"/>
    <w:rsid w:val="008237F4"/>
    <w:rsid w:val="008253DE"/>
    <w:rsid w:val="00831F4A"/>
    <w:rsid w:val="0083230A"/>
    <w:rsid w:val="0084396C"/>
    <w:rsid w:val="00851340"/>
    <w:rsid w:val="00851C7A"/>
    <w:rsid w:val="00852E74"/>
    <w:rsid w:val="008621E7"/>
    <w:rsid w:val="00865C4E"/>
    <w:rsid w:val="008722C1"/>
    <w:rsid w:val="00877DB0"/>
    <w:rsid w:val="00894354"/>
    <w:rsid w:val="008977DC"/>
    <w:rsid w:val="008A533E"/>
    <w:rsid w:val="008C0EB6"/>
    <w:rsid w:val="008C1280"/>
    <w:rsid w:val="008D716A"/>
    <w:rsid w:val="008E0708"/>
    <w:rsid w:val="008E22B0"/>
    <w:rsid w:val="008E34E8"/>
    <w:rsid w:val="008E471D"/>
    <w:rsid w:val="00903FED"/>
    <w:rsid w:val="00907406"/>
    <w:rsid w:val="00907F8E"/>
    <w:rsid w:val="00915ED4"/>
    <w:rsid w:val="009223EB"/>
    <w:rsid w:val="00926844"/>
    <w:rsid w:val="009276ED"/>
    <w:rsid w:val="00933E24"/>
    <w:rsid w:val="00934D43"/>
    <w:rsid w:val="00936685"/>
    <w:rsid w:val="00945993"/>
    <w:rsid w:val="0094603D"/>
    <w:rsid w:val="0095001E"/>
    <w:rsid w:val="00950C98"/>
    <w:rsid w:val="00951571"/>
    <w:rsid w:val="00955107"/>
    <w:rsid w:val="00961F2E"/>
    <w:rsid w:val="00962295"/>
    <w:rsid w:val="00962E96"/>
    <w:rsid w:val="00967D65"/>
    <w:rsid w:val="009714E1"/>
    <w:rsid w:val="0097191E"/>
    <w:rsid w:val="00981DFC"/>
    <w:rsid w:val="009836CC"/>
    <w:rsid w:val="00984FF5"/>
    <w:rsid w:val="009916D9"/>
    <w:rsid w:val="00991C61"/>
    <w:rsid w:val="009A1045"/>
    <w:rsid w:val="009A151B"/>
    <w:rsid w:val="009A2126"/>
    <w:rsid w:val="009A7E81"/>
    <w:rsid w:val="009B1084"/>
    <w:rsid w:val="009B4376"/>
    <w:rsid w:val="009B6D35"/>
    <w:rsid w:val="009C77DF"/>
    <w:rsid w:val="009D7FD0"/>
    <w:rsid w:val="009E79D2"/>
    <w:rsid w:val="009F18CE"/>
    <w:rsid w:val="009F1E74"/>
    <w:rsid w:val="009F38B1"/>
    <w:rsid w:val="009F51E7"/>
    <w:rsid w:val="00A00784"/>
    <w:rsid w:val="00A056CD"/>
    <w:rsid w:val="00A05C50"/>
    <w:rsid w:val="00A06355"/>
    <w:rsid w:val="00A077A5"/>
    <w:rsid w:val="00A100A6"/>
    <w:rsid w:val="00A103F5"/>
    <w:rsid w:val="00A10F14"/>
    <w:rsid w:val="00A13E8C"/>
    <w:rsid w:val="00A1588E"/>
    <w:rsid w:val="00A24807"/>
    <w:rsid w:val="00A30D38"/>
    <w:rsid w:val="00A312C5"/>
    <w:rsid w:val="00A3400D"/>
    <w:rsid w:val="00A36E4A"/>
    <w:rsid w:val="00A40F2E"/>
    <w:rsid w:val="00A53232"/>
    <w:rsid w:val="00A541CF"/>
    <w:rsid w:val="00A577F0"/>
    <w:rsid w:val="00A578B9"/>
    <w:rsid w:val="00A63390"/>
    <w:rsid w:val="00A67864"/>
    <w:rsid w:val="00A75335"/>
    <w:rsid w:val="00A81D69"/>
    <w:rsid w:val="00A920C0"/>
    <w:rsid w:val="00A92722"/>
    <w:rsid w:val="00AA1BF7"/>
    <w:rsid w:val="00AA3F73"/>
    <w:rsid w:val="00AA4F09"/>
    <w:rsid w:val="00AB6C7C"/>
    <w:rsid w:val="00AD180B"/>
    <w:rsid w:val="00AD21AD"/>
    <w:rsid w:val="00AD6AAA"/>
    <w:rsid w:val="00AF2CE9"/>
    <w:rsid w:val="00B1215C"/>
    <w:rsid w:val="00B13965"/>
    <w:rsid w:val="00B219BD"/>
    <w:rsid w:val="00B26441"/>
    <w:rsid w:val="00B332F0"/>
    <w:rsid w:val="00B3788E"/>
    <w:rsid w:val="00B42130"/>
    <w:rsid w:val="00B527CF"/>
    <w:rsid w:val="00B60004"/>
    <w:rsid w:val="00B6093F"/>
    <w:rsid w:val="00B60CA9"/>
    <w:rsid w:val="00B6277B"/>
    <w:rsid w:val="00B7633B"/>
    <w:rsid w:val="00B76485"/>
    <w:rsid w:val="00B764B8"/>
    <w:rsid w:val="00B77C55"/>
    <w:rsid w:val="00B93674"/>
    <w:rsid w:val="00B93CA3"/>
    <w:rsid w:val="00B95339"/>
    <w:rsid w:val="00BA4E56"/>
    <w:rsid w:val="00BB0686"/>
    <w:rsid w:val="00BB6F6D"/>
    <w:rsid w:val="00BC0DA6"/>
    <w:rsid w:val="00BC3F0B"/>
    <w:rsid w:val="00BD565D"/>
    <w:rsid w:val="00BD6990"/>
    <w:rsid w:val="00BE0C86"/>
    <w:rsid w:val="00BE69E8"/>
    <w:rsid w:val="00BF11C8"/>
    <w:rsid w:val="00BF1436"/>
    <w:rsid w:val="00C01D6C"/>
    <w:rsid w:val="00C106C5"/>
    <w:rsid w:val="00C12CA8"/>
    <w:rsid w:val="00C216CB"/>
    <w:rsid w:val="00C27385"/>
    <w:rsid w:val="00C30A6A"/>
    <w:rsid w:val="00C35F8A"/>
    <w:rsid w:val="00C42BB4"/>
    <w:rsid w:val="00C43BA1"/>
    <w:rsid w:val="00C443CC"/>
    <w:rsid w:val="00C443FC"/>
    <w:rsid w:val="00C4457E"/>
    <w:rsid w:val="00C45BBB"/>
    <w:rsid w:val="00C47D95"/>
    <w:rsid w:val="00C504C7"/>
    <w:rsid w:val="00C55532"/>
    <w:rsid w:val="00C56253"/>
    <w:rsid w:val="00C608F9"/>
    <w:rsid w:val="00C610FA"/>
    <w:rsid w:val="00C62EE7"/>
    <w:rsid w:val="00C72B4A"/>
    <w:rsid w:val="00C83339"/>
    <w:rsid w:val="00C84E84"/>
    <w:rsid w:val="00C9584E"/>
    <w:rsid w:val="00CA06AA"/>
    <w:rsid w:val="00CC19F2"/>
    <w:rsid w:val="00CD13D5"/>
    <w:rsid w:val="00CD63C7"/>
    <w:rsid w:val="00CE318E"/>
    <w:rsid w:val="00CE4081"/>
    <w:rsid w:val="00CE4AED"/>
    <w:rsid w:val="00CE7588"/>
    <w:rsid w:val="00CF1AAB"/>
    <w:rsid w:val="00CF1BBD"/>
    <w:rsid w:val="00CF2161"/>
    <w:rsid w:val="00CF4B0D"/>
    <w:rsid w:val="00D02575"/>
    <w:rsid w:val="00D029CA"/>
    <w:rsid w:val="00D04713"/>
    <w:rsid w:val="00D0512F"/>
    <w:rsid w:val="00D13839"/>
    <w:rsid w:val="00D1428F"/>
    <w:rsid w:val="00D22A2B"/>
    <w:rsid w:val="00D47C48"/>
    <w:rsid w:val="00D76B53"/>
    <w:rsid w:val="00D775EC"/>
    <w:rsid w:val="00D80D6C"/>
    <w:rsid w:val="00D81CA1"/>
    <w:rsid w:val="00D96573"/>
    <w:rsid w:val="00DA4739"/>
    <w:rsid w:val="00DB7358"/>
    <w:rsid w:val="00DB7F4F"/>
    <w:rsid w:val="00DC0D28"/>
    <w:rsid w:val="00DC6EC9"/>
    <w:rsid w:val="00DD0BAC"/>
    <w:rsid w:val="00DD1631"/>
    <w:rsid w:val="00DD1D6E"/>
    <w:rsid w:val="00DE1384"/>
    <w:rsid w:val="00DE703D"/>
    <w:rsid w:val="00DE755E"/>
    <w:rsid w:val="00DF4540"/>
    <w:rsid w:val="00DF68A0"/>
    <w:rsid w:val="00E0676B"/>
    <w:rsid w:val="00E07100"/>
    <w:rsid w:val="00E1096C"/>
    <w:rsid w:val="00E24AE5"/>
    <w:rsid w:val="00E253FE"/>
    <w:rsid w:val="00E31BC0"/>
    <w:rsid w:val="00E32DA5"/>
    <w:rsid w:val="00E4353C"/>
    <w:rsid w:val="00E52B8E"/>
    <w:rsid w:val="00E53C65"/>
    <w:rsid w:val="00E55EB3"/>
    <w:rsid w:val="00E74A98"/>
    <w:rsid w:val="00E74FA1"/>
    <w:rsid w:val="00E930AF"/>
    <w:rsid w:val="00E95C62"/>
    <w:rsid w:val="00EA0A5C"/>
    <w:rsid w:val="00EA19B5"/>
    <w:rsid w:val="00EA1D6B"/>
    <w:rsid w:val="00EA729C"/>
    <w:rsid w:val="00EB035C"/>
    <w:rsid w:val="00EB5350"/>
    <w:rsid w:val="00EC405D"/>
    <w:rsid w:val="00EE460F"/>
    <w:rsid w:val="00EF19BA"/>
    <w:rsid w:val="00EF2B0E"/>
    <w:rsid w:val="00EF32F2"/>
    <w:rsid w:val="00EF3667"/>
    <w:rsid w:val="00EF781D"/>
    <w:rsid w:val="00EF7BE9"/>
    <w:rsid w:val="00F05457"/>
    <w:rsid w:val="00F056ED"/>
    <w:rsid w:val="00F12DB9"/>
    <w:rsid w:val="00F2038A"/>
    <w:rsid w:val="00F2681E"/>
    <w:rsid w:val="00F26E0E"/>
    <w:rsid w:val="00F37E5D"/>
    <w:rsid w:val="00F41314"/>
    <w:rsid w:val="00F444CA"/>
    <w:rsid w:val="00F50080"/>
    <w:rsid w:val="00F61A77"/>
    <w:rsid w:val="00F66C37"/>
    <w:rsid w:val="00F673E7"/>
    <w:rsid w:val="00F75237"/>
    <w:rsid w:val="00F9062D"/>
    <w:rsid w:val="00F93870"/>
    <w:rsid w:val="00F96381"/>
    <w:rsid w:val="00FA0B83"/>
    <w:rsid w:val="00FA5713"/>
    <w:rsid w:val="00FB4FD6"/>
    <w:rsid w:val="00FB5B08"/>
    <w:rsid w:val="00FC28EA"/>
    <w:rsid w:val="00FC5DD1"/>
    <w:rsid w:val="00FC62F3"/>
    <w:rsid w:val="00FD21B2"/>
    <w:rsid w:val="00FE44AE"/>
    <w:rsid w:val="00FE4ED8"/>
    <w:rsid w:val="00FE4FB5"/>
    <w:rsid w:val="00FE5E56"/>
    <w:rsid w:val="00FE5E94"/>
    <w:rsid w:val="00FE7A24"/>
    <w:rsid w:val="00FF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91AC"/>
  <w15:docId w15:val="{8A6A7311-1994-4CA8-B2E8-239C79AB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6B"/>
    <w:pPr>
      <w:ind w:left="-360"/>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0C076B"/>
    <w:pPr>
      <w:keepNext/>
      <w:spacing w:before="240" w:after="60"/>
      <w:outlineLvl w:val="0"/>
    </w:pPr>
    <w:rPr>
      <w:rFonts w:ascii="Arial" w:hAnsi="Arial"/>
      <w:b/>
      <w:kern w:val="28"/>
      <w:sz w:val="28"/>
    </w:rPr>
  </w:style>
  <w:style w:type="paragraph" w:styleId="Heading5">
    <w:name w:val="heading 5"/>
    <w:basedOn w:val="Normal"/>
    <w:next w:val="Normal"/>
    <w:link w:val="Heading5Char"/>
    <w:qFormat/>
    <w:rsid w:val="000C076B"/>
    <w:pPr>
      <w:keepNext/>
      <w:spacing w:line="240" w:lineRule="exact"/>
      <w:outlineLvl w:val="4"/>
    </w:pPr>
    <w:rPr>
      <w:rFonts w:ascii="Tahoma" w:hAnsi="Tahoma"/>
      <w:b/>
      <w:spacing w:val="4"/>
    </w:rPr>
  </w:style>
  <w:style w:type="paragraph" w:styleId="Heading6">
    <w:name w:val="heading 6"/>
    <w:basedOn w:val="Normal"/>
    <w:next w:val="Normal"/>
    <w:link w:val="Heading6Char"/>
    <w:qFormat/>
    <w:rsid w:val="000C076B"/>
    <w:pPr>
      <w:keepNext/>
      <w:spacing w:line="240" w:lineRule="exact"/>
      <w:outlineLvl w:val="5"/>
    </w:pPr>
    <w:rPr>
      <w:rFonts w:ascii="Tahoma" w:hAnsi="Tahoma"/>
      <w:b/>
      <w:bCs/>
      <w:spacing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076B"/>
    <w:rPr>
      <w:rFonts w:ascii="Arial" w:eastAsia="Times New Roman" w:hAnsi="Arial" w:cs="Times New Roman"/>
      <w:b/>
      <w:kern w:val="28"/>
      <w:sz w:val="28"/>
      <w:szCs w:val="20"/>
      <w:lang w:val="en-GB"/>
    </w:rPr>
  </w:style>
  <w:style w:type="character" w:customStyle="1" w:styleId="Heading5Char">
    <w:name w:val="Heading 5 Char"/>
    <w:link w:val="Heading5"/>
    <w:rsid w:val="000C076B"/>
    <w:rPr>
      <w:rFonts w:ascii="Tahoma" w:eastAsia="Times New Roman" w:hAnsi="Tahoma" w:cs="Times New Roman"/>
      <w:b/>
      <w:spacing w:val="4"/>
      <w:szCs w:val="20"/>
      <w:lang w:val="en-GB"/>
    </w:rPr>
  </w:style>
  <w:style w:type="character" w:customStyle="1" w:styleId="Heading6Char">
    <w:name w:val="Heading 6 Char"/>
    <w:link w:val="Heading6"/>
    <w:rsid w:val="000C076B"/>
    <w:rPr>
      <w:rFonts w:ascii="Tahoma" w:eastAsia="Times New Roman" w:hAnsi="Tahoma" w:cs="Times New Roman"/>
      <w:b/>
      <w:bCs/>
      <w:spacing w:val="4"/>
      <w:sz w:val="24"/>
      <w:szCs w:val="20"/>
      <w:lang w:val="en-GB"/>
    </w:rPr>
  </w:style>
  <w:style w:type="paragraph" w:styleId="BodyText">
    <w:name w:val="Body Text"/>
    <w:basedOn w:val="Normal"/>
    <w:link w:val="BodyTextChar"/>
    <w:semiHidden/>
    <w:rsid w:val="000C076B"/>
    <w:pPr>
      <w:spacing w:line="300" w:lineRule="exact"/>
    </w:pPr>
    <w:rPr>
      <w:rFonts w:ascii="Tahoma" w:hAnsi="Tahoma"/>
      <w:spacing w:val="4"/>
    </w:rPr>
  </w:style>
  <w:style w:type="character" w:customStyle="1" w:styleId="BodyTextChar">
    <w:name w:val="Body Text Char"/>
    <w:link w:val="BodyText"/>
    <w:semiHidden/>
    <w:rsid w:val="000C076B"/>
    <w:rPr>
      <w:rFonts w:ascii="Tahoma" w:eastAsia="Times New Roman" w:hAnsi="Tahoma" w:cs="Times New Roman"/>
      <w:spacing w:val="4"/>
      <w:szCs w:val="20"/>
      <w:lang w:val="en-GB"/>
    </w:rPr>
  </w:style>
  <w:style w:type="paragraph" w:styleId="Header">
    <w:name w:val="header"/>
    <w:basedOn w:val="Normal"/>
    <w:link w:val="HeaderChar"/>
    <w:uiPriority w:val="99"/>
    <w:unhideWhenUsed/>
    <w:rsid w:val="0075562C"/>
    <w:pPr>
      <w:tabs>
        <w:tab w:val="center" w:pos="4680"/>
        <w:tab w:val="right" w:pos="9360"/>
      </w:tabs>
    </w:pPr>
  </w:style>
  <w:style w:type="character" w:customStyle="1" w:styleId="HeaderChar">
    <w:name w:val="Header Char"/>
    <w:link w:val="Header"/>
    <w:uiPriority w:val="99"/>
    <w:rsid w:val="0075562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5562C"/>
    <w:pPr>
      <w:tabs>
        <w:tab w:val="center" w:pos="4680"/>
        <w:tab w:val="right" w:pos="9360"/>
      </w:tabs>
    </w:pPr>
  </w:style>
  <w:style w:type="character" w:customStyle="1" w:styleId="FooterChar">
    <w:name w:val="Footer Char"/>
    <w:link w:val="Footer"/>
    <w:uiPriority w:val="99"/>
    <w:rsid w:val="0075562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B6C7C"/>
    <w:pPr>
      <w:spacing w:after="200" w:line="276" w:lineRule="auto"/>
      <w:ind w:left="720"/>
      <w:contextualSpacing/>
      <w:jc w:val="left"/>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4F3CFA"/>
    <w:rPr>
      <w:rFonts w:ascii="Tahoma" w:hAnsi="Tahoma" w:cs="Tahoma"/>
      <w:sz w:val="16"/>
      <w:szCs w:val="16"/>
    </w:rPr>
  </w:style>
  <w:style w:type="character" w:customStyle="1" w:styleId="BalloonTextChar">
    <w:name w:val="Balloon Text Char"/>
    <w:basedOn w:val="DefaultParagraphFont"/>
    <w:link w:val="BalloonText"/>
    <w:uiPriority w:val="99"/>
    <w:semiHidden/>
    <w:rsid w:val="004F3CF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0290C7-F4C0-4E66-864E-66E40E490650}"/>
</file>

<file path=customXml/itemProps2.xml><?xml version="1.0" encoding="utf-8"?>
<ds:datastoreItem xmlns:ds="http://schemas.openxmlformats.org/officeDocument/2006/customXml" ds:itemID="{AF3B7FA7-00F4-450F-BCD3-3620DBDD7AE3}"/>
</file>

<file path=customXml/itemProps3.xml><?xml version="1.0" encoding="utf-8"?>
<ds:datastoreItem xmlns:ds="http://schemas.openxmlformats.org/officeDocument/2006/customXml" ds:itemID="{9534B228-116E-4C99-A2B2-9BB4DBA3C61E}"/>
</file>

<file path=customXml/itemProps4.xml><?xml version="1.0" encoding="utf-8"?>
<ds:datastoreItem xmlns:ds="http://schemas.openxmlformats.org/officeDocument/2006/customXml" ds:itemID="{A45C4623-63DB-4678-90C5-4D9EEBB3B91F}"/>
</file>

<file path=docProps/app.xml><?xml version="1.0" encoding="utf-8"?>
<Properties xmlns="http://schemas.openxmlformats.org/officeDocument/2006/extended-properties" xmlns:vt="http://schemas.openxmlformats.org/officeDocument/2006/docPropsVTypes">
  <Template>Normal</Template>
  <TotalTime>126</TotalTime>
  <Pages>8</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jghoolet</dc:creator>
  <cp:keywords/>
  <cp:lastModifiedBy>Hema Maywah</cp:lastModifiedBy>
  <cp:revision>36</cp:revision>
  <cp:lastPrinted>2019-08-22T06:28:00Z</cp:lastPrinted>
  <dcterms:created xsi:type="dcterms:W3CDTF">2019-08-20T11:29:00Z</dcterms:created>
  <dcterms:modified xsi:type="dcterms:W3CDTF">2020-11-19T06:57:00Z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