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theme/theme1.xml" ContentType="application/vnd.openxmlformats-officedocument.theme+xml"/>
  <Override PartName="/word/theme/themeOverride3.xml" ContentType="application/vnd.openxmlformats-officedocument.themeOverride+xml"/>
  <Override PartName="/word/charts/colors1.xml" ContentType="application/vnd.ms-office.chartcolorstyle+xml"/>
  <Override PartName="/word/charts/style1.xml" ContentType="application/vnd.ms-office.chart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F6" w:rsidRPr="00F267F6" w:rsidRDefault="00F267F6" w:rsidP="00F267F6">
      <w:pPr>
        <w:rPr>
          <w:b/>
          <w:sz w:val="24"/>
          <w:szCs w:val="24"/>
        </w:rPr>
      </w:pPr>
      <w:r w:rsidRPr="00F267F6">
        <w:rPr>
          <w:b/>
          <w:sz w:val="24"/>
          <w:szCs w:val="24"/>
        </w:rPr>
        <w:t>Population and Vital Statistics, Republic of Mauritius, Year 2019</w:t>
      </w:r>
    </w:p>
    <w:p w:rsidR="00F267F6" w:rsidRDefault="00F267F6" w:rsidP="00F267F6">
      <w:pPr>
        <w:rPr>
          <w:sz w:val="24"/>
          <w:szCs w:val="24"/>
        </w:rPr>
      </w:pPr>
      <w:r w:rsidRPr="00F267F6">
        <w:rPr>
          <w:sz w:val="24"/>
          <w:szCs w:val="24"/>
        </w:rPr>
        <w:t>(Extract on Population Ageing)</w:t>
      </w:r>
    </w:p>
    <w:p w:rsidR="00F267F6" w:rsidRPr="00F267F6" w:rsidRDefault="00F267F6" w:rsidP="00F267F6">
      <w:pPr>
        <w:rPr>
          <w:sz w:val="24"/>
          <w:szCs w:val="24"/>
        </w:rPr>
      </w:pPr>
    </w:p>
    <w:p w:rsidR="00F267F6" w:rsidRPr="00A67BAB" w:rsidRDefault="00F267F6" w:rsidP="00F267F6">
      <w:pPr>
        <w:keepNext/>
        <w:tabs>
          <w:tab w:val="num" w:pos="540"/>
        </w:tabs>
        <w:spacing w:after="100" w:afterAutospacing="1"/>
        <w:outlineLvl w:val="3"/>
        <w:rPr>
          <w:b/>
          <w:sz w:val="28"/>
          <w:szCs w:val="28"/>
        </w:rPr>
      </w:pPr>
      <w:r w:rsidRPr="00A67BAB">
        <w:rPr>
          <w:b/>
          <w:sz w:val="28"/>
          <w:szCs w:val="28"/>
        </w:rPr>
        <w:t>9.</w:t>
      </w:r>
      <w:r w:rsidRPr="00A67BAB">
        <w:rPr>
          <w:b/>
          <w:sz w:val="28"/>
          <w:szCs w:val="28"/>
        </w:rPr>
        <w:tab/>
        <w:t>Ageing</w:t>
      </w:r>
    </w:p>
    <w:p w:rsidR="00F267F6" w:rsidRPr="00A67BAB" w:rsidRDefault="00F267F6" w:rsidP="00F267F6">
      <w:pPr>
        <w:spacing w:after="100" w:afterAutospacing="1" w:line="276" w:lineRule="auto"/>
        <w:jc w:val="both"/>
        <w:rPr>
          <w:sz w:val="24"/>
          <w:szCs w:val="24"/>
        </w:rPr>
      </w:pPr>
      <w:r w:rsidRPr="00A67BAB">
        <w:rPr>
          <w:sz w:val="24"/>
          <w:szCs w:val="24"/>
        </w:rPr>
        <w:t xml:space="preserve">Population ageing is not a new phenomenon. It started in the developed world and is taking place in nearly all the countries of the world. </w:t>
      </w:r>
      <w:r w:rsidRPr="009605EC">
        <w:rPr>
          <w:sz w:val="24"/>
          <w:szCs w:val="24"/>
        </w:rPr>
        <w:t>Ageing is a triumph of development. People are living longer because of better nutrition, sanitation, health care, education and economic well-being.</w:t>
      </w:r>
      <w:r w:rsidRPr="00A67BAB">
        <w:rPr>
          <w:sz w:val="24"/>
          <w:szCs w:val="24"/>
        </w:rPr>
        <w:t xml:space="preserve"> The population of Mauritius as well is ageing. </w:t>
      </w:r>
    </w:p>
    <w:p w:rsidR="00F267F6" w:rsidRDefault="00F267F6" w:rsidP="00F267F6">
      <w:pPr>
        <w:spacing w:line="276" w:lineRule="auto"/>
        <w:jc w:val="both"/>
        <w:rPr>
          <w:sz w:val="24"/>
          <w:szCs w:val="24"/>
        </w:rPr>
      </w:pPr>
      <w:r w:rsidRPr="00A67BAB">
        <w:rPr>
          <w:sz w:val="24"/>
          <w:szCs w:val="24"/>
        </w:rPr>
        <w:t xml:space="preserve">Population ageing is defined as the rise in the median age of the population (defined as the age which divides the population into two equal size groups, one of which is younger and the other older than the median) as a result of the shifting of the age structure of the population towards the upper end of the age distribution. The median age increased from 19.0 years in 1972 to </w:t>
      </w:r>
      <w:r w:rsidRPr="009A7F43">
        <w:rPr>
          <w:sz w:val="24"/>
          <w:szCs w:val="24"/>
        </w:rPr>
        <w:t>36.9 years in 2019</w:t>
      </w:r>
      <w:r w:rsidR="00EC1BA6">
        <w:rPr>
          <w:sz w:val="24"/>
          <w:szCs w:val="24"/>
        </w:rPr>
        <w:t xml:space="preserve"> </w:t>
      </w:r>
      <w:r w:rsidRPr="00A67BAB">
        <w:rPr>
          <w:sz w:val="24"/>
          <w:szCs w:val="24"/>
        </w:rPr>
        <w:t xml:space="preserve">(Figure 9.1). </w:t>
      </w:r>
    </w:p>
    <w:p w:rsidR="00F267F6" w:rsidRPr="00A67BAB" w:rsidRDefault="00F267F6" w:rsidP="00F267F6">
      <w:pPr>
        <w:spacing w:line="276" w:lineRule="auto"/>
        <w:jc w:val="both"/>
        <w:rPr>
          <w:sz w:val="24"/>
          <w:szCs w:val="24"/>
        </w:rPr>
      </w:pPr>
    </w:p>
    <w:p w:rsidR="00F267F6" w:rsidRPr="00A67BAB" w:rsidRDefault="00F267F6" w:rsidP="009F6EC9">
      <w:pPr>
        <w:keepNext/>
        <w:spacing w:after="100" w:afterAutospacing="1"/>
        <w:jc w:val="both"/>
        <w:outlineLvl w:val="0"/>
        <w:rPr>
          <w:b/>
          <w:sz w:val="24"/>
          <w:szCs w:val="24"/>
        </w:rPr>
      </w:pPr>
      <w:r w:rsidRPr="00A67BAB">
        <w:rPr>
          <w:b/>
          <w:sz w:val="24"/>
          <w:szCs w:val="24"/>
        </w:rPr>
        <w:t>Figure 9.1 – Median Age of the population, Republic of Mauritius, 1972 – 2019</w:t>
      </w:r>
    </w:p>
    <w:p w:rsidR="00F267F6" w:rsidRPr="00A67BAB" w:rsidRDefault="00F267F6" w:rsidP="00F267F6">
      <w:r w:rsidRPr="0029506E">
        <w:rPr>
          <w:noProof/>
          <w:lang w:val="en-GB" w:eastAsia="en-GB"/>
        </w:rPr>
        <w:drawing>
          <wp:inline distT="0" distB="0" distL="0" distR="0">
            <wp:extent cx="4572000" cy="27432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267F6" w:rsidRDefault="00F267F6" w:rsidP="00F267F6">
      <w:pPr>
        <w:spacing w:line="276" w:lineRule="auto"/>
        <w:jc w:val="both"/>
        <w:rPr>
          <w:sz w:val="24"/>
          <w:szCs w:val="24"/>
        </w:rPr>
      </w:pPr>
    </w:p>
    <w:p w:rsidR="00F267F6" w:rsidRDefault="00F267F6" w:rsidP="00F267F6">
      <w:pPr>
        <w:spacing w:line="276" w:lineRule="auto"/>
        <w:jc w:val="both"/>
        <w:rPr>
          <w:sz w:val="24"/>
          <w:szCs w:val="24"/>
        </w:rPr>
      </w:pPr>
      <w:r w:rsidRPr="00A67BAB">
        <w:rPr>
          <w:sz w:val="24"/>
          <w:szCs w:val="24"/>
        </w:rPr>
        <w:t xml:space="preserve">For statistical purposes the elderly is taken to be those aged 60 years and above. The population aged 60 years represented 5.9% in 1972 compared to </w:t>
      </w:r>
      <w:r w:rsidRPr="009A7F43">
        <w:rPr>
          <w:sz w:val="24"/>
          <w:szCs w:val="24"/>
        </w:rPr>
        <w:t>17.4% in 2019</w:t>
      </w:r>
      <w:r>
        <w:rPr>
          <w:sz w:val="24"/>
          <w:szCs w:val="24"/>
        </w:rPr>
        <w:t xml:space="preserve"> </w:t>
      </w:r>
      <w:r w:rsidRPr="00A67BAB">
        <w:rPr>
          <w:sz w:val="24"/>
          <w:szCs w:val="24"/>
        </w:rPr>
        <w:t xml:space="preserve">(Figure 9.2). </w:t>
      </w:r>
    </w:p>
    <w:p w:rsidR="00F267F6" w:rsidRDefault="00F267F6" w:rsidP="00F267F6">
      <w:pPr>
        <w:spacing w:line="276" w:lineRule="auto"/>
        <w:jc w:val="both"/>
        <w:rPr>
          <w:sz w:val="24"/>
          <w:szCs w:val="24"/>
        </w:rPr>
      </w:pPr>
    </w:p>
    <w:p w:rsidR="00F267F6" w:rsidRPr="003106C8" w:rsidRDefault="00F267F6" w:rsidP="00F267F6">
      <w:pPr>
        <w:spacing w:line="276" w:lineRule="auto"/>
        <w:jc w:val="both"/>
        <w:rPr>
          <w:sz w:val="24"/>
          <w:szCs w:val="24"/>
        </w:rPr>
      </w:pPr>
      <w:r w:rsidRPr="00A67BAB">
        <w:rPr>
          <w:b/>
          <w:sz w:val="24"/>
          <w:szCs w:val="24"/>
        </w:rPr>
        <w:t>Figure 9.2 – Percentage of the population aged 60 years and above, Republic of Mauritius, 1972 - 2019</w:t>
      </w:r>
    </w:p>
    <w:p w:rsidR="00F267F6" w:rsidRPr="00A67BAB" w:rsidRDefault="00F267F6" w:rsidP="00F267F6">
      <w:pPr>
        <w:jc w:val="both"/>
        <w:rPr>
          <w:b/>
          <w:color w:val="000000"/>
          <w:sz w:val="26"/>
          <w:szCs w:val="26"/>
          <w:u w:val="single"/>
        </w:rPr>
      </w:pPr>
      <w:r w:rsidRPr="0029506E">
        <w:rPr>
          <w:noProof/>
          <w:lang w:val="en-GB" w:eastAsia="en-GB"/>
        </w:rPr>
        <w:drawing>
          <wp:inline distT="0" distB="0" distL="0" distR="0">
            <wp:extent cx="3829050" cy="23431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67F6" w:rsidRDefault="00F267F6" w:rsidP="00F267F6">
      <w:pPr>
        <w:jc w:val="both"/>
        <w:rPr>
          <w:b/>
          <w:color w:val="000000"/>
          <w:sz w:val="26"/>
          <w:szCs w:val="26"/>
        </w:rPr>
      </w:pPr>
    </w:p>
    <w:p w:rsidR="00F267F6" w:rsidRPr="00A67BAB" w:rsidRDefault="00F267F6" w:rsidP="00F267F6">
      <w:pPr>
        <w:jc w:val="both"/>
        <w:rPr>
          <w:b/>
          <w:color w:val="000000"/>
          <w:sz w:val="26"/>
          <w:szCs w:val="26"/>
        </w:rPr>
      </w:pPr>
      <w:r w:rsidRPr="00A67BAB">
        <w:rPr>
          <w:b/>
          <w:color w:val="000000"/>
          <w:sz w:val="26"/>
          <w:szCs w:val="26"/>
        </w:rPr>
        <w:t>9.1</w:t>
      </w:r>
      <w:r w:rsidRPr="00A67BAB">
        <w:rPr>
          <w:b/>
          <w:color w:val="000000"/>
          <w:sz w:val="26"/>
          <w:szCs w:val="26"/>
        </w:rPr>
        <w:tab/>
        <w:t>Why the population is ageing?</w:t>
      </w:r>
    </w:p>
    <w:p w:rsidR="00F267F6" w:rsidRPr="00A67BAB" w:rsidRDefault="00F267F6" w:rsidP="00F267F6">
      <w:pPr>
        <w:jc w:val="both"/>
        <w:rPr>
          <w:b/>
          <w:color w:val="000000"/>
          <w:sz w:val="24"/>
          <w:szCs w:val="24"/>
          <w:u w:val="single"/>
        </w:rPr>
      </w:pPr>
    </w:p>
    <w:p w:rsidR="00F267F6" w:rsidRPr="00A67BAB" w:rsidRDefault="00F267F6" w:rsidP="00F267F6">
      <w:pPr>
        <w:spacing w:after="100" w:afterAutospacing="1" w:line="276" w:lineRule="auto"/>
        <w:jc w:val="both"/>
        <w:rPr>
          <w:sz w:val="24"/>
          <w:szCs w:val="24"/>
        </w:rPr>
      </w:pPr>
      <w:r w:rsidRPr="00A67BAB">
        <w:rPr>
          <w:sz w:val="24"/>
          <w:szCs w:val="24"/>
        </w:rPr>
        <w:t>The ageing process can be explained by increased longevity and lowering levels of fertility.  The number of births per 1,000 population decreased by 75% over the past 60 years. Low levels of fertility have resulted in a decreasing share of young people in the total population. This is visible through a shrinking of the base of age pyramids from 1972 to 2019 (See Figure 8.4.1).</w:t>
      </w:r>
    </w:p>
    <w:p w:rsidR="00F267F6" w:rsidRPr="00A67BAB" w:rsidRDefault="00F267F6" w:rsidP="00F267F6">
      <w:pPr>
        <w:spacing w:after="100" w:afterAutospacing="1" w:line="276" w:lineRule="auto"/>
        <w:jc w:val="both"/>
        <w:rPr>
          <w:sz w:val="24"/>
          <w:szCs w:val="24"/>
        </w:rPr>
      </w:pPr>
      <w:r w:rsidRPr="00A67BAB">
        <w:rPr>
          <w:sz w:val="24"/>
          <w:szCs w:val="24"/>
        </w:rPr>
        <w:t>In the 1970’s, on average, a man was expected to live up to 61 years and a woman up to 66 years</w:t>
      </w:r>
      <w:r w:rsidRPr="0077198B">
        <w:rPr>
          <w:sz w:val="24"/>
          <w:szCs w:val="24"/>
        </w:rPr>
        <w:t>; in 2018</w:t>
      </w:r>
      <w:r w:rsidRPr="00A67BAB">
        <w:rPr>
          <w:sz w:val="24"/>
          <w:szCs w:val="24"/>
        </w:rPr>
        <w:t xml:space="preserve"> </w:t>
      </w:r>
      <w:r>
        <w:rPr>
          <w:sz w:val="24"/>
          <w:szCs w:val="24"/>
        </w:rPr>
        <w:t xml:space="preserve">they are expected to live up to </w:t>
      </w:r>
      <w:r w:rsidRPr="0077198B">
        <w:rPr>
          <w:sz w:val="24"/>
          <w:szCs w:val="24"/>
        </w:rPr>
        <w:t>71 and 78</w:t>
      </w:r>
      <w:r w:rsidRPr="00A67BAB">
        <w:rPr>
          <w:sz w:val="24"/>
          <w:szCs w:val="24"/>
        </w:rPr>
        <w:t xml:space="preserve"> years respectively. </w:t>
      </w:r>
    </w:p>
    <w:p w:rsidR="00F267F6" w:rsidRPr="00A67BAB" w:rsidRDefault="00F267F6" w:rsidP="00F267F6">
      <w:pPr>
        <w:jc w:val="both"/>
        <w:rPr>
          <w:b/>
          <w:color w:val="000000"/>
          <w:sz w:val="26"/>
          <w:szCs w:val="26"/>
        </w:rPr>
      </w:pPr>
      <w:r w:rsidRPr="00A67BAB">
        <w:rPr>
          <w:b/>
          <w:color w:val="000000"/>
          <w:sz w:val="26"/>
          <w:szCs w:val="26"/>
        </w:rPr>
        <w:t>9.2</w:t>
      </w:r>
      <w:r w:rsidRPr="00A67BAB">
        <w:rPr>
          <w:b/>
          <w:color w:val="000000"/>
          <w:sz w:val="26"/>
          <w:szCs w:val="26"/>
        </w:rPr>
        <w:tab/>
        <w:t xml:space="preserve">Characteristics of older population </w:t>
      </w:r>
    </w:p>
    <w:p w:rsidR="00F267F6" w:rsidRPr="00A67BAB" w:rsidRDefault="00F267F6" w:rsidP="00F267F6">
      <w:pPr>
        <w:jc w:val="both"/>
        <w:rPr>
          <w:sz w:val="24"/>
          <w:szCs w:val="24"/>
        </w:rPr>
      </w:pPr>
    </w:p>
    <w:p w:rsidR="00F267F6" w:rsidRPr="00A67BAB" w:rsidRDefault="00F267F6" w:rsidP="00F267F6">
      <w:pPr>
        <w:spacing w:line="276" w:lineRule="auto"/>
        <w:jc w:val="both"/>
        <w:rPr>
          <w:sz w:val="24"/>
          <w:szCs w:val="24"/>
        </w:rPr>
      </w:pPr>
      <w:r w:rsidRPr="00A67BAB">
        <w:rPr>
          <w:sz w:val="24"/>
          <w:szCs w:val="24"/>
        </w:rPr>
        <w:t xml:space="preserve">Another aspect of population ageing is the progressive ageing of the older population itself. Older people are the fastest growing group. </w:t>
      </w:r>
      <w:r w:rsidRPr="009F5E14">
        <w:rPr>
          <w:sz w:val="24"/>
          <w:szCs w:val="24"/>
        </w:rPr>
        <w:t>The “oldest, old people” that is the population aged 80 years and above is increasing more rapidly than any younger age group within the older population. The proportion of “oldest, old people” increased from 7.9% in 1972 to 11.3% in 2019 (Figure 9.3). In absolute terms, a fourfold increase was observed among the number of people in the age group 60-69 years and 70-79 years between 1972 and 2019.</w:t>
      </w:r>
      <w:r w:rsidRPr="00A67BAB">
        <w:rPr>
          <w:sz w:val="24"/>
          <w:szCs w:val="24"/>
        </w:rPr>
        <w:t xml:space="preserve"> </w:t>
      </w:r>
    </w:p>
    <w:p w:rsidR="00F267F6" w:rsidRPr="00A67BAB" w:rsidRDefault="00F267F6" w:rsidP="00F267F6">
      <w:pPr>
        <w:keepNext/>
        <w:spacing w:after="100" w:afterAutospacing="1"/>
        <w:jc w:val="both"/>
        <w:outlineLvl w:val="0"/>
        <w:rPr>
          <w:b/>
          <w:sz w:val="24"/>
          <w:szCs w:val="24"/>
        </w:rPr>
      </w:pPr>
      <w:r w:rsidRPr="009F5E14">
        <w:rPr>
          <w:b/>
          <w:sz w:val="24"/>
          <w:szCs w:val="24"/>
        </w:rPr>
        <w:t>Figure 9.3 – Age distribution of the elderly, Republic of Mauritius, 1972 – 2019</w:t>
      </w:r>
    </w:p>
    <w:p w:rsidR="00F267F6" w:rsidRPr="00A67BAB" w:rsidRDefault="00F267F6" w:rsidP="00F267F6">
      <w:pPr>
        <w:rPr>
          <w:sz w:val="24"/>
          <w:szCs w:val="24"/>
        </w:rPr>
      </w:pPr>
      <w:r w:rsidRPr="0029506E">
        <w:rPr>
          <w:noProof/>
          <w:lang w:val="en-GB" w:eastAsia="en-GB"/>
        </w:rPr>
        <w:drawing>
          <wp:inline distT="0" distB="0" distL="0" distR="0">
            <wp:extent cx="3505200" cy="2378710"/>
            <wp:effectExtent l="0" t="0" r="0" b="25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67F6" w:rsidRDefault="00F267F6" w:rsidP="00F267F6">
      <w:pPr>
        <w:spacing w:line="276" w:lineRule="auto"/>
        <w:jc w:val="both"/>
        <w:rPr>
          <w:sz w:val="24"/>
          <w:szCs w:val="24"/>
        </w:rPr>
      </w:pPr>
    </w:p>
    <w:p w:rsidR="00F267F6" w:rsidRDefault="00F267F6" w:rsidP="00F267F6">
      <w:pPr>
        <w:spacing w:line="276" w:lineRule="auto"/>
        <w:jc w:val="both"/>
        <w:rPr>
          <w:color w:val="000000"/>
          <w:sz w:val="24"/>
          <w:szCs w:val="24"/>
        </w:rPr>
      </w:pPr>
      <w:r w:rsidRPr="00A67BAB">
        <w:rPr>
          <w:sz w:val="24"/>
          <w:szCs w:val="24"/>
        </w:rPr>
        <w:t>There is also a difference in the gender composition by age of the older population</w:t>
      </w:r>
      <w:r w:rsidRPr="007D146A">
        <w:rPr>
          <w:sz w:val="24"/>
          <w:szCs w:val="24"/>
        </w:rPr>
        <w:t>.</w:t>
      </w:r>
      <w:r w:rsidRPr="007D146A">
        <w:t xml:space="preserve"> </w:t>
      </w:r>
      <w:r w:rsidRPr="007D146A">
        <w:rPr>
          <w:sz w:val="24"/>
          <w:szCs w:val="24"/>
        </w:rPr>
        <w:t xml:space="preserve">Women tend to live longer than men, with the result that there </w:t>
      </w:r>
      <w:r w:rsidRPr="004F0BE2">
        <w:rPr>
          <w:sz w:val="24"/>
          <w:szCs w:val="24"/>
        </w:rPr>
        <w:t xml:space="preserve">are </w:t>
      </w:r>
      <w:proofErr w:type="gramStart"/>
      <w:r w:rsidRPr="004F0BE2">
        <w:rPr>
          <w:sz w:val="24"/>
          <w:szCs w:val="24"/>
        </w:rPr>
        <w:t>more older</w:t>
      </w:r>
      <w:proofErr w:type="gramEnd"/>
      <w:r w:rsidRPr="007D146A">
        <w:rPr>
          <w:sz w:val="24"/>
          <w:szCs w:val="24"/>
        </w:rPr>
        <w:t xml:space="preserve"> women than older men, the so-called “feminization” of ageing.</w:t>
      </w:r>
      <w:r w:rsidRPr="00A67BAB">
        <w:rPr>
          <w:sz w:val="24"/>
          <w:szCs w:val="24"/>
        </w:rPr>
        <w:t xml:space="preserve"> In 2019, f</w:t>
      </w:r>
      <w:r w:rsidRPr="00A67BAB">
        <w:rPr>
          <w:color w:val="000000"/>
          <w:sz w:val="24"/>
          <w:szCs w:val="24"/>
        </w:rPr>
        <w:t>or every 100 women in the age group 60-69, there were only 90 men. Their number dropped to 74 in the age group 70-79. For the oldest old (80+ years) the sex ratio reached 54 men for every 100 women.</w:t>
      </w:r>
    </w:p>
    <w:p w:rsidR="00F267F6" w:rsidRPr="00A67BAB" w:rsidRDefault="00F267F6" w:rsidP="00F267F6">
      <w:pPr>
        <w:spacing w:line="276" w:lineRule="auto"/>
        <w:jc w:val="both"/>
        <w:rPr>
          <w:color w:val="000000"/>
          <w:sz w:val="24"/>
          <w:szCs w:val="24"/>
        </w:rPr>
      </w:pPr>
    </w:p>
    <w:p w:rsidR="00F267F6" w:rsidRPr="00A67BAB" w:rsidRDefault="00F267F6" w:rsidP="00F267F6">
      <w:pPr>
        <w:rPr>
          <w:b/>
          <w:bCs/>
          <w:color w:val="000000"/>
          <w:sz w:val="24"/>
          <w:szCs w:val="24"/>
        </w:rPr>
      </w:pPr>
      <w:r w:rsidRPr="00A67BAB">
        <w:rPr>
          <w:b/>
          <w:bCs/>
          <w:color w:val="000000"/>
          <w:sz w:val="24"/>
          <w:szCs w:val="24"/>
        </w:rPr>
        <w:t>Table 9.4 – Sex Ratio by age, for the Republic of Mauritius, 1972 – 2019</w:t>
      </w:r>
    </w:p>
    <w:p w:rsidR="00F267F6" w:rsidRPr="00A67BAB" w:rsidRDefault="00F267F6" w:rsidP="00F267F6">
      <w:pPr>
        <w:rPr>
          <w:b/>
          <w:bCs/>
          <w:color w:val="000000"/>
          <w:sz w:val="24"/>
          <w:szCs w:val="24"/>
        </w:rPr>
      </w:pPr>
    </w:p>
    <w:tbl>
      <w:tblPr>
        <w:tblW w:w="4140" w:type="dxa"/>
        <w:tblLook w:val="04A0" w:firstRow="1" w:lastRow="0" w:firstColumn="1" w:lastColumn="0" w:noHBand="0" w:noVBand="1"/>
      </w:tblPr>
      <w:tblGrid>
        <w:gridCol w:w="1413"/>
        <w:gridCol w:w="850"/>
        <w:gridCol w:w="993"/>
        <w:gridCol w:w="884"/>
      </w:tblGrid>
      <w:tr w:rsidR="00F267F6" w:rsidRPr="00A67BAB" w:rsidTr="00175DC5">
        <w:trPr>
          <w:trHeight w:val="63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F6" w:rsidRPr="00A67BAB" w:rsidRDefault="00F267F6" w:rsidP="00175DC5">
            <w:pPr>
              <w:rPr>
                <w:b/>
                <w:bCs/>
                <w:color w:val="000000"/>
                <w:sz w:val="24"/>
                <w:szCs w:val="24"/>
                <w:lang w:val="en-GB" w:eastAsia="en-GB"/>
              </w:rPr>
            </w:pPr>
            <w:r w:rsidRPr="00A67BAB">
              <w:rPr>
                <w:b/>
                <w:bCs/>
                <w:color w:val="000000"/>
                <w:sz w:val="24"/>
                <w:szCs w:val="24"/>
                <w:lang w:val="en-GB" w:eastAsia="en-GB"/>
              </w:rPr>
              <w:t xml:space="preserve">Age Group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267F6" w:rsidRPr="00A67BAB" w:rsidRDefault="00F267F6" w:rsidP="00175DC5">
            <w:pPr>
              <w:jc w:val="center"/>
              <w:rPr>
                <w:b/>
                <w:bCs/>
                <w:color w:val="000000"/>
                <w:sz w:val="24"/>
                <w:szCs w:val="24"/>
                <w:lang w:val="en-GB" w:eastAsia="en-GB"/>
              </w:rPr>
            </w:pPr>
            <w:r w:rsidRPr="00A67BAB">
              <w:rPr>
                <w:b/>
                <w:bCs/>
                <w:color w:val="000000"/>
                <w:sz w:val="24"/>
                <w:szCs w:val="24"/>
                <w:lang w:val="en-GB" w:eastAsia="en-GB"/>
              </w:rPr>
              <w:t>1972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267F6" w:rsidRPr="00A67BAB" w:rsidRDefault="00F267F6" w:rsidP="00175DC5">
            <w:pPr>
              <w:jc w:val="center"/>
              <w:rPr>
                <w:b/>
                <w:bCs/>
                <w:color w:val="000000"/>
                <w:sz w:val="24"/>
                <w:szCs w:val="24"/>
                <w:lang w:val="en-GB" w:eastAsia="en-GB"/>
              </w:rPr>
            </w:pPr>
            <w:r w:rsidRPr="00A67BAB">
              <w:rPr>
                <w:b/>
                <w:bCs/>
                <w:color w:val="000000"/>
                <w:sz w:val="24"/>
                <w:szCs w:val="24"/>
                <w:lang w:val="en-GB" w:eastAsia="en-GB"/>
              </w:rPr>
              <w:t>2000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267F6" w:rsidRPr="00A67BAB" w:rsidRDefault="00F267F6" w:rsidP="00175DC5">
            <w:pPr>
              <w:jc w:val="center"/>
              <w:rPr>
                <w:b/>
                <w:bCs/>
                <w:color w:val="000000"/>
                <w:sz w:val="24"/>
                <w:szCs w:val="24"/>
                <w:lang w:val="en-GB" w:eastAsia="en-GB"/>
              </w:rPr>
            </w:pPr>
            <w:r w:rsidRPr="00A67BAB">
              <w:rPr>
                <w:b/>
                <w:bCs/>
                <w:color w:val="000000"/>
                <w:sz w:val="24"/>
                <w:szCs w:val="24"/>
                <w:lang w:val="en-GB" w:eastAsia="en-GB"/>
              </w:rPr>
              <w:t>2019</w:t>
            </w:r>
          </w:p>
        </w:tc>
      </w:tr>
      <w:tr w:rsidR="00F267F6" w:rsidRPr="00A67BAB" w:rsidTr="00175DC5">
        <w:trPr>
          <w:trHeight w:val="315"/>
        </w:trPr>
        <w:tc>
          <w:tcPr>
            <w:tcW w:w="1413" w:type="dxa"/>
            <w:tcBorders>
              <w:top w:val="nil"/>
              <w:left w:val="single" w:sz="4" w:space="0" w:color="auto"/>
              <w:bottom w:val="nil"/>
              <w:right w:val="single" w:sz="4" w:space="0" w:color="auto"/>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60-69</w:t>
            </w:r>
          </w:p>
        </w:tc>
        <w:tc>
          <w:tcPr>
            <w:tcW w:w="850" w:type="dxa"/>
            <w:tcBorders>
              <w:top w:val="nil"/>
              <w:left w:val="nil"/>
              <w:bottom w:val="nil"/>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92.2</w:t>
            </w:r>
          </w:p>
        </w:tc>
        <w:tc>
          <w:tcPr>
            <w:tcW w:w="993" w:type="dxa"/>
            <w:tcBorders>
              <w:top w:val="nil"/>
              <w:left w:val="nil"/>
              <w:bottom w:val="nil"/>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85.1</w:t>
            </w:r>
          </w:p>
        </w:tc>
        <w:tc>
          <w:tcPr>
            <w:tcW w:w="884" w:type="dxa"/>
            <w:tcBorders>
              <w:top w:val="nil"/>
              <w:left w:val="nil"/>
              <w:bottom w:val="nil"/>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89.7</w:t>
            </w:r>
          </w:p>
        </w:tc>
      </w:tr>
      <w:tr w:rsidR="00F267F6" w:rsidRPr="00A67BAB" w:rsidTr="00175DC5">
        <w:trPr>
          <w:trHeight w:val="315"/>
        </w:trPr>
        <w:tc>
          <w:tcPr>
            <w:tcW w:w="1413" w:type="dxa"/>
            <w:tcBorders>
              <w:top w:val="nil"/>
              <w:left w:val="single" w:sz="4" w:space="0" w:color="auto"/>
              <w:bottom w:val="nil"/>
              <w:right w:val="single" w:sz="4" w:space="0" w:color="auto"/>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70-79</w:t>
            </w:r>
          </w:p>
        </w:tc>
        <w:tc>
          <w:tcPr>
            <w:tcW w:w="850" w:type="dxa"/>
            <w:tcBorders>
              <w:top w:val="nil"/>
              <w:left w:val="nil"/>
              <w:bottom w:val="nil"/>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66.6</w:t>
            </w:r>
          </w:p>
        </w:tc>
        <w:tc>
          <w:tcPr>
            <w:tcW w:w="993" w:type="dxa"/>
            <w:tcBorders>
              <w:top w:val="nil"/>
              <w:left w:val="nil"/>
              <w:bottom w:val="nil"/>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73.8</w:t>
            </w:r>
          </w:p>
        </w:tc>
        <w:tc>
          <w:tcPr>
            <w:tcW w:w="884" w:type="dxa"/>
            <w:tcBorders>
              <w:top w:val="nil"/>
              <w:left w:val="nil"/>
              <w:bottom w:val="nil"/>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74.1</w:t>
            </w:r>
          </w:p>
        </w:tc>
      </w:tr>
      <w:tr w:rsidR="00F267F6" w:rsidRPr="00A67BAB" w:rsidTr="00175DC5">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80+</w:t>
            </w:r>
          </w:p>
        </w:tc>
        <w:tc>
          <w:tcPr>
            <w:tcW w:w="850" w:type="dxa"/>
            <w:tcBorders>
              <w:top w:val="nil"/>
              <w:left w:val="nil"/>
              <w:bottom w:val="single" w:sz="4" w:space="0" w:color="auto"/>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37.5</w:t>
            </w:r>
          </w:p>
        </w:tc>
        <w:tc>
          <w:tcPr>
            <w:tcW w:w="993" w:type="dxa"/>
            <w:tcBorders>
              <w:top w:val="nil"/>
              <w:left w:val="nil"/>
              <w:bottom w:val="single" w:sz="4" w:space="0" w:color="auto"/>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48.9</w:t>
            </w:r>
          </w:p>
        </w:tc>
        <w:tc>
          <w:tcPr>
            <w:tcW w:w="884" w:type="dxa"/>
            <w:tcBorders>
              <w:top w:val="nil"/>
              <w:left w:val="nil"/>
              <w:bottom w:val="single" w:sz="4" w:space="0" w:color="auto"/>
              <w:right w:val="single" w:sz="4" w:space="0" w:color="auto"/>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54.1</w:t>
            </w:r>
          </w:p>
        </w:tc>
      </w:tr>
    </w:tbl>
    <w:p w:rsidR="00F267F6" w:rsidRDefault="00F267F6" w:rsidP="00F267F6">
      <w:pPr>
        <w:jc w:val="both"/>
        <w:rPr>
          <w:b/>
          <w:sz w:val="26"/>
          <w:szCs w:val="26"/>
        </w:rPr>
      </w:pPr>
    </w:p>
    <w:p w:rsidR="00F267F6" w:rsidRDefault="00F267F6" w:rsidP="00F267F6">
      <w:pPr>
        <w:jc w:val="both"/>
        <w:rPr>
          <w:b/>
          <w:sz w:val="26"/>
          <w:szCs w:val="26"/>
        </w:rPr>
      </w:pPr>
    </w:p>
    <w:p w:rsidR="00F267F6" w:rsidRPr="00A67BAB" w:rsidRDefault="00F267F6" w:rsidP="00F267F6">
      <w:pPr>
        <w:jc w:val="both"/>
        <w:rPr>
          <w:b/>
          <w:sz w:val="26"/>
          <w:szCs w:val="26"/>
        </w:rPr>
      </w:pPr>
      <w:r w:rsidRPr="00A67BAB">
        <w:rPr>
          <w:b/>
          <w:sz w:val="26"/>
          <w:szCs w:val="26"/>
        </w:rPr>
        <w:lastRenderedPageBreak/>
        <w:t>9.3</w:t>
      </w:r>
      <w:r w:rsidRPr="00A67BAB">
        <w:rPr>
          <w:b/>
          <w:sz w:val="26"/>
          <w:szCs w:val="26"/>
        </w:rPr>
        <w:tab/>
        <w:t>Implications of ageing</w:t>
      </w:r>
    </w:p>
    <w:p w:rsidR="00F267F6" w:rsidRPr="00A67BAB" w:rsidRDefault="00F267F6" w:rsidP="00F267F6">
      <w:pPr>
        <w:jc w:val="both"/>
        <w:rPr>
          <w:b/>
          <w:sz w:val="24"/>
          <w:szCs w:val="24"/>
          <w:u w:val="single"/>
        </w:rPr>
      </w:pPr>
    </w:p>
    <w:p w:rsidR="00F267F6" w:rsidRPr="00580B0D" w:rsidRDefault="00F267F6" w:rsidP="00F267F6">
      <w:pPr>
        <w:spacing w:after="100" w:afterAutospacing="1" w:line="276" w:lineRule="auto"/>
        <w:jc w:val="both"/>
        <w:rPr>
          <w:bCs/>
          <w:color w:val="000000"/>
          <w:sz w:val="24"/>
          <w:szCs w:val="24"/>
          <w:lang w:val="en-GB" w:eastAsia="x-none"/>
        </w:rPr>
      </w:pPr>
      <w:r w:rsidRPr="00A67BAB">
        <w:rPr>
          <w:bCs/>
          <w:sz w:val="24"/>
          <w:szCs w:val="24"/>
          <w:lang w:val="x-none" w:eastAsia="x-none"/>
        </w:rPr>
        <w:t xml:space="preserve">The </w:t>
      </w:r>
      <w:r w:rsidRPr="00A67BAB">
        <w:rPr>
          <w:bCs/>
          <w:sz w:val="24"/>
          <w:szCs w:val="24"/>
          <w:lang w:eastAsia="x-none"/>
        </w:rPr>
        <w:t>implications of ageing are numerous and some of them are highlighted. Ag</w:t>
      </w:r>
      <w:proofErr w:type="spellStart"/>
      <w:r w:rsidRPr="00A67BAB">
        <w:rPr>
          <w:bCs/>
          <w:sz w:val="24"/>
          <w:szCs w:val="24"/>
          <w:lang w:val="x-none" w:eastAsia="x-none"/>
        </w:rPr>
        <w:t>eing</w:t>
      </w:r>
      <w:proofErr w:type="spellEnd"/>
      <w:r w:rsidRPr="00A67BAB">
        <w:rPr>
          <w:bCs/>
          <w:sz w:val="24"/>
          <w:szCs w:val="24"/>
          <w:lang w:val="x-none" w:eastAsia="x-none"/>
        </w:rPr>
        <w:t xml:space="preserve"> will affect pension schemes; beneficiaries will be more numerous and they will claim benefits over a much longer period than at present. </w:t>
      </w:r>
      <w:r w:rsidRPr="00A67BAB">
        <w:rPr>
          <w:bCs/>
          <w:color w:val="000000"/>
          <w:sz w:val="24"/>
          <w:szCs w:val="24"/>
          <w:lang w:val="x-none" w:eastAsia="x-none"/>
        </w:rPr>
        <w:t xml:space="preserve">Population ageing is also correlated with an increase in the prevalence of a number of long-term chronic conditions as well as physical and mental disability. The other concern will be </w:t>
      </w:r>
      <w:r w:rsidRPr="00A67BAB">
        <w:rPr>
          <w:bCs/>
          <w:color w:val="000000"/>
          <w:sz w:val="24"/>
          <w:szCs w:val="24"/>
          <w:lang w:eastAsia="x-none"/>
        </w:rPr>
        <w:t xml:space="preserve">an </w:t>
      </w:r>
      <w:r w:rsidRPr="00A67BAB">
        <w:rPr>
          <w:bCs/>
          <w:color w:val="000000"/>
          <w:sz w:val="24"/>
          <w:szCs w:val="24"/>
          <w:lang w:val="x-none" w:eastAsia="x-none"/>
        </w:rPr>
        <w:t xml:space="preserve">increased demand for health care, </w:t>
      </w:r>
      <w:r w:rsidRPr="00A67BAB">
        <w:rPr>
          <w:bCs/>
          <w:sz w:val="24"/>
          <w:szCs w:val="24"/>
          <w:lang w:val="x-none" w:eastAsia="x-none"/>
        </w:rPr>
        <w:t>keeping in mind that women will predominate among the elderly a</w:t>
      </w:r>
      <w:r w:rsidRPr="00A67BAB">
        <w:rPr>
          <w:bCs/>
          <w:color w:val="000000"/>
          <w:sz w:val="24"/>
          <w:szCs w:val="24"/>
          <w:lang w:val="x-none" w:eastAsia="x-none"/>
        </w:rPr>
        <w:t>nd other age-related government expenditures.</w:t>
      </w:r>
      <w:r w:rsidRPr="00A67BAB">
        <w:rPr>
          <w:bCs/>
          <w:color w:val="000000"/>
          <w:sz w:val="24"/>
          <w:szCs w:val="24"/>
          <w:lang w:val="en-GB" w:eastAsia="x-none"/>
        </w:rPr>
        <w:t xml:space="preserve"> </w:t>
      </w:r>
      <w:r w:rsidRPr="00580B0D">
        <w:rPr>
          <w:bCs/>
          <w:color w:val="000000"/>
          <w:sz w:val="24"/>
          <w:szCs w:val="24"/>
          <w:lang w:val="en-GB" w:eastAsia="x-none"/>
        </w:rPr>
        <w:t xml:space="preserve">Living arrangements, including housing and </w:t>
      </w:r>
      <w:r w:rsidRPr="004F0BE2">
        <w:rPr>
          <w:bCs/>
          <w:color w:val="000000"/>
          <w:sz w:val="24"/>
          <w:szCs w:val="24"/>
          <w:lang w:val="en-GB" w:eastAsia="x-none"/>
        </w:rPr>
        <w:t xml:space="preserve">transportation will need to be made </w:t>
      </w:r>
      <w:r w:rsidRPr="00580B0D">
        <w:rPr>
          <w:bCs/>
          <w:color w:val="000000"/>
          <w:sz w:val="24"/>
          <w:szCs w:val="24"/>
          <w:lang w:val="en-GB" w:eastAsia="x-none"/>
        </w:rPr>
        <w:t xml:space="preserve">age-friendly, to ensure that older persons can remain independent for as long as possible. </w:t>
      </w:r>
      <w:r w:rsidRPr="00580B0D">
        <w:rPr>
          <w:bCs/>
          <w:sz w:val="26"/>
          <w:lang w:val="x-none" w:eastAsia="x-none"/>
        </w:rPr>
        <w:t xml:space="preserve"> </w:t>
      </w:r>
    </w:p>
    <w:p w:rsidR="00F267F6" w:rsidRPr="00580B0D" w:rsidRDefault="00F267F6" w:rsidP="00F267F6">
      <w:pPr>
        <w:jc w:val="both"/>
        <w:rPr>
          <w:b/>
          <w:sz w:val="26"/>
          <w:szCs w:val="26"/>
        </w:rPr>
      </w:pPr>
      <w:r w:rsidRPr="00580B0D">
        <w:rPr>
          <w:b/>
          <w:sz w:val="26"/>
          <w:szCs w:val="26"/>
        </w:rPr>
        <w:t>9.4</w:t>
      </w:r>
      <w:r w:rsidRPr="00580B0D">
        <w:rPr>
          <w:b/>
          <w:sz w:val="26"/>
          <w:szCs w:val="26"/>
        </w:rPr>
        <w:tab/>
        <w:t>International Comparison</w:t>
      </w:r>
    </w:p>
    <w:p w:rsidR="00F267F6" w:rsidRPr="00A67BAB" w:rsidRDefault="00F267F6" w:rsidP="00F267F6">
      <w:pPr>
        <w:jc w:val="both"/>
        <w:rPr>
          <w:b/>
          <w:sz w:val="26"/>
          <w:szCs w:val="26"/>
          <w:highlight w:val="yellow"/>
        </w:rPr>
      </w:pPr>
    </w:p>
    <w:p w:rsidR="00F267F6" w:rsidRPr="00A67BAB" w:rsidRDefault="00F267F6" w:rsidP="00F267F6">
      <w:pPr>
        <w:spacing w:line="276" w:lineRule="auto"/>
        <w:jc w:val="both"/>
        <w:rPr>
          <w:sz w:val="24"/>
          <w:szCs w:val="24"/>
        </w:rPr>
      </w:pPr>
      <w:r w:rsidRPr="00580B0D">
        <w:rPr>
          <w:sz w:val="24"/>
          <w:szCs w:val="24"/>
        </w:rPr>
        <w:t>While overall the world is ageing, there are differences in the speed of population ageing. It is happening fastest in the developing world. Declining fertility rates and increasing survival at older ages have led to population ageing. Life expectancy at birth has risen substantially across the world.</w:t>
      </w:r>
    </w:p>
    <w:p w:rsidR="00F267F6" w:rsidRPr="00A67BAB" w:rsidRDefault="00F267F6" w:rsidP="00F267F6">
      <w:pPr>
        <w:jc w:val="both"/>
        <w:rPr>
          <w:b/>
          <w:color w:val="FF0000"/>
          <w:sz w:val="26"/>
          <w:szCs w:val="26"/>
        </w:rPr>
      </w:pPr>
    </w:p>
    <w:p w:rsidR="00F267F6" w:rsidRPr="00A67BAB" w:rsidRDefault="00F267F6" w:rsidP="00F267F6">
      <w:pPr>
        <w:rPr>
          <w:b/>
          <w:bCs/>
          <w:color w:val="000000"/>
          <w:sz w:val="24"/>
          <w:szCs w:val="24"/>
        </w:rPr>
      </w:pPr>
      <w:r w:rsidRPr="00580B0D">
        <w:rPr>
          <w:b/>
          <w:bCs/>
          <w:color w:val="000000"/>
          <w:sz w:val="24"/>
          <w:szCs w:val="24"/>
        </w:rPr>
        <w:t>Table 9.5 – Demographic ageing indicators for selected countries</w:t>
      </w:r>
    </w:p>
    <w:p w:rsidR="00F267F6" w:rsidRPr="00A67BAB" w:rsidRDefault="00F267F6" w:rsidP="00F267F6">
      <w:pPr>
        <w:rPr>
          <w:b/>
          <w:bCs/>
          <w:color w:val="000000"/>
          <w:sz w:val="24"/>
          <w:szCs w:val="24"/>
        </w:rPr>
      </w:pPr>
      <w:r w:rsidRPr="00A67BAB">
        <w:rPr>
          <w:b/>
          <w:bCs/>
          <w:color w:val="000000"/>
          <w:sz w:val="24"/>
          <w:szCs w:val="24"/>
        </w:rPr>
        <w:t xml:space="preserve"> </w:t>
      </w:r>
    </w:p>
    <w:tbl>
      <w:tblPr>
        <w:tblW w:w="9310" w:type="dxa"/>
        <w:tblLayout w:type="fixed"/>
        <w:tblLook w:val="04A0" w:firstRow="1" w:lastRow="0" w:firstColumn="1" w:lastColumn="0" w:noHBand="0" w:noVBand="1"/>
      </w:tblPr>
      <w:tblGrid>
        <w:gridCol w:w="1709"/>
        <w:gridCol w:w="236"/>
        <w:gridCol w:w="1532"/>
        <w:gridCol w:w="111"/>
        <w:gridCol w:w="900"/>
        <w:gridCol w:w="243"/>
        <w:gridCol w:w="1222"/>
        <w:gridCol w:w="285"/>
        <w:gridCol w:w="1037"/>
        <w:gridCol w:w="79"/>
        <w:gridCol w:w="301"/>
        <w:gridCol w:w="843"/>
        <w:gridCol w:w="291"/>
        <w:gridCol w:w="521"/>
      </w:tblGrid>
      <w:tr w:rsidR="00F267F6" w:rsidRPr="00A67BAB" w:rsidTr="00175DC5">
        <w:trPr>
          <w:gridAfter w:val="1"/>
          <w:wAfter w:w="521" w:type="dxa"/>
          <w:trHeight w:val="945"/>
        </w:trPr>
        <w:tc>
          <w:tcPr>
            <w:tcW w:w="1709" w:type="dxa"/>
            <w:tcBorders>
              <w:top w:val="single" w:sz="4" w:space="0" w:color="auto"/>
              <w:left w:val="nil"/>
              <w:bottom w:val="single" w:sz="4" w:space="0" w:color="auto"/>
              <w:right w:val="nil"/>
            </w:tcBorders>
            <w:shd w:val="clear" w:color="auto" w:fill="auto"/>
            <w:noWrap/>
            <w:vAlign w:val="center"/>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 xml:space="preserve">Countries </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single" w:sz="4" w:space="0" w:color="auto"/>
              <w:left w:val="nil"/>
              <w:bottom w:val="single" w:sz="4" w:space="0" w:color="auto"/>
              <w:right w:val="nil"/>
            </w:tcBorders>
            <w:shd w:val="clear" w:color="auto" w:fill="auto"/>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 of Population aged 65+</w:t>
            </w:r>
          </w:p>
        </w:tc>
        <w:tc>
          <w:tcPr>
            <w:tcW w:w="1143" w:type="dxa"/>
            <w:gridSpan w:val="2"/>
            <w:tcBorders>
              <w:top w:val="single" w:sz="4" w:space="0" w:color="auto"/>
              <w:left w:val="nil"/>
              <w:bottom w:val="single" w:sz="4" w:space="0" w:color="auto"/>
              <w:right w:val="nil"/>
            </w:tcBorders>
            <w:shd w:val="clear" w:color="auto" w:fill="auto"/>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 xml:space="preserve">Total Fertility Rate </w:t>
            </w:r>
          </w:p>
        </w:tc>
        <w:tc>
          <w:tcPr>
            <w:tcW w:w="1507" w:type="dxa"/>
            <w:gridSpan w:val="2"/>
            <w:tcBorders>
              <w:top w:val="single" w:sz="4" w:space="0" w:color="auto"/>
              <w:left w:val="nil"/>
              <w:bottom w:val="single" w:sz="4" w:space="0" w:color="auto"/>
              <w:right w:val="nil"/>
            </w:tcBorders>
            <w:shd w:val="clear" w:color="auto" w:fill="auto"/>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 xml:space="preserve">Life Expectancy at birth </w:t>
            </w:r>
          </w:p>
        </w:tc>
        <w:tc>
          <w:tcPr>
            <w:tcW w:w="1417" w:type="dxa"/>
            <w:gridSpan w:val="3"/>
            <w:tcBorders>
              <w:top w:val="single" w:sz="4" w:space="0" w:color="auto"/>
              <w:left w:val="nil"/>
              <w:bottom w:val="single" w:sz="4" w:space="0" w:color="auto"/>
              <w:right w:val="nil"/>
            </w:tcBorders>
            <w:shd w:val="clear" w:color="auto" w:fill="auto"/>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 xml:space="preserve">Life Expectancy at 65 years </w:t>
            </w:r>
          </w:p>
        </w:tc>
        <w:tc>
          <w:tcPr>
            <w:tcW w:w="1134" w:type="dxa"/>
            <w:gridSpan w:val="2"/>
            <w:tcBorders>
              <w:top w:val="single" w:sz="4" w:space="0" w:color="auto"/>
              <w:left w:val="nil"/>
              <w:bottom w:val="single" w:sz="4" w:space="0" w:color="auto"/>
              <w:right w:val="nil"/>
            </w:tcBorders>
            <w:shd w:val="clear" w:color="auto" w:fill="auto"/>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 xml:space="preserve">Median Age* </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b/>
                <w:bCs/>
                <w:i/>
                <w:iCs/>
                <w:color w:val="000000"/>
                <w:sz w:val="24"/>
                <w:szCs w:val="24"/>
                <w:lang w:val="en-GB" w:eastAsia="en-GB"/>
              </w:rPr>
            </w:pPr>
            <w:r w:rsidRPr="00A67BAB">
              <w:rPr>
                <w:b/>
                <w:bCs/>
                <w:i/>
                <w:iCs/>
                <w:color w:val="000000"/>
                <w:sz w:val="24"/>
                <w:szCs w:val="24"/>
                <w:lang w:val="en-GB" w:eastAsia="en-GB"/>
              </w:rPr>
              <w:t>Africa</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b/>
                <w:bCs/>
                <w:i/>
                <w:iCs/>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b/>
                <w:bCs/>
                <w:i/>
                <w:iCs/>
                <w:color w:val="000000"/>
                <w:sz w:val="24"/>
                <w:szCs w:val="24"/>
                <w:lang w:val="en-GB" w:eastAsia="en-GB"/>
              </w:rPr>
            </w:pPr>
            <w:r w:rsidRPr="00A67BAB">
              <w:rPr>
                <w:b/>
                <w:bCs/>
                <w:i/>
                <w:iCs/>
                <w:color w:val="000000"/>
                <w:sz w:val="24"/>
                <w:szCs w:val="24"/>
                <w:lang w:val="en-GB" w:eastAsia="en-GB"/>
              </w:rPr>
              <w:t>3.5</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4.35</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63.2</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13.6</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19.7</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Australia</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15.9</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1.82</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83.4</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21.5</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37.9</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tcPr>
          <w:p w:rsidR="00F267F6" w:rsidRPr="00A67BAB" w:rsidRDefault="00F267F6" w:rsidP="00175DC5">
            <w:pPr>
              <w:rPr>
                <w:color w:val="000000"/>
                <w:sz w:val="24"/>
                <w:szCs w:val="24"/>
                <w:lang w:val="en-GB" w:eastAsia="en-GB"/>
              </w:rPr>
            </w:pPr>
            <w:r w:rsidRPr="00A67BAB">
              <w:rPr>
                <w:color w:val="000000"/>
                <w:sz w:val="24"/>
                <w:szCs w:val="24"/>
                <w:lang w:val="en-GB" w:eastAsia="en-GB"/>
              </w:rPr>
              <w:t>Finland</w:t>
            </w:r>
          </w:p>
        </w:tc>
        <w:tc>
          <w:tcPr>
            <w:tcW w:w="236" w:type="dxa"/>
            <w:tcBorders>
              <w:top w:val="nil"/>
              <w:left w:val="nil"/>
              <w:bottom w:val="nil"/>
              <w:right w:val="nil"/>
            </w:tcBorders>
            <w:shd w:val="clear" w:color="auto" w:fill="auto"/>
            <w:noWrap/>
            <w:vAlign w:val="bottom"/>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22.1</w:t>
            </w:r>
          </w:p>
        </w:tc>
        <w:tc>
          <w:tcPr>
            <w:tcW w:w="1143" w:type="dxa"/>
            <w:gridSpan w:val="2"/>
            <w:tcBorders>
              <w:top w:val="nil"/>
              <w:left w:val="nil"/>
              <w:bottom w:val="nil"/>
              <w:right w:val="nil"/>
            </w:tcBorders>
            <w:shd w:val="clear" w:color="auto" w:fill="auto"/>
            <w:noWrap/>
            <w:vAlign w:val="bottom"/>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1.48</w:t>
            </w:r>
          </w:p>
        </w:tc>
        <w:tc>
          <w:tcPr>
            <w:tcW w:w="1507" w:type="dxa"/>
            <w:gridSpan w:val="2"/>
            <w:tcBorders>
              <w:top w:val="nil"/>
              <w:left w:val="nil"/>
              <w:bottom w:val="nil"/>
              <w:right w:val="nil"/>
            </w:tcBorders>
            <w:shd w:val="clear" w:color="auto" w:fill="auto"/>
            <w:noWrap/>
            <w:vAlign w:val="bottom"/>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81.9</w:t>
            </w:r>
          </w:p>
        </w:tc>
        <w:tc>
          <w:tcPr>
            <w:tcW w:w="1116" w:type="dxa"/>
            <w:gridSpan w:val="2"/>
            <w:tcBorders>
              <w:top w:val="nil"/>
              <w:left w:val="nil"/>
              <w:bottom w:val="nil"/>
              <w:right w:val="nil"/>
            </w:tcBorders>
            <w:shd w:val="clear" w:color="auto" w:fill="auto"/>
            <w:noWrap/>
            <w:vAlign w:val="bottom"/>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20.6</w:t>
            </w:r>
          </w:p>
        </w:tc>
        <w:tc>
          <w:tcPr>
            <w:tcW w:w="1435" w:type="dxa"/>
            <w:gridSpan w:val="3"/>
            <w:tcBorders>
              <w:top w:val="nil"/>
              <w:left w:val="nil"/>
              <w:bottom w:val="nil"/>
              <w:right w:val="nil"/>
            </w:tcBorders>
            <w:shd w:val="clear" w:color="auto" w:fill="auto"/>
            <w:noWrap/>
            <w:vAlign w:val="bottom"/>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43.1</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Germany</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21.6</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1.60</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81.3</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20.0</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45.7</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India</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6.4</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2.20</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69.7</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14.7</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28.4</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Italy</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23.0</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1.31</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83.5</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21.2</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47.3</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Japan</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28.0</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1.37</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84.6</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22.3</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48.4</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b/>
                <w:bCs/>
                <w:i/>
                <w:iCs/>
                <w:color w:val="000000"/>
                <w:sz w:val="24"/>
                <w:szCs w:val="24"/>
                <w:lang w:val="en-GB" w:eastAsia="en-GB"/>
              </w:rPr>
            </w:pPr>
            <w:r w:rsidRPr="00A67BAB">
              <w:rPr>
                <w:b/>
                <w:bCs/>
                <w:i/>
                <w:iCs/>
                <w:color w:val="000000"/>
                <w:sz w:val="24"/>
                <w:szCs w:val="24"/>
                <w:lang w:val="en-GB" w:eastAsia="en-GB"/>
              </w:rPr>
              <w:t xml:space="preserve">Mauritius </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b/>
                <w:bCs/>
                <w:i/>
                <w:iCs/>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b/>
                <w:bCs/>
                <w:i/>
                <w:iCs/>
                <w:color w:val="000000"/>
                <w:sz w:val="24"/>
                <w:szCs w:val="24"/>
                <w:lang w:val="en-GB" w:eastAsia="en-GB"/>
              </w:rPr>
            </w:pPr>
            <w:r w:rsidRPr="00A67BAB">
              <w:rPr>
                <w:b/>
                <w:bCs/>
                <w:i/>
                <w:iCs/>
                <w:color w:val="000000"/>
                <w:sz w:val="24"/>
                <w:szCs w:val="24"/>
                <w:lang w:val="en-GB" w:eastAsia="en-GB"/>
              </w:rPr>
              <w:t>12.0</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1.37</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75.0</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17.2</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37.5</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Seychelles</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7.8</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2.43</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73.4</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16.0</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34.2</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Singapore</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12.4</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1.22</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83.6</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21.3</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42.2</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r w:rsidRPr="00A67BAB">
              <w:rPr>
                <w:color w:val="000000"/>
                <w:sz w:val="24"/>
                <w:szCs w:val="24"/>
                <w:lang w:val="en-GB" w:eastAsia="en-GB"/>
              </w:rPr>
              <w:t xml:space="preserve">South Africa </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color w:val="000000"/>
                <w:sz w:val="24"/>
                <w:szCs w:val="24"/>
                <w:lang w:val="en-GB" w:eastAsia="en-GB"/>
              </w:rPr>
            </w:pPr>
            <w:r w:rsidRPr="00A67BAB">
              <w:rPr>
                <w:color w:val="000000"/>
                <w:sz w:val="24"/>
                <w:szCs w:val="24"/>
                <w:lang w:val="en-GB" w:eastAsia="en-GB"/>
              </w:rPr>
              <w:t>5.4</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2.38</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64.1</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13.4</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color w:val="000000"/>
                <w:sz w:val="24"/>
                <w:szCs w:val="24"/>
                <w:lang w:val="en-GB" w:eastAsia="en-GB"/>
              </w:rPr>
            </w:pPr>
            <w:r w:rsidRPr="00A67BAB">
              <w:rPr>
                <w:color w:val="000000"/>
                <w:sz w:val="24"/>
                <w:szCs w:val="24"/>
                <w:lang w:val="en-GB" w:eastAsia="en-GB"/>
              </w:rPr>
              <w:t>27.6</w:t>
            </w:r>
          </w:p>
        </w:tc>
      </w:tr>
      <w:tr w:rsidR="00F267F6" w:rsidRPr="00A67BAB" w:rsidTr="00175DC5">
        <w:trPr>
          <w:gridAfter w:val="1"/>
          <w:wAfter w:w="521" w:type="dxa"/>
          <w:trHeight w:val="315"/>
        </w:trPr>
        <w:tc>
          <w:tcPr>
            <w:tcW w:w="1709" w:type="dxa"/>
            <w:tcBorders>
              <w:top w:val="nil"/>
              <w:left w:val="nil"/>
              <w:bottom w:val="nil"/>
              <w:right w:val="nil"/>
            </w:tcBorders>
            <w:shd w:val="clear" w:color="auto" w:fill="auto"/>
            <w:noWrap/>
            <w:vAlign w:val="bottom"/>
            <w:hideMark/>
          </w:tcPr>
          <w:p w:rsidR="00F267F6" w:rsidRPr="00A67BAB" w:rsidRDefault="00F267F6" w:rsidP="00175DC5">
            <w:pPr>
              <w:rPr>
                <w:b/>
                <w:bCs/>
                <w:i/>
                <w:iCs/>
                <w:color w:val="000000"/>
                <w:sz w:val="24"/>
                <w:szCs w:val="24"/>
                <w:lang w:val="en-GB" w:eastAsia="en-GB"/>
              </w:rPr>
            </w:pPr>
            <w:r w:rsidRPr="00A67BAB">
              <w:rPr>
                <w:b/>
                <w:bCs/>
                <w:i/>
                <w:iCs/>
                <w:color w:val="000000"/>
                <w:sz w:val="24"/>
                <w:szCs w:val="24"/>
                <w:lang w:val="en-GB" w:eastAsia="en-GB"/>
              </w:rPr>
              <w:t xml:space="preserve">World </w:t>
            </w:r>
          </w:p>
        </w:tc>
        <w:tc>
          <w:tcPr>
            <w:tcW w:w="236" w:type="dxa"/>
            <w:tcBorders>
              <w:top w:val="nil"/>
              <w:left w:val="nil"/>
              <w:bottom w:val="nil"/>
              <w:right w:val="nil"/>
            </w:tcBorders>
            <w:shd w:val="clear" w:color="auto" w:fill="auto"/>
            <w:noWrap/>
            <w:vAlign w:val="bottom"/>
            <w:hideMark/>
          </w:tcPr>
          <w:p w:rsidR="00F267F6" w:rsidRPr="00A67BAB" w:rsidRDefault="00F267F6" w:rsidP="00175DC5">
            <w:pPr>
              <w:rPr>
                <w:b/>
                <w:bCs/>
                <w:i/>
                <w:iCs/>
                <w:color w:val="000000"/>
                <w:sz w:val="24"/>
                <w:szCs w:val="24"/>
                <w:lang w:val="en-GB" w:eastAsia="en-GB"/>
              </w:rPr>
            </w:pPr>
          </w:p>
        </w:tc>
        <w:tc>
          <w:tcPr>
            <w:tcW w:w="1643" w:type="dxa"/>
            <w:gridSpan w:val="2"/>
            <w:tcBorders>
              <w:top w:val="nil"/>
              <w:left w:val="nil"/>
              <w:bottom w:val="nil"/>
              <w:right w:val="nil"/>
            </w:tcBorders>
            <w:shd w:val="clear" w:color="auto" w:fill="auto"/>
            <w:noWrap/>
            <w:vAlign w:val="bottom"/>
            <w:hideMark/>
          </w:tcPr>
          <w:p w:rsidR="00F267F6" w:rsidRPr="00A67BAB" w:rsidRDefault="00F267F6" w:rsidP="00175DC5">
            <w:pPr>
              <w:jc w:val="right"/>
              <w:rPr>
                <w:b/>
                <w:bCs/>
                <w:i/>
                <w:iCs/>
                <w:color w:val="000000"/>
                <w:sz w:val="24"/>
                <w:szCs w:val="24"/>
                <w:lang w:val="en-GB" w:eastAsia="en-GB"/>
              </w:rPr>
            </w:pPr>
            <w:r w:rsidRPr="00A67BAB">
              <w:rPr>
                <w:b/>
                <w:bCs/>
                <w:i/>
                <w:iCs/>
                <w:color w:val="000000"/>
                <w:sz w:val="24"/>
                <w:szCs w:val="24"/>
                <w:lang w:val="en-GB" w:eastAsia="en-GB"/>
              </w:rPr>
              <w:t>9.1</w:t>
            </w:r>
          </w:p>
        </w:tc>
        <w:tc>
          <w:tcPr>
            <w:tcW w:w="1143"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2.45</w:t>
            </w:r>
          </w:p>
        </w:tc>
        <w:tc>
          <w:tcPr>
            <w:tcW w:w="1507"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72.6</w:t>
            </w:r>
          </w:p>
        </w:tc>
        <w:tc>
          <w:tcPr>
            <w:tcW w:w="1116" w:type="dxa"/>
            <w:gridSpan w:val="2"/>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17.1</w:t>
            </w:r>
          </w:p>
        </w:tc>
        <w:tc>
          <w:tcPr>
            <w:tcW w:w="1435" w:type="dxa"/>
            <w:gridSpan w:val="3"/>
            <w:tcBorders>
              <w:top w:val="nil"/>
              <w:left w:val="nil"/>
              <w:bottom w:val="nil"/>
              <w:right w:val="nil"/>
            </w:tcBorders>
            <w:shd w:val="clear" w:color="auto" w:fill="auto"/>
            <w:noWrap/>
            <w:vAlign w:val="bottom"/>
            <w:hideMark/>
          </w:tcPr>
          <w:p w:rsidR="00F267F6" w:rsidRPr="00A67BAB" w:rsidRDefault="00F267F6" w:rsidP="00175DC5">
            <w:pPr>
              <w:jc w:val="center"/>
              <w:rPr>
                <w:b/>
                <w:bCs/>
                <w:i/>
                <w:iCs/>
                <w:color w:val="000000"/>
                <w:sz w:val="24"/>
                <w:szCs w:val="24"/>
                <w:lang w:val="en-GB" w:eastAsia="en-GB"/>
              </w:rPr>
            </w:pPr>
            <w:r w:rsidRPr="00A67BAB">
              <w:rPr>
                <w:b/>
                <w:bCs/>
                <w:i/>
                <w:iCs/>
                <w:color w:val="000000"/>
                <w:sz w:val="24"/>
                <w:szCs w:val="24"/>
                <w:lang w:val="en-GB" w:eastAsia="en-GB"/>
              </w:rPr>
              <w:t>30.9</w:t>
            </w:r>
          </w:p>
        </w:tc>
      </w:tr>
      <w:tr w:rsidR="00F267F6" w:rsidRPr="00A67BAB" w:rsidTr="00175DC5">
        <w:trPr>
          <w:trHeight w:val="300"/>
        </w:trPr>
        <w:tc>
          <w:tcPr>
            <w:tcW w:w="4488" w:type="dxa"/>
            <w:gridSpan w:val="5"/>
            <w:tcBorders>
              <w:top w:val="nil"/>
              <w:left w:val="nil"/>
              <w:bottom w:val="nil"/>
              <w:right w:val="nil"/>
            </w:tcBorders>
            <w:shd w:val="clear" w:color="auto" w:fill="auto"/>
            <w:noWrap/>
            <w:vAlign w:val="bottom"/>
            <w:hideMark/>
          </w:tcPr>
          <w:p w:rsidR="00F267F6" w:rsidRPr="00A67BAB" w:rsidRDefault="00F267F6" w:rsidP="00175DC5">
            <w:pPr>
              <w:rPr>
                <w:i/>
                <w:iCs/>
                <w:color w:val="000000"/>
                <w:sz w:val="18"/>
                <w:szCs w:val="18"/>
                <w:lang w:val="en-GB" w:eastAsia="en-GB"/>
              </w:rPr>
            </w:pPr>
            <w:r w:rsidRPr="00A67BAB">
              <w:rPr>
                <w:i/>
                <w:iCs/>
                <w:color w:val="000000"/>
                <w:sz w:val="18"/>
                <w:szCs w:val="18"/>
                <w:lang w:val="en-GB" w:eastAsia="en-GB"/>
              </w:rPr>
              <w:t>Source: World Population Prospects 2019</w:t>
            </w:r>
          </w:p>
        </w:tc>
        <w:tc>
          <w:tcPr>
            <w:tcW w:w="1465" w:type="dxa"/>
            <w:gridSpan w:val="2"/>
            <w:tcBorders>
              <w:top w:val="nil"/>
              <w:left w:val="nil"/>
              <w:bottom w:val="nil"/>
              <w:right w:val="nil"/>
            </w:tcBorders>
            <w:shd w:val="clear" w:color="auto" w:fill="auto"/>
            <w:noWrap/>
            <w:vAlign w:val="bottom"/>
            <w:hideMark/>
          </w:tcPr>
          <w:p w:rsidR="00F267F6" w:rsidRPr="00A67BAB" w:rsidRDefault="00F267F6" w:rsidP="00175DC5">
            <w:pPr>
              <w:rPr>
                <w:i/>
                <w:iCs/>
                <w:color w:val="000000"/>
                <w:sz w:val="18"/>
                <w:szCs w:val="18"/>
                <w:lang w:val="en-GB" w:eastAsia="en-GB"/>
              </w:rPr>
            </w:pPr>
          </w:p>
        </w:tc>
        <w:tc>
          <w:tcPr>
            <w:tcW w:w="1322" w:type="dxa"/>
            <w:gridSpan w:val="2"/>
            <w:tcBorders>
              <w:top w:val="nil"/>
              <w:left w:val="nil"/>
              <w:bottom w:val="nil"/>
              <w:right w:val="nil"/>
            </w:tcBorders>
            <w:shd w:val="clear" w:color="auto" w:fill="auto"/>
            <w:noWrap/>
            <w:vAlign w:val="bottom"/>
            <w:hideMark/>
          </w:tcPr>
          <w:p w:rsidR="00F267F6" w:rsidRPr="00A67BAB" w:rsidRDefault="00F267F6" w:rsidP="00175DC5">
            <w:pPr>
              <w:rPr>
                <w:lang w:val="en-GB" w:eastAsia="en-GB"/>
              </w:rPr>
            </w:pPr>
          </w:p>
        </w:tc>
        <w:tc>
          <w:tcPr>
            <w:tcW w:w="1223" w:type="dxa"/>
            <w:gridSpan w:val="3"/>
            <w:tcBorders>
              <w:top w:val="nil"/>
              <w:left w:val="nil"/>
              <w:bottom w:val="nil"/>
              <w:right w:val="nil"/>
            </w:tcBorders>
            <w:shd w:val="clear" w:color="auto" w:fill="auto"/>
            <w:noWrap/>
            <w:vAlign w:val="bottom"/>
            <w:hideMark/>
          </w:tcPr>
          <w:p w:rsidR="00F267F6" w:rsidRPr="00A67BAB" w:rsidRDefault="00F267F6" w:rsidP="00175DC5">
            <w:pPr>
              <w:rPr>
                <w:lang w:val="en-GB" w:eastAsia="en-GB"/>
              </w:rPr>
            </w:pPr>
          </w:p>
        </w:tc>
        <w:tc>
          <w:tcPr>
            <w:tcW w:w="812" w:type="dxa"/>
            <w:gridSpan w:val="2"/>
            <w:tcBorders>
              <w:top w:val="nil"/>
              <w:left w:val="nil"/>
              <w:bottom w:val="nil"/>
              <w:right w:val="nil"/>
            </w:tcBorders>
            <w:shd w:val="clear" w:color="auto" w:fill="auto"/>
            <w:noWrap/>
            <w:vAlign w:val="bottom"/>
            <w:hideMark/>
          </w:tcPr>
          <w:p w:rsidR="00F267F6" w:rsidRPr="00A67BAB" w:rsidRDefault="00F267F6" w:rsidP="00175DC5">
            <w:pPr>
              <w:rPr>
                <w:lang w:val="en-GB" w:eastAsia="en-GB"/>
              </w:rPr>
            </w:pPr>
          </w:p>
        </w:tc>
      </w:tr>
      <w:tr w:rsidR="00F267F6" w:rsidRPr="00A67BAB" w:rsidTr="00175DC5">
        <w:trPr>
          <w:trHeight w:val="300"/>
        </w:trPr>
        <w:tc>
          <w:tcPr>
            <w:tcW w:w="3477" w:type="dxa"/>
            <w:gridSpan w:val="3"/>
            <w:tcBorders>
              <w:top w:val="nil"/>
              <w:left w:val="nil"/>
              <w:bottom w:val="nil"/>
              <w:right w:val="nil"/>
            </w:tcBorders>
            <w:shd w:val="clear" w:color="auto" w:fill="auto"/>
            <w:noWrap/>
            <w:vAlign w:val="bottom"/>
            <w:hideMark/>
          </w:tcPr>
          <w:p w:rsidR="00F267F6" w:rsidRPr="00A67BAB" w:rsidRDefault="00F267F6" w:rsidP="00175DC5">
            <w:pPr>
              <w:rPr>
                <w:i/>
                <w:iCs/>
                <w:color w:val="000000"/>
                <w:sz w:val="18"/>
                <w:szCs w:val="18"/>
                <w:lang w:val="en-GB" w:eastAsia="en-GB"/>
              </w:rPr>
            </w:pPr>
            <w:r w:rsidRPr="00A67BAB">
              <w:rPr>
                <w:i/>
                <w:iCs/>
                <w:color w:val="000000"/>
                <w:sz w:val="18"/>
                <w:szCs w:val="18"/>
                <w:lang w:val="en-GB" w:eastAsia="en-GB"/>
              </w:rPr>
              <w:t>* refer to Year 2020</w:t>
            </w:r>
          </w:p>
        </w:tc>
        <w:tc>
          <w:tcPr>
            <w:tcW w:w="1011" w:type="dxa"/>
            <w:gridSpan w:val="2"/>
            <w:tcBorders>
              <w:top w:val="nil"/>
              <w:left w:val="nil"/>
              <w:bottom w:val="nil"/>
              <w:right w:val="nil"/>
            </w:tcBorders>
            <w:shd w:val="clear" w:color="auto" w:fill="auto"/>
            <w:noWrap/>
            <w:vAlign w:val="bottom"/>
            <w:hideMark/>
          </w:tcPr>
          <w:p w:rsidR="00F267F6" w:rsidRPr="00A67BAB" w:rsidRDefault="00F267F6" w:rsidP="00175DC5">
            <w:pPr>
              <w:rPr>
                <w:i/>
                <w:iCs/>
                <w:color w:val="000000"/>
                <w:sz w:val="18"/>
                <w:szCs w:val="18"/>
                <w:lang w:val="en-GB" w:eastAsia="en-GB"/>
              </w:rPr>
            </w:pPr>
          </w:p>
        </w:tc>
        <w:tc>
          <w:tcPr>
            <w:tcW w:w="1465" w:type="dxa"/>
            <w:gridSpan w:val="2"/>
            <w:tcBorders>
              <w:top w:val="nil"/>
              <w:left w:val="nil"/>
              <w:bottom w:val="nil"/>
              <w:right w:val="nil"/>
            </w:tcBorders>
            <w:shd w:val="clear" w:color="auto" w:fill="auto"/>
            <w:noWrap/>
            <w:vAlign w:val="bottom"/>
            <w:hideMark/>
          </w:tcPr>
          <w:p w:rsidR="00F267F6" w:rsidRPr="00A67BAB" w:rsidRDefault="00F267F6" w:rsidP="00175DC5">
            <w:pPr>
              <w:rPr>
                <w:lang w:val="en-GB" w:eastAsia="en-GB"/>
              </w:rPr>
            </w:pPr>
          </w:p>
        </w:tc>
        <w:tc>
          <w:tcPr>
            <w:tcW w:w="1322" w:type="dxa"/>
            <w:gridSpan w:val="2"/>
            <w:tcBorders>
              <w:top w:val="nil"/>
              <w:left w:val="nil"/>
              <w:bottom w:val="nil"/>
              <w:right w:val="nil"/>
            </w:tcBorders>
            <w:shd w:val="clear" w:color="auto" w:fill="auto"/>
            <w:noWrap/>
            <w:vAlign w:val="bottom"/>
            <w:hideMark/>
          </w:tcPr>
          <w:p w:rsidR="00F267F6" w:rsidRPr="00A67BAB" w:rsidRDefault="00F267F6" w:rsidP="00175DC5">
            <w:pPr>
              <w:rPr>
                <w:lang w:val="en-GB" w:eastAsia="en-GB"/>
              </w:rPr>
            </w:pPr>
          </w:p>
        </w:tc>
        <w:tc>
          <w:tcPr>
            <w:tcW w:w="1223" w:type="dxa"/>
            <w:gridSpan w:val="3"/>
            <w:tcBorders>
              <w:top w:val="nil"/>
              <w:left w:val="nil"/>
              <w:bottom w:val="nil"/>
              <w:right w:val="nil"/>
            </w:tcBorders>
            <w:shd w:val="clear" w:color="auto" w:fill="auto"/>
            <w:noWrap/>
            <w:vAlign w:val="bottom"/>
            <w:hideMark/>
          </w:tcPr>
          <w:p w:rsidR="00F267F6" w:rsidRPr="00A67BAB" w:rsidRDefault="00F267F6" w:rsidP="00175DC5">
            <w:pPr>
              <w:rPr>
                <w:lang w:val="en-GB" w:eastAsia="en-GB"/>
              </w:rPr>
            </w:pPr>
          </w:p>
        </w:tc>
        <w:tc>
          <w:tcPr>
            <w:tcW w:w="812" w:type="dxa"/>
            <w:gridSpan w:val="2"/>
            <w:tcBorders>
              <w:top w:val="nil"/>
              <w:left w:val="nil"/>
              <w:bottom w:val="nil"/>
              <w:right w:val="nil"/>
            </w:tcBorders>
            <w:shd w:val="clear" w:color="auto" w:fill="auto"/>
            <w:noWrap/>
            <w:vAlign w:val="bottom"/>
            <w:hideMark/>
          </w:tcPr>
          <w:p w:rsidR="00F267F6" w:rsidRPr="00A67BAB" w:rsidRDefault="00F267F6" w:rsidP="00175DC5">
            <w:pPr>
              <w:rPr>
                <w:lang w:val="en-GB" w:eastAsia="en-GB"/>
              </w:rPr>
            </w:pPr>
          </w:p>
        </w:tc>
      </w:tr>
    </w:tbl>
    <w:p w:rsidR="00F267F6" w:rsidRDefault="00F267F6" w:rsidP="00F267F6">
      <w:pPr>
        <w:rPr>
          <w:sz w:val="18"/>
          <w:szCs w:val="18"/>
        </w:rPr>
      </w:pPr>
    </w:p>
    <w:p w:rsidR="00F267F6" w:rsidRPr="004E29F1" w:rsidRDefault="00F267F6" w:rsidP="00F267F6">
      <w:pPr>
        <w:pStyle w:val="BodyText"/>
        <w:spacing w:line="120" w:lineRule="atLeast"/>
        <w:rPr>
          <w:bCs w:val="0"/>
          <w:sz w:val="24"/>
          <w:szCs w:val="24"/>
        </w:rPr>
      </w:pPr>
      <w:r w:rsidRPr="004E29F1">
        <w:rPr>
          <w:bCs w:val="0"/>
          <w:sz w:val="24"/>
          <w:szCs w:val="24"/>
        </w:rPr>
        <w:t>Statistics Mauritius</w:t>
      </w:r>
    </w:p>
    <w:p w:rsidR="00F267F6" w:rsidRPr="004E29F1" w:rsidRDefault="00F267F6" w:rsidP="00F267F6">
      <w:pPr>
        <w:pStyle w:val="BodyText"/>
        <w:spacing w:line="120" w:lineRule="atLeast"/>
        <w:rPr>
          <w:bCs w:val="0"/>
          <w:sz w:val="24"/>
          <w:szCs w:val="24"/>
        </w:rPr>
      </w:pPr>
      <w:r w:rsidRPr="004E29F1">
        <w:rPr>
          <w:bCs w:val="0"/>
          <w:sz w:val="24"/>
          <w:szCs w:val="24"/>
        </w:rPr>
        <w:t>Ministry of Finance and Economic Development</w:t>
      </w:r>
    </w:p>
    <w:p w:rsidR="00F267F6" w:rsidRPr="004E29F1" w:rsidRDefault="00F267F6" w:rsidP="00F267F6">
      <w:pPr>
        <w:pStyle w:val="BodyText"/>
        <w:spacing w:line="120" w:lineRule="atLeast"/>
        <w:rPr>
          <w:bCs w:val="0"/>
          <w:sz w:val="24"/>
          <w:szCs w:val="24"/>
        </w:rPr>
      </w:pPr>
      <w:r w:rsidRPr="004E29F1">
        <w:rPr>
          <w:bCs w:val="0"/>
          <w:sz w:val="24"/>
          <w:szCs w:val="24"/>
        </w:rPr>
        <w:t>Port Louis</w:t>
      </w:r>
    </w:p>
    <w:p w:rsidR="00F267F6" w:rsidRPr="004E29F1" w:rsidRDefault="00F267F6" w:rsidP="00F267F6">
      <w:pPr>
        <w:pStyle w:val="BodyText"/>
        <w:spacing w:line="120" w:lineRule="atLeast"/>
        <w:rPr>
          <w:bCs w:val="0"/>
          <w:sz w:val="24"/>
          <w:szCs w:val="24"/>
          <w:lang w:val="en-US"/>
        </w:rPr>
      </w:pPr>
      <w:r w:rsidRPr="004E29F1">
        <w:rPr>
          <w:bCs w:val="0"/>
          <w:sz w:val="24"/>
          <w:szCs w:val="24"/>
        </w:rPr>
        <w:t xml:space="preserve">March </w:t>
      </w:r>
      <w:r>
        <w:rPr>
          <w:bCs w:val="0"/>
          <w:sz w:val="24"/>
          <w:szCs w:val="24"/>
          <w:lang w:val="en-US"/>
        </w:rPr>
        <w:t>2020</w:t>
      </w:r>
    </w:p>
    <w:p w:rsidR="00AF5787" w:rsidRDefault="00AF5787"/>
    <w:p w:rsidR="00F267F6" w:rsidRDefault="00F267F6">
      <w:bookmarkStart w:id="0" w:name="_GoBack"/>
      <w:bookmarkEnd w:id="0"/>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154940</wp:posOffset>
                </wp:positionV>
                <wp:extent cx="3762375" cy="1988820"/>
                <wp:effectExtent l="0" t="0" r="2857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988820"/>
                        </a:xfrm>
                        <a:prstGeom prst="rect">
                          <a:avLst/>
                        </a:prstGeom>
                        <a:solidFill>
                          <a:srgbClr val="FFFFFF"/>
                        </a:solidFill>
                        <a:ln w="9525">
                          <a:solidFill>
                            <a:srgbClr val="000000"/>
                          </a:solidFill>
                          <a:miter lim="800000"/>
                          <a:headEnd/>
                          <a:tailEnd/>
                        </a:ln>
                      </wps:spPr>
                      <wps:txbx>
                        <w:txbxContent>
                          <w:p w:rsidR="00F267F6" w:rsidRDefault="00F267F6" w:rsidP="00F267F6">
                            <w:pPr>
                              <w:spacing w:line="276" w:lineRule="auto"/>
                              <w:rPr>
                                <w:b/>
                                <w:bCs/>
                                <w:sz w:val="22"/>
                              </w:rPr>
                            </w:pPr>
                            <w:r>
                              <w:rPr>
                                <w:b/>
                                <w:bCs/>
                                <w:sz w:val="22"/>
                              </w:rPr>
                              <w:t xml:space="preserve">Contact person: </w:t>
                            </w:r>
                          </w:p>
                          <w:p w:rsidR="00F267F6" w:rsidRDefault="00F267F6" w:rsidP="00F267F6">
                            <w:pPr>
                              <w:spacing w:line="276" w:lineRule="auto"/>
                              <w:rPr>
                                <w:b/>
                                <w:bCs/>
                                <w:sz w:val="22"/>
                              </w:rPr>
                            </w:pPr>
                            <w:r>
                              <w:rPr>
                                <w:b/>
                                <w:bCs/>
                                <w:sz w:val="22"/>
                              </w:rPr>
                              <w:t xml:space="preserve">Mrs. C. Martial, Statistician </w:t>
                            </w:r>
                          </w:p>
                          <w:p w:rsidR="00F267F6" w:rsidRDefault="00F267F6" w:rsidP="00F267F6">
                            <w:pPr>
                              <w:spacing w:line="276" w:lineRule="auto"/>
                              <w:rPr>
                                <w:b/>
                                <w:bCs/>
                                <w:sz w:val="22"/>
                              </w:rPr>
                            </w:pPr>
                            <w:r>
                              <w:rPr>
                                <w:b/>
                                <w:bCs/>
                                <w:sz w:val="22"/>
                              </w:rPr>
                              <w:t>Mrs. N. Fatha Mahomed, Senior Statistical Officer</w:t>
                            </w:r>
                          </w:p>
                          <w:p w:rsidR="00F267F6" w:rsidRDefault="00F267F6" w:rsidP="00F267F6">
                            <w:pPr>
                              <w:spacing w:line="276" w:lineRule="auto"/>
                              <w:rPr>
                                <w:b/>
                                <w:bCs/>
                                <w:sz w:val="22"/>
                              </w:rPr>
                            </w:pPr>
                            <w:r>
                              <w:rPr>
                                <w:b/>
                                <w:bCs/>
                                <w:sz w:val="22"/>
                              </w:rPr>
                              <w:t>Demography Unit</w:t>
                            </w:r>
                          </w:p>
                          <w:p w:rsidR="00F267F6" w:rsidRPr="00466012" w:rsidRDefault="00F267F6" w:rsidP="00F267F6">
                            <w:pPr>
                              <w:spacing w:line="276" w:lineRule="auto"/>
                              <w:rPr>
                                <w:b/>
                                <w:bCs/>
                                <w:sz w:val="22"/>
                              </w:rPr>
                            </w:pPr>
                            <w:r w:rsidRPr="00466012">
                              <w:rPr>
                                <w:b/>
                                <w:bCs/>
                                <w:sz w:val="22"/>
                              </w:rPr>
                              <w:t>Statistics Mauritius</w:t>
                            </w:r>
                          </w:p>
                          <w:p w:rsidR="00F267F6" w:rsidRPr="00466012" w:rsidRDefault="00F267F6" w:rsidP="00F267F6">
                            <w:pPr>
                              <w:spacing w:line="276" w:lineRule="auto"/>
                              <w:rPr>
                                <w:b/>
                                <w:bCs/>
                                <w:sz w:val="22"/>
                              </w:rPr>
                            </w:pPr>
                            <w:r w:rsidRPr="00466012">
                              <w:rPr>
                                <w:b/>
                                <w:bCs/>
                                <w:sz w:val="22"/>
                              </w:rPr>
                              <w:t>LIC Centre</w:t>
                            </w:r>
                          </w:p>
                          <w:p w:rsidR="00F267F6" w:rsidRDefault="00F267F6" w:rsidP="00F267F6">
                            <w:pPr>
                              <w:spacing w:line="276" w:lineRule="auto"/>
                              <w:rPr>
                                <w:b/>
                                <w:bCs/>
                                <w:sz w:val="22"/>
                              </w:rPr>
                            </w:pPr>
                            <w:r>
                              <w:rPr>
                                <w:b/>
                                <w:bCs/>
                                <w:sz w:val="22"/>
                              </w:rPr>
                              <w:t>John Kennedy Street</w:t>
                            </w:r>
                          </w:p>
                          <w:p w:rsidR="00F267F6" w:rsidRDefault="00F267F6" w:rsidP="00F267F6">
                            <w:pPr>
                              <w:spacing w:line="276" w:lineRule="auto"/>
                              <w:rPr>
                                <w:b/>
                                <w:bCs/>
                                <w:sz w:val="22"/>
                                <w:lang w:val="fr-FR"/>
                              </w:rPr>
                            </w:pPr>
                            <w:r>
                              <w:rPr>
                                <w:b/>
                                <w:bCs/>
                                <w:sz w:val="22"/>
                                <w:lang w:val="fr-FR"/>
                              </w:rPr>
                              <w:t>Port Louis</w:t>
                            </w:r>
                          </w:p>
                          <w:p w:rsidR="00F267F6" w:rsidRDefault="00F267F6" w:rsidP="00F267F6">
                            <w:pPr>
                              <w:spacing w:line="276" w:lineRule="auto"/>
                              <w:rPr>
                                <w:b/>
                                <w:bCs/>
                                <w:sz w:val="22"/>
                                <w:lang w:val="fr-FR"/>
                              </w:rPr>
                            </w:pPr>
                            <w:proofErr w:type="gramStart"/>
                            <w:r>
                              <w:rPr>
                                <w:b/>
                                <w:bCs/>
                                <w:sz w:val="22"/>
                                <w:lang w:val="fr-FR"/>
                              </w:rPr>
                              <w:t>Tel:</w:t>
                            </w:r>
                            <w:proofErr w:type="gramEnd"/>
                            <w:r>
                              <w:rPr>
                                <w:b/>
                                <w:bCs/>
                                <w:sz w:val="22"/>
                                <w:lang w:val="fr-FR"/>
                              </w:rPr>
                              <w:t xml:space="preserve"> (230) 208 0859</w:t>
                            </w:r>
                          </w:p>
                          <w:p w:rsidR="00F267F6" w:rsidRDefault="00F267F6" w:rsidP="00F267F6">
                            <w:pPr>
                              <w:spacing w:line="276" w:lineRule="auto"/>
                              <w:rPr>
                                <w:b/>
                                <w:bCs/>
                                <w:sz w:val="22"/>
                                <w:lang w:val="fr-FR"/>
                              </w:rPr>
                            </w:pPr>
                            <w:proofErr w:type="gramStart"/>
                            <w:r>
                              <w:rPr>
                                <w:b/>
                                <w:bCs/>
                                <w:sz w:val="22"/>
                                <w:lang w:val="fr-FR"/>
                              </w:rPr>
                              <w:t>Email:</w:t>
                            </w:r>
                            <w:proofErr w:type="gramEnd"/>
                            <w:r>
                              <w:rPr>
                                <w:b/>
                                <w:bCs/>
                                <w:sz w:val="22"/>
                                <w:lang w:val="fr-FR"/>
                              </w:rPr>
                              <w:t xml:space="preserve"> cso_demography@govmu.org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2pt;width:296.25pt;height:15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77LAIAAFE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">
                <v:textbox>
                  <w:txbxContent>
                    <w:p w:rsidR="00F267F6" w:rsidRDefault="00F267F6" w:rsidP="00F267F6">
                      <w:pPr>
                        <w:spacing w:line="276" w:lineRule="auto"/>
                        <w:rPr>
                          <w:b/>
                          <w:bCs/>
                          <w:sz w:val="22"/>
                        </w:rPr>
                      </w:pPr>
                      <w:r>
                        <w:rPr>
                          <w:b/>
                          <w:bCs/>
                          <w:sz w:val="22"/>
                        </w:rPr>
                        <w:t xml:space="preserve">Contact person: </w:t>
                      </w:r>
                    </w:p>
                    <w:p w:rsidR="00F267F6" w:rsidRDefault="00F267F6" w:rsidP="00F267F6">
                      <w:pPr>
                        <w:spacing w:line="276" w:lineRule="auto"/>
                        <w:rPr>
                          <w:b/>
                          <w:bCs/>
                          <w:sz w:val="22"/>
                        </w:rPr>
                      </w:pPr>
                      <w:r>
                        <w:rPr>
                          <w:b/>
                          <w:bCs/>
                          <w:sz w:val="22"/>
                        </w:rPr>
                        <w:t xml:space="preserve">Mrs. C. Martial, Statistician </w:t>
                      </w:r>
                    </w:p>
                    <w:p w:rsidR="00F267F6" w:rsidRDefault="00F267F6" w:rsidP="00F267F6">
                      <w:pPr>
                        <w:spacing w:line="276" w:lineRule="auto"/>
                        <w:rPr>
                          <w:b/>
                          <w:bCs/>
                          <w:sz w:val="22"/>
                        </w:rPr>
                      </w:pPr>
                      <w:r>
                        <w:rPr>
                          <w:b/>
                          <w:bCs/>
                          <w:sz w:val="22"/>
                        </w:rPr>
                        <w:t>Mrs. N. Fatha Mahomed, Senior Statistical Officer</w:t>
                      </w:r>
                    </w:p>
                    <w:p w:rsidR="00F267F6" w:rsidRDefault="00F267F6" w:rsidP="00F267F6">
                      <w:pPr>
                        <w:spacing w:line="276" w:lineRule="auto"/>
                        <w:rPr>
                          <w:b/>
                          <w:bCs/>
                          <w:sz w:val="22"/>
                        </w:rPr>
                      </w:pPr>
                      <w:r>
                        <w:rPr>
                          <w:b/>
                          <w:bCs/>
                          <w:sz w:val="22"/>
                        </w:rPr>
                        <w:t>Demography Unit</w:t>
                      </w:r>
                    </w:p>
                    <w:p w:rsidR="00F267F6" w:rsidRPr="00466012" w:rsidRDefault="00F267F6" w:rsidP="00F267F6">
                      <w:pPr>
                        <w:spacing w:line="276" w:lineRule="auto"/>
                        <w:rPr>
                          <w:b/>
                          <w:bCs/>
                          <w:sz w:val="22"/>
                        </w:rPr>
                      </w:pPr>
                      <w:r w:rsidRPr="00466012">
                        <w:rPr>
                          <w:b/>
                          <w:bCs/>
                          <w:sz w:val="22"/>
                        </w:rPr>
                        <w:t>Statistics Mauritius</w:t>
                      </w:r>
                    </w:p>
                    <w:p w:rsidR="00F267F6" w:rsidRPr="00466012" w:rsidRDefault="00F267F6" w:rsidP="00F267F6">
                      <w:pPr>
                        <w:spacing w:line="276" w:lineRule="auto"/>
                        <w:rPr>
                          <w:b/>
                          <w:bCs/>
                          <w:sz w:val="22"/>
                        </w:rPr>
                      </w:pPr>
                      <w:r w:rsidRPr="00466012">
                        <w:rPr>
                          <w:b/>
                          <w:bCs/>
                          <w:sz w:val="22"/>
                        </w:rPr>
                        <w:t>LIC Centre</w:t>
                      </w:r>
                    </w:p>
                    <w:p w:rsidR="00F267F6" w:rsidRDefault="00F267F6" w:rsidP="00F267F6">
                      <w:pPr>
                        <w:spacing w:line="276" w:lineRule="auto"/>
                        <w:rPr>
                          <w:b/>
                          <w:bCs/>
                          <w:sz w:val="22"/>
                        </w:rPr>
                      </w:pPr>
                      <w:r>
                        <w:rPr>
                          <w:b/>
                          <w:bCs/>
                          <w:sz w:val="22"/>
                        </w:rPr>
                        <w:t>John Kennedy Street</w:t>
                      </w:r>
                    </w:p>
                    <w:p w:rsidR="00F267F6" w:rsidRDefault="00F267F6" w:rsidP="00F267F6">
                      <w:pPr>
                        <w:spacing w:line="276" w:lineRule="auto"/>
                        <w:rPr>
                          <w:b/>
                          <w:bCs/>
                          <w:sz w:val="22"/>
                          <w:lang w:val="fr-FR"/>
                        </w:rPr>
                      </w:pPr>
                      <w:r>
                        <w:rPr>
                          <w:b/>
                          <w:bCs/>
                          <w:sz w:val="22"/>
                          <w:lang w:val="fr-FR"/>
                        </w:rPr>
                        <w:t>Port Louis</w:t>
                      </w:r>
                    </w:p>
                    <w:p w:rsidR="00F267F6" w:rsidRDefault="00F267F6" w:rsidP="00F267F6">
                      <w:pPr>
                        <w:spacing w:line="276" w:lineRule="auto"/>
                        <w:rPr>
                          <w:b/>
                          <w:bCs/>
                          <w:sz w:val="22"/>
                          <w:lang w:val="fr-FR"/>
                        </w:rPr>
                      </w:pPr>
                      <w:proofErr w:type="gramStart"/>
                      <w:r>
                        <w:rPr>
                          <w:b/>
                          <w:bCs/>
                          <w:sz w:val="22"/>
                          <w:lang w:val="fr-FR"/>
                        </w:rPr>
                        <w:t>Tel:</w:t>
                      </w:r>
                      <w:proofErr w:type="gramEnd"/>
                      <w:r>
                        <w:rPr>
                          <w:b/>
                          <w:bCs/>
                          <w:sz w:val="22"/>
                          <w:lang w:val="fr-FR"/>
                        </w:rPr>
                        <w:t xml:space="preserve"> (230) 208 0859</w:t>
                      </w:r>
                    </w:p>
                    <w:p w:rsidR="00F267F6" w:rsidRDefault="00F267F6" w:rsidP="00F267F6">
                      <w:pPr>
                        <w:spacing w:line="276" w:lineRule="auto"/>
                        <w:rPr>
                          <w:b/>
                          <w:bCs/>
                          <w:sz w:val="22"/>
                          <w:lang w:val="fr-FR"/>
                        </w:rPr>
                      </w:pPr>
                      <w:proofErr w:type="gramStart"/>
                      <w:r>
                        <w:rPr>
                          <w:b/>
                          <w:bCs/>
                          <w:sz w:val="22"/>
                          <w:lang w:val="fr-FR"/>
                        </w:rPr>
                        <w:t>Email:</w:t>
                      </w:r>
                      <w:proofErr w:type="gramEnd"/>
                      <w:r>
                        <w:rPr>
                          <w:b/>
                          <w:bCs/>
                          <w:sz w:val="22"/>
                          <w:lang w:val="fr-FR"/>
                        </w:rPr>
                        <w:t xml:space="preserve"> cso_demography@govmu.org</w:t>
                      </w:r>
                    </w:p>
                  </w:txbxContent>
                </v:textbox>
                <w10:wrap anchorx="margin"/>
              </v:shape>
            </w:pict>
          </mc:Fallback>
        </mc:AlternateContent>
      </w:r>
    </w:p>
    <w:sectPr w:rsidR="00F267F6" w:rsidSect="009F6E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F6"/>
    <w:rsid w:val="009F6EC9"/>
    <w:rsid w:val="00AF5787"/>
    <w:rsid w:val="00EC1BA6"/>
    <w:rsid w:val="00F2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CE23"/>
  <w15:chartTrackingRefBased/>
  <w15:docId w15:val="{431B699E-92D0-4AB8-A5F0-C7D75747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F6"/>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F267F6"/>
    <w:pPr>
      <w:keepNext/>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267F6"/>
    <w:rPr>
      <w:rFonts w:ascii="Times New Roman" w:eastAsia="Times New Roman" w:hAnsi="Times New Roman" w:cs="Times New Roman"/>
      <w:b/>
      <w:bCs/>
      <w:sz w:val="26"/>
      <w:szCs w:val="20"/>
      <w:lang w:val="en-US"/>
    </w:rPr>
  </w:style>
  <w:style w:type="paragraph" w:styleId="BodyTextIndent2">
    <w:name w:val="Body Text Indent 2"/>
    <w:basedOn w:val="Normal"/>
    <w:link w:val="BodyTextIndent2Char"/>
    <w:semiHidden/>
    <w:rsid w:val="00F267F6"/>
    <w:pPr>
      <w:ind w:left="864" w:hanging="864"/>
      <w:jc w:val="both"/>
    </w:pPr>
    <w:rPr>
      <w:b/>
      <w:sz w:val="24"/>
    </w:rPr>
  </w:style>
  <w:style w:type="character" w:customStyle="1" w:styleId="BodyTextIndent2Char">
    <w:name w:val="Body Text Indent 2 Char"/>
    <w:basedOn w:val="DefaultParagraphFont"/>
    <w:link w:val="BodyTextIndent2"/>
    <w:semiHidden/>
    <w:rsid w:val="00F267F6"/>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F267F6"/>
    <w:pPr>
      <w:jc w:val="both"/>
    </w:pPr>
    <w:rPr>
      <w:bCs/>
      <w:sz w:val="26"/>
      <w:lang w:val="x-none" w:eastAsia="x-none"/>
    </w:rPr>
  </w:style>
  <w:style w:type="character" w:customStyle="1" w:styleId="BodyTextChar">
    <w:name w:val="Body Text Char"/>
    <w:basedOn w:val="DefaultParagraphFont"/>
    <w:link w:val="BodyText"/>
    <w:semiHidden/>
    <w:rsid w:val="00F267F6"/>
    <w:rPr>
      <w:rFonts w:ascii="Times New Roman" w:eastAsia="Times New Roman" w:hAnsi="Times New Roman" w:cs="Times New Roman"/>
      <w:bCs/>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ustomXml" Target="../customXml/item3.xml"/><Relationship Id="rId5" Type="http://schemas.openxmlformats.org/officeDocument/2006/relationships/chart" Target="charts/chart2.xml"/><Relationship Id="rId10" Type="http://schemas.openxmlformats.org/officeDocument/2006/relationships/customXml" Target="../customXml/item2.xml"/><Relationship Id="rId4" Type="http://schemas.openxmlformats.org/officeDocument/2006/relationships/chart" Target="charts/chart1.xml"/><Relationship Id="rId9"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2" Type="http://schemas.openxmlformats.org/officeDocument/2006/relationships/oleObject" Target="file:///D:\Demography%2024.01.13\Economic%20and%20Social%20Indicators\ESI%20Year%202019\Workingtablesand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emography%2024.01.13\Economic%20and%20Social%20Indicators\ESI%20Year%202019\Workingtablesand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emography%2024.01.13\Economic%20and%20Social%20Indicators\ESI%20Year%202019\Workingtablesand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'Median age'!$B$21</c:f>
              <c:strCache>
                <c:ptCount val="1"/>
                <c:pt idx="0">
                  <c:v>Median Age </c:v>
                </c:pt>
              </c:strCache>
            </c:strRef>
          </c:tx>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22-410C-A64B-FF637821D166}"/>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22-410C-A64B-FF637821D166}"/>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22-410C-A64B-FF637821D166}"/>
                </c:ext>
              </c:extLst>
            </c:dLbl>
            <c:spPr>
              <a:noFill/>
              <a:ln>
                <a:noFill/>
              </a:ln>
              <a:effectLst/>
            </c:spPr>
            <c:txPr>
              <a:bodyPr/>
              <a:lstStyle/>
              <a:p>
                <a:pPr>
                  <a:defRPr sz="800" b="1">
                    <a:latin typeface="Times New Roman" pitchFamily="18" charset="0"/>
                    <a:cs typeface="Times New Roman"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'Median age'!$A$22:$A$27</c:f>
              <c:numCache>
                <c:formatCode>General</c:formatCode>
                <c:ptCount val="6"/>
                <c:pt idx="0">
                  <c:v>1972</c:v>
                </c:pt>
                <c:pt idx="1">
                  <c:v>1983</c:v>
                </c:pt>
                <c:pt idx="2">
                  <c:v>1990</c:v>
                </c:pt>
                <c:pt idx="3">
                  <c:v>2000</c:v>
                </c:pt>
                <c:pt idx="4">
                  <c:v>2011</c:v>
                </c:pt>
                <c:pt idx="5">
                  <c:v>2019</c:v>
                </c:pt>
              </c:numCache>
            </c:numRef>
          </c:cat>
          <c:val>
            <c:numRef>
              <c:f>'Median age'!$B$22:$B$27</c:f>
              <c:numCache>
                <c:formatCode>0.0</c:formatCode>
                <c:ptCount val="6"/>
                <c:pt idx="0">
                  <c:v>19</c:v>
                </c:pt>
                <c:pt idx="1">
                  <c:v>22.6</c:v>
                </c:pt>
                <c:pt idx="2">
                  <c:v>24.2</c:v>
                </c:pt>
                <c:pt idx="3">
                  <c:v>29</c:v>
                </c:pt>
                <c:pt idx="4">
                  <c:v>33.4</c:v>
                </c:pt>
                <c:pt idx="5">
                  <c:v>36.924041383225912</c:v>
                </c:pt>
              </c:numCache>
            </c:numRef>
          </c:val>
          <c:smooth val="0"/>
          <c:extLst>
            <c:ext xmlns:c16="http://schemas.microsoft.com/office/drawing/2014/chart" uri="{C3380CC4-5D6E-409C-BE32-E72D297353CC}">
              <c16:uniqueId val="{00000003-9222-410C-A64B-FF637821D166}"/>
            </c:ext>
          </c:extLst>
        </c:ser>
        <c:dLbls>
          <c:showLegendKey val="0"/>
          <c:showVal val="0"/>
          <c:showCatName val="0"/>
          <c:showSerName val="0"/>
          <c:showPercent val="0"/>
          <c:showBubbleSize val="0"/>
        </c:dLbls>
        <c:smooth val="0"/>
        <c:axId val="88430080"/>
        <c:axId val="88432000"/>
      </c:lineChart>
      <c:catAx>
        <c:axId val="88430080"/>
        <c:scaling>
          <c:orientation val="minMax"/>
        </c:scaling>
        <c:delete val="0"/>
        <c:axPos val="b"/>
        <c:title>
          <c:tx>
            <c:rich>
              <a:bodyPr/>
              <a:lstStyle/>
              <a:p>
                <a:pPr>
                  <a:defRPr/>
                </a:pPr>
                <a:r>
                  <a:rPr lang="en-US" sz="800">
                    <a:latin typeface="Times New Roman" pitchFamily="18" charset="0"/>
                    <a:cs typeface="Times New Roman" pitchFamily="18" charset="0"/>
                  </a:rPr>
                  <a:t>Year</a:t>
                </a:r>
              </a:p>
            </c:rich>
          </c:tx>
          <c:layout>
            <c:manualLayout>
              <c:xMode val="edge"/>
              <c:yMode val="edge"/>
              <c:x val="0.52032852143482067"/>
              <c:y val="0.92962962962963103"/>
            </c:manualLayout>
          </c:layout>
          <c:overlay val="0"/>
        </c:title>
        <c:numFmt formatCode="General" sourceLinked="1"/>
        <c:majorTickMark val="out"/>
        <c:minorTickMark val="none"/>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en-US"/>
          </a:p>
        </c:txPr>
        <c:crossAx val="88432000"/>
        <c:crosses val="autoZero"/>
        <c:auto val="1"/>
        <c:lblAlgn val="ctr"/>
        <c:lblOffset val="100"/>
        <c:noMultiLvlLbl val="0"/>
      </c:catAx>
      <c:valAx>
        <c:axId val="88432000"/>
        <c:scaling>
          <c:orientation val="minMax"/>
          <c:max val="40"/>
          <c:min val="15"/>
        </c:scaling>
        <c:delete val="0"/>
        <c:axPos val="l"/>
        <c:title>
          <c:tx>
            <c:rich>
              <a:bodyPr rot="-5400000" vert="horz"/>
              <a:lstStyle/>
              <a:p>
                <a:pPr>
                  <a:defRPr/>
                </a:pPr>
                <a:r>
                  <a:rPr lang="en-US" sz="800">
                    <a:latin typeface="Times New Roman" pitchFamily="18" charset="0"/>
                    <a:cs typeface="Times New Roman" pitchFamily="18" charset="0"/>
                  </a:rPr>
                  <a:t>Median Age</a:t>
                </a:r>
              </a:p>
              <a:p>
                <a:pPr>
                  <a:defRPr/>
                </a:pPr>
                <a:endParaRPr lang="en-US" sz="800">
                  <a:latin typeface="Times New Roman" pitchFamily="18" charset="0"/>
                  <a:cs typeface="Times New Roman" pitchFamily="18" charset="0"/>
                </a:endParaRPr>
              </a:p>
            </c:rich>
          </c:tx>
          <c:overlay val="0"/>
        </c:title>
        <c:numFmt formatCode="0.0" sourceLinked="1"/>
        <c:majorTickMark val="out"/>
        <c:minorTickMark val="none"/>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en-US"/>
          </a:p>
        </c:txPr>
        <c:crossAx val="8843008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96281714785675"/>
          <c:y val="5.0925925925925923E-2"/>
          <c:w val="0.67265194040526033"/>
          <c:h val="0.77012394284047925"/>
        </c:manualLayout>
      </c:layout>
      <c:barChart>
        <c:barDir val="col"/>
        <c:grouping val="clustered"/>
        <c:varyColors val="0"/>
        <c:ser>
          <c:idx val="0"/>
          <c:order val="0"/>
          <c:tx>
            <c:strRef>
              <c:f>'Proportion of 60+'!$G$3</c:f>
              <c:strCache>
                <c:ptCount val="1"/>
                <c:pt idx="0">
                  <c:v>% of 60+</c:v>
                </c:pt>
              </c:strCache>
            </c:strRef>
          </c:tx>
          <c:invertIfNegative val="0"/>
          <c:dLbls>
            <c:spPr>
              <a:noFill/>
              <a:ln>
                <a:noFill/>
              </a:ln>
              <a:effectLst/>
            </c:spPr>
            <c:txPr>
              <a:bodyPr/>
              <a:lstStyle/>
              <a:p>
                <a:pPr>
                  <a:defRPr sz="800"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'Proportion of 60+'!$F$4:$F$6</c:f>
              <c:numCache>
                <c:formatCode>General</c:formatCode>
                <c:ptCount val="3"/>
                <c:pt idx="0">
                  <c:v>1972</c:v>
                </c:pt>
                <c:pt idx="1">
                  <c:v>2000</c:v>
                </c:pt>
                <c:pt idx="2">
                  <c:v>2019</c:v>
                </c:pt>
              </c:numCache>
            </c:numRef>
          </c:cat>
          <c:val>
            <c:numRef>
              <c:f>'Proportion of 60+'!$G$4:$G$6</c:f>
              <c:numCache>
                <c:formatCode>0.0</c:formatCode>
                <c:ptCount val="3"/>
                <c:pt idx="0">
                  <c:v>5.93</c:v>
                </c:pt>
                <c:pt idx="1">
                  <c:v>9.06</c:v>
                </c:pt>
                <c:pt idx="2">
                  <c:v>17.399999999999999</c:v>
                </c:pt>
              </c:numCache>
            </c:numRef>
          </c:val>
          <c:extLst>
            <c:ext xmlns:c16="http://schemas.microsoft.com/office/drawing/2014/chart" uri="{C3380CC4-5D6E-409C-BE32-E72D297353CC}">
              <c16:uniqueId val="{00000000-0679-4E9D-9AEA-D455BF1D69E6}"/>
            </c:ext>
          </c:extLst>
        </c:ser>
        <c:dLbls>
          <c:showLegendKey val="0"/>
          <c:showVal val="0"/>
          <c:showCatName val="0"/>
          <c:showSerName val="0"/>
          <c:showPercent val="0"/>
          <c:showBubbleSize val="0"/>
        </c:dLbls>
        <c:gapWidth val="150"/>
        <c:axId val="88670208"/>
        <c:axId val="88672128"/>
      </c:barChart>
      <c:catAx>
        <c:axId val="88670208"/>
        <c:scaling>
          <c:orientation val="minMax"/>
        </c:scaling>
        <c:delete val="0"/>
        <c:axPos val="b"/>
        <c:title>
          <c:tx>
            <c:rich>
              <a:bodyPr/>
              <a:lstStyle/>
              <a:p>
                <a:pPr>
                  <a:defRPr sz="1000"/>
                </a:pPr>
                <a:r>
                  <a:rPr lang="en-US" sz="1000">
                    <a:latin typeface="Times New Roman" pitchFamily="18" charset="0"/>
                    <a:cs typeface="Times New Roman" pitchFamily="18" charset="0"/>
                  </a:rPr>
                  <a:t>Year</a:t>
                </a:r>
              </a:p>
            </c:rich>
          </c:tx>
          <c:overlay val="0"/>
        </c:title>
        <c:numFmt formatCode="General" sourceLinked="1"/>
        <c:majorTickMark val="out"/>
        <c:minorTickMark val="none"/>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en-US"/>
          </a:p>
        </c:txPr>
        <c:crossAx val="88672128"/>
        <c:crosses val="autoZero"/>
        <c:auto val="1"/>
        <c:lblAlgn val="ctr"/>
        <c:lblOffset val="100"/>
        <c:noMultiLvlLbl val="0"/>
      </c:catAx>
      <c:valAx>
        <c:axId val="88672128"/>
        <c:scaling>
          <c:orientation val="minMax"/>
        </c:scaling>
        <c:delete val="0"/>
        <c:axPos val="l"/>
        <c:title>
          <c:tx>
            <c:rich>
              <a:bodyPr rot="-5400000" vert="horz"/>
              <a:lstStyle/>
              <a:p>
                <a:pPr>
                  <a:defRPr sz="800"/>
                </a:pPr>
                <a:r>
                  <a:rPr lang="en-US" sz="800">
                    <a:latin typeface="Times New Roman" pitchFamily="18" charset="0"/>
                    <a:cs typeface="Times New Roman" pitchFamily="18" charset="0"/>
                  </a:rPr>
                  <a:t>% of population aged 60 years and above</a:t>
                </a:r>
              </a:p>
              <a:p>
                <a:pPr>
                  <a:defRPr sz="800"/>
                </a:pPr>
                <a:endParaRPr lang="en-US" sz="800">
                  <a:latin typeface="Times New Roman" pitchFamily="18" charset="0"/>
                  <a:cs typeface="Times New Roman" pitchFamily="18" charset="0"/>
                </a:endParaRPr>
              </a:p>
            </c:rich>
          </c:tx>
          <c:overlay val="0"/>
        </c:title>
        <c:numFmt formatCode="0.0" sourceLinked="1"/>
        <c:majorTickMark val="out"/>
        <c:minorTickMark val="none"/>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en-US"/>
          </a:p>
        </c:txPr>
        <c:crossAx val="88670208"/>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30862430075029"/>
          <c:y val="6.4380294389767112E-2"/>
          <c:w val="0.72732436570428693"/>
          <c:h val="0.73517023913677459"/>
        </c:manualLayout>
      </c:layout>
      <c:barChart>
        <c:barDir val="col"/>
        <c:grouping val="stacked"/>
        <c:varyColors val="0"/>
        <c:ser>
          <c:idx val="0"/>
          <c:order val="0"/>
          <c:tx>
            <c:strRef>
              <c:f>'Proportion of 60+'!$B$92</c:f>
              <c:strCache>
                <c:ptCount val="1"/>
                <c:pt idx="0">
                  <c:v>60-69</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'Proportion of 60+'!$A$93:$A$95</c:f>
              <c:numCache>
                <c:formatCode>General</c:formatCode>
                <c:ptCount val="3"/>
                <c:pt idx="0">
                  <c:v>1972</c:v>
                </c:pt>
                <c:pt idx="1">
                  <c:v>2000</c:v>
                </c:pt>
                <c:pt idx="2">
                  <c:v>2019</c:v>
                </c:pt>
              </c:numCache>
            </c:numRef>
          </c:cat>
          <c:val>
            <c:numRef>
              <c:f>'Proportion of 60+'!$B$93:$B$95</c:f>
              <c:numCache>
                <c:formatCode>_(* #,##0_);_(* \(#,##0\);_(* "-"??_);_(@_)</c:formatCode>
                <c:ptCount val="3"/>
                <c:pt idx="0">
                  <c:v>32674</c:v>
                </c:pt>
                <c:pt idx="1">
                  <c:v>58871</c:v>
                </c:pt>
                <c:pt idx="2">
                  <c:v>135490</c:v>
                </c:pt>
              </c:numCache>
            </c:numRef>
          </c:val>
          <c:extLst>
            <c:ext xmlns:c16="http://schemas.microsoft.com/office/drawing/2014/chart" uri="{C3380CC4-5D6E-409C-BE32-E72D297353CC}">
              <c16:uniqueId val="{00000000-FDF5-405F-A973-2F5F324334B3}"/>
            </c:ext>
          </c:extLst>
        </c:ser>
        <c:ser>
          <c:idx val="1"/>
          <c:order val="1"/>
          <c:tx>
            <c:strRef>
              <c:f>'Proportion of 60+'!$C$92</c:f>
              <c:strCache>
                <c:ptCount val="1"/>
                <c:pt idx="0">
                  <c:v>70-79</c:v>
                </c:pt>
              </c:strCache>
            </c:strRef>
          </c:tx>
          <c:spPr>
            <a:pattFill prst="pct5">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'Proportion of 60+'!$A$93:$A$95</c:f>
              <c:numCache>
                <c:formatCode>General</c:formatCode>
                <c:ptCount val="3"/>
                <c:pt idx="0">
                  <c:v>1972</c:v>
                </c:pt>
                <c:pt idx="1">
                  <c:v>2000</c:v>
                </c:pt>
                <c:pt idx="2">
                  <c:v>2019</c:v>
                </c:pt>
              </c:numCache>
            </c:numRef>
          </c:cat>
          <c:val>
            <c:numRef>
              <c:f>'Proportion of 60+'!$C$93:$C$95</c:f>
              <c:numCache>
                <c:formatCode>_(* #,##0_);_(* \(#,##0\);_(* "-"??_);_(@_)</c:formatCode>
                <c:ptCount val="3"/>
                <c:pt idx="0">
                  <c:v>13785</c:v>
                </c:pt>
                <c:pt idx="1">
                  <c:v>36608</c:v>
                </c:pt>
                <c:pt idx="2">
                  <c:v>60094</c:v>
                </c:pt>
              </c:numCache>
            </c:numRef>
          </c:val>
          <c:extLst>
            <c:ext xmlns:c16="http://schemas.microsoft.com/office/drawing/2014/chart" uri="{C3380CC4-5D6E-409C-BE32-E72D297353CC}">
              <c16:uniqueId val="{00000001-FDF5-405F-A973-2F5F324334B3}"/>
            </c:ext>
          </c:extLst>
        </c:ser>
        <c:ser>
          <c:idx val="2"/>
          <c:order val="2"/>
          <c:tx>
            <c:strRef>
              <c:f>'Proportion of 60+'!$D$92</c:f>
              <c:strCache>
                <c:ptCount val="1"/>
                <c:pt idx="0">
                  <c:v>80+</c:v>
                </c:pt>
              </c:strCache>
            </c:strRef>
          </c:tx>
          <c:spPr>
            <a:pattFill prst="ltVert">
              <a:fgClr>
                <a:srgbClr val="9BBB59"/>
              </a:fgClr>
              <a:bgClr>
                <a:schemeClr val="bg1"/>
              </a:bgClr>
            </a:pattFill>
            <a:ln>
              <a:solidFill>
                <a:schemeClr val="tx1"/>
              </a:solidFill>
            </a:ln>
            <a:effectLst/>
          </c:spPr>
          <c:invertIfNegative val="0"/>
          <c:dLbls>
            <c:dLbl>
              <c:idx val="0"/>
              <c:layout>
                <c:manualLayout>
                  <c:x val="-8.3333333333333592E-3"/>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F5-405F-A973-2F5F324334B3}"/>
                </c:ext>
              </c:extLst>
            </c:dLbl>
            <c:dLbl>
              <c:idx val="1"/>
              <c:layout>
                <c:manualLayout>
                  <c:x val="2.7777777777777779E-3"/>
                  <c:y val="-6.0185185185185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F5-405F-A973-2F5F324334B3}"/>
                </c:ext>
              </c:extLst>
            </c:dLbl>
            <c:dLbl>
              <c:idx val="2"/>
              <c:layout>
                <c:manualLayout>
                  <c:x val="-1.0185067526415994E-16"/>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F5-405F-A973-2F5F324334B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'Proportion of 60+'!$A$93:$A$95</c:f>
              <c:numCache>
                <c:formatCode>General</c:formatCode>
                <c:ptCount val="3"/>
                <c:pt idx="0">
                  <c:v>1972</c:v>
                </c:pt>
                <c:pt idx="1">
                  <c:v>2000</c:v>
                </c:pt>
                <c:pt idx="2">
                  <c:v>2019</c:v>
                </c:pt>
              </c:numCache>
            </c:numRef>
          </c:cat>
          <c:val>
            <c:numRef>
              <c:f>'Proportion of 60+'!$D$93:$D$95</c:f>
              <c:numCache>
                <c:formatCode>_(* #,##0_);_(* \(#,##0\);_(* "-"??_);_(@_)</c:formatCode>
                <c:ptCount val="3"/>
                <c:pt idx="0">
                  <c:v>3975</c:v>
                </c:pt>
                <c:pt idx="1">
                  <c:v>12024</c:v>
                </c:pt>
                <c:pt idx="2">
                  <c:v>24866</c:v>
                </c:pt>
              </c:numCache>
            </c:numRef>
          </c:val>
          <c:extLst>
            <c:ext xmlns:c16="http://schemas.microsoft.com/office/drawing/2014/chart" uri="{C3380CC4-5D6E-409C-BE32-E72D297353CC}">
              <c16:uniqueId val="{00000005-FDF5-405F-A973-2F5F324334B3}"/>
            </c:ext>
          </c:extLst>
        </c:ser>
        <c:dLbls>
          <c:showLegendKey val="0"/>
          <c:showVal val="0"/>
          <c:showCatName val="0"/>
          <c:showSerName val="0"/>
          <c:showPercent val="0"/>
          <c:showBubbleSize val="0"/>
        </c:dLbls>
        <c:gapWidth val="150"/>
        <c:overlap val="100"/>
        <c:axId val="521858432"/>
        <c:axId val="521862592"/>
      </c:barChart>
      <c:catAx>
        <c:axId val="521858432"/>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1862592"/>
        <c:crosses val="autoZero"/>
        <c:auto val="1"/>
        <c:lblAlgn val="ctr"/>
        <c:lblOffset val="100"/>
        <c:noMultiLvlLbl val="0"/>
      </c:catAx>
      <c:valAx>
        <c:axId val="521862592"/>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800" b="1">
                    <a:solidFill>
                      <a:sysClr val="windowText" lastClr="000000"/>
                    </a:solidFill>
                    <a:latin typeface="Times New Roman" panose="02020603050405020304" pitchFamily="18" charset="0"/>
                    <a:cs typeface="Times New Roman" panose="02020603050405020304" pitchFamily="18" charset="0"/>
                  </a:rPr>
                  <a:t>Number</a:t>
                </a:r>
                <a:r>
                  <a:rPr lang="en-GB" sz="800" b="1" baseline="0">
                    <a:solidFill>
                      <a:sysClr val="windowText" lastClr="000000"/>
                    </a:solidFill>
                    <a:latin typeface="Times New Roman" panose="02020603050405020304" pitchFamily="18" charset="0"/>
                    <a:cs typeface="Times New Roman" panose="02020603050405020304" pitchFamily="18" charset="0"/>
                  </a:rPr>
                  <a:t> </a:t>
                </a:r>
              </a:p>
              <a:p>
                <a:pPr>
                  <a:defRPr sz="800" b="1">
                    <a:solidFill>
                      <a:sysClr val="windowText" lastClr="000000"/>
                    </a:solidFill>
                    <a:latin typeface="Times New Roman" panose="02020603050405020304" pitchFamily="18" charset="0"/>
                    <a:cs typeface="Times New Roman" panose="02020603050405020304" pitchFamily="18" charset="0"/>
                  </a:defRPr>
                </a:pPr>
                <a:endParaRPr lang="en-GB" sz="8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2185843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8914C8-FE22-43EA-8EB2-4243C3B4B68B}"/>
</file>

<file path=customXml/itemProps2.xml><?xml version="1.0" encoding="utf-8"?>
<ds:datastoreItem xmlns:ds="http://schemas.openxmlformats.org/officeDocument/2006/customXml" ds:itemID="{DF8FC723-6227-4C9D-9020-4D9B504AE35E}"/>
</file>

<file path=customXml/itemProps3.xml><?xml version="1.0" encoding="utf-8"?>
<ds:datastoreItem xmlns:ds="http://schemas.openxmlformats.org/officeDocument/2006/customXml" ds:itemID="{FB12C2E0-7EF2-43F8-AB87-639D36997C20}"/>
</file>

<file path=docProps/app.xml><?xml version="1.0" encoding="utf-8"?>
<Properties xmlns="http://schemas.openxmlformats.org/officeDocument/2006/extended-properties" xmlns:vt="http://schemas.openxmlformats.org/officeDocument/2006/docPropsVTypes">
  <Template>Normal.dotm</Template>
  <TotalTime>12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Martial</dc:creator>
  <cp:keywords/>
  <dc:description/>
  <cp:lastModifiedBy>Cindy Martial</cp:lastModifiedBy>
  <cp:revision>2</cp:revision>
  <dcterms:created xsi:type="dcterms:W3CDTF">2020-08-06T11:30:00Z</dcterms:created>
  <dcterms:modified xsi:type="dcterms:W3CDTF">2020-08-06T11:43:00Z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